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4D230DD0"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EC1D82" w:rsidRDefault="00C018AF" w:rsidP="00C018AF">
      <w:pPr>
        <w:pBdr>
          <w:bottom w:val="single" w:sz="4" w:space="1" w:color="auto"/>
        </w:pBdr>
        <w:spacing w:before="240" w:after="240" w:line="300" w:lineRule="auto"/>
        <w:rPr>
          <w:rFonts w:ascii="Arial" w:hAnsi="Arial" w:cs="Arial"/>
          <w:sz w:val="20"/>
          <w:szCs w:val="20"/>
        </w:rPr>
      </w:pPr>
    </w:p>
    <w:p w14:paraId="00A4A23D" w14:textId="1F38CF45" w:rsidR="00C018AF" w:rsidRPr="007F372D" w:rsidRDefault="00D92C7B" w:rsidP="00C018AF">
      <w:pPr>
        <w:pBdr>
          <w:bottom w:val="single" w:sz="4" w:space="1" w:color="auto"/>
        </w:pBdr>
        <w:spacing w:before="240" w:after="240" w:line="300" w:lineRule="auto"/>
        <w:jc w:val="center"/>
        <w:rPr>
          <w:rFonts w:ascii="Arial" w:hAnsi="Arial" w:cs="Arial"/>
          <w:i/>
          <w:sz w:val="20"/>
          <w:szCs w:val="20"/>
        </w:rPr>
      </w:pPr>
      <w:r w:rsidRPr="004F5774">
        <w:rPr>
          <w:rFonts w:ascii="Arial" w:hAnsi="Arial" w:cs="Arial"/>
          <w:b/>
          <w:bCs/>
          <w:color w:val="000000" w:themeColor="text1"/>
          <w:sz w:val="22"/>
          <w:szCs w:val="22"/>
        </w:rPr>
        <w:t>SIMPLIFIC PAVARINI DISTRIBUIDORA DE TÍTULOS E VALORES MOBILIÁRIOS LTDA</w:t>
      </w:r>
      <w:r w:rsidR="00EC1D82">
        <w:rPr>
          <w:rFonts w:ascii="Arial" w:hAnsi="Arial" w:cs="Arial"/>
          <w:b/>
          <w:bCs/>
          <w:color w:val="000000" w:themeColor="text1"/>
          <w:sz w:val="22"/>
          <w:szCs w:val="22"/>
        </w:rPr>
        <w:br/>
      </w:r>
      <w:r w:rsidR="00C018AF" w:rsidRPr="007F372D">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2" w:name="_DV_M7"/>
      <w:bookmarkStart w:id="3" w:name="_DV_M61"/>
      <w:bookmarkEnd w:id="0"/>
      <w:bookmarkEnd w:id="2"/>
      <w:bookmarkEnd w:id="3"/>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421855">
        <w:rPr>
          <w:rFonts w:ascii="Arial" w:hAnsi="Arial" w:cs="Arial"/>
          <w:sz w:val="20"/>
          <w:szCs w:val="20"/>
        </w:rPr>
        <w:t>Pelo presente instrumento particular, e na melhor forma de direito, as partes:</w:t>
      </w:r>
    </w:p>
    <w:p w14:paraId="6AE54696" w14:textId="14F87E60" w:rsidR="00C53017" w:rsidRPr="007F372D" w:rsidRDefault="00D33E43" w:rsidP="00594701">
      <w:pPr>
        <w:spacing w:before="240" w:after="240" w:line="300" w:lineRule="auto"/>
        <w:jc w:val="both"/>
        <w:rPr>
          <w:rFonts w:ascii="Arial" w:hAnsi="Arial" w:cs="Arial"/>
          <w:sz w:val="20"/>
          <w:szCs w:val="20"/>
        </w:rPr>
      </w:pPr>
      <w:bookmarkStart w:id="6" w:name="_DV_M64"/>
      <w:bookmarkStart w:id="7" w:name="_Hlk499289814"/>
      <w:bookmarkEnd w:id="6"/>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EC1D82">
        <w:rPr>
          <w:rFonts w:ascii="Arial" w:hAnsi="Arial" w:cs="Arial"/>
          <w:sz w:val="20"/>
          <w:szCs w:val="20"/>
        </w:rPr>
        <w:t>Alameda Rio Negro</w:t>
      </w:r>
      <w:r w:rsidR="00A36E0A" w:rsidRPr="00EC1D82">
        <w:rPr>
          <w:rFonts w:ascii="Arial" w:hAnsi="Arial" w:cs="Arial"/>
          <w:sz w:val="20"/>
          <w:szCs w:val="20"/>
        </w:rPr>
        <w:t xml:space="preserve">, </w:t>
      </w:r>
      <w:r w:rsidR="00C646C4" w:rsidRPr="00153AA9">
        <w:rPr>
          <w:rFonts w:ascii="Arial" w:hAnsi="Arial" w:cs="Arial"/>
          <w:sz w:val="20"/>
          <w:szCs w:val="20"/>
        </w:rPr>
        <w:t>n.º</w:t>
      </w:r>
      <w:r w:rsidR="00AE2A80" w:rsidRPr="00153AA9">
        <w:rPr>
          <w:rFonts w:ascii="Arial" w:hAnsi="Arial" w:cs="Arial"/>
          <w:sz w:val="20"/>
          <w:szCs w:val="20"/>
        </w:rPr>
        <w:t xml:space="preserve"> </w:t>
      </w:r>
      <w:r w:rsidR="0051791C" w:rsidRPr="00153AA9">
        <w:rPr>
          <w:rFonts w:ascii="Arial" w:hAnsi="Arial" w:cs="Arial"/>
          <w:sz w:val="20"/>
          <w:szCs w:val="20"/>
        </w:rPr>
        <w:t>1030</w:t>
      </w:r>
      <w:r w:rsidR="00A36E0A" w:rsidRPr="00153AA9">
        <w:rPr>
          <w:rFonts w:ascii="Arial" w:hAnsi="Arial" w:cs="Arial"/>
          <w:sz w:val="20"/>
          <w:szCs w:val="20"/>
        </w:rPr>
        <w:t xml:space="preserve">, </w:t>
      </w:r>
      <w:r w:rsidR="00D10D42" w:rsidRPr="00153AA9">
        <w:rPr>
          <w:rFonts w:ascii="Arial" w:hAnsi="Arial" w:cs="Arial"/>
          <w:sz w:val="20"/>
          <w:szCs w:val="20"/>
        </w:rPr>
        <w:t>escritório</w:t>
      </w:r>
      <w:r w:rsidR="00F3739C" w:rsidRPr="00153AA9">
        <w:rPr>
          <w:rFonts w:ascii="Arial" w:hAnsi="Arial" w:cs="Arial"/>
          <w:sz w:val="20"/>
          <w:szCs w:val="20"/>
        </w:rPr>
        <w:t xml:space="preserve"> 206</w:t>
      </w:r>
      <w:r w:rsidR="00F56CE8" w:rsidRPr="00153AA9">
        <w:rPr>
          <w:rFonts w:ascii="Arial" w:hAnsi="Arial" w:cs="Arial"/>
          <w:sz w:val="20"/>
          <w:szCs w:val="20"/>
        </w:rPr>
        <w:t xml:space="preserve"> - parte</w:t>
      </w:r>
      <w:r w:rsidR="00A36E0A" w:rsidRPr="00153AA9">
        <w:rPr>
          <w:rFonts w:ascii="Arial" w:hAnsi="Arial" w:cs="Arial"/>
          <w:sz w:val="20"/>
          <w:szCs w:val="20"/>
        </w:rPr>
        <w:t>, CEP</w:t>
      </w:r>
      <w:r w:rsidR="00AE2A80" w:rsidRPr="00153AA9">
        <w:rPr>
          <w:rFonts w:ascii="Arial" w:hAnsi="Arial" w:cs="Arial"/>
          <w:sz w:val="20"/>
          <w:szCs w:val="20"/>
        </w:rPr>
        <w:t xml:space="preserve"> </w:t>
      </w:r>
      <w:r w:rsidR="005917DE" w:rsidRPr="00153AA9">
        <w:rPr>
          <w:rFonts w:ascii="Arial" w:hAnsi="Arial" w:cs="Arial"/>
          <w:sz w:val="20"/>
          <w:szCs w:val="20"/>
        </w:rPr>
        <w:t>06.</w:t>
      </w:r>
      <w:r w:rsidR="00485E2D" w:rsidRPr="00153AA9">
        <w:rPr>
          <w:rFonts w:ascii="Arial" w:hAnsi="Arial" w:cs="Arial"/>
          <w:sz w:val="20"/>
          <w:szCs w:val="20"/>
        </w:rPr>
        <w:t>454-</w:t>
      </w:r>
      <w:r w:rsidR="006A6293" w:rsidRPr="00153AA9">
        <w:rPr>
          <w:rFonts w:ascii="Arial" w:hAnsi="Arial" w:cs="Arial"/>
          <w:sz w:val="20"/>
          <w:szCs w:val="20"/>
        </w:rPr>
        <w:t>000</w:t>
      </w:r>
      <w:r w:rsidR="00A36E0A" w:rsidRPr="00153AA9">
        <w:rPr>
          <w:rFonts w:ascii="Arial" w:hAnsi="Arial" w:cs="Arial"/>
          <w:sz w:val="20"/>
          <w:szCs w:val="20"/>
        </w:rPr>
        <w:t xml:space="preserve">, inscrita no CNPJ sob o </w:t>
      </w:r>
      <w:r w:rsidR="00C646C4" w:rsidRPr="007F372D">
        <w:rPr>
          <w:rFonts w:ascii="Arial" w:hAnsi="Arial" w:cs="Arial"/>
          <w:sz w:val="20"/>
          <w:szCs w:val="20"/>
        </w:rPr>
        <w:t>n.º</w:t>
      </w:r>
      <w:r w:rsidR="00AE2A80" w:rsidRPr="007F372D">
        <w:rPr>
          <w:rFonts w:ascii="Arial" w:hAnsi="Arial" w:cs="Arial"/>
          <w:sz w:val="20"/>
          <w:szCs w:val="20"/>
        </w:rPr>
        <w:t xml:space="preserve"> </w:t>
      </w:r>
      <w:r w:rsidR="001A5CDD" w:rsidRPr="007F372D">
        <w:rPr>
          <w:rFonts w:ascii="Arial" w:hAnsi="Arial" w:cs="Arial"/>
          <w:sz w:val="20"/>
          <w:szCs w:val="20"/>
        </w:rPr>
        <w:t>20.451.953/0001-83</w:t>
      </w:r>
      <w:bookmarkEnd w:id="7"/>
      <w:r w:rsidR="00C53017" w:rsidRPr="007F372D">
        <w:rPr>
          <w:rFonts w:ascii="Arial" w:hAnsi="Arial" w:cs="Arial"/>
          <w:sz w:val="20"/>
          <w:szCs w:val="20"/>
        </w:rPr>
        <w:t xml:space="preserve">, </w:t>
      </w:r>
      <w:r w:rsidR="001D48A7" w:rsidRPr="007F372D">
        <w:rPr>
          <w:rFonts w:ascii="Arial" w:hAnsi="Arial" w:cs="Arial"/>
          <w:sz w:val="20"/>
          <w:szCs w:val="20"/>
        </w:rPr>
        <w:t xml:space="preserve">neste ato representada na forma de </w:t>
      </w:r>
      <w:r w:rsidR="00ED3B99" w:rsidRPr="007F372D">
        <w:rPr>
          <w:rFonts w:ascii="Arial" w:hAnsi="Arial" w:cs="Arial"/>
          <w:sz w:val="20"/>
          <w:szCs w:val="20"/>
        </w:rPr>
        <w:t>seus atos societários constitutivos</w:t>
      </w:r>
      <w:r w:rsidR="00196F48" w:rsidRPr="007F372D">
        <w:rPr>
          <w:rFonts w:ascii="Arial" w:hAnsi="Arial" w:cs="Arial"/>
          <w:sz w:val="20"/>
          <w:szCs w:val="20"/>
        </w:rPr>
        <w:t>; e</w:t>
      </w:r>
    </w:p>
    <w:p w14:paraId="24215125" w14:textId="2A4FF067" w:rsidR="00D47300" w:rsidRPr="007F372D" w:rsidRDefault="00AE49D6" w:rsidP="00594701">
      <w:pPr>
        <w:spacing w:before="240" w:after="240" w:line="300" w:lineRule="auto"/>
        <w:jc w:val="both"/>
        <w:rPr>
          <w:rFonts w:ascii="Arial" w:hAnsi="Arial" w:cs="Arial"/>
          <w:sz w:val="20"/>
          <w:szCs w:val="20"/>
        </w:rPr>
      </w:pPr>
      <w:bookmarkStart w:id="8" w:name="_DV_M66"/>
      <w:bookmarkEnd w:id="8"/>
      <w:r w:rsidRPr="004F5774">
        <w:rPr>
          <w:rFonts w:ascii="Arial" w:hAnsi="Arial" w:cs="Arial"/>
          <w:b/>
          <w:bCs/>
          <w:color w:val="000000" w:themeColor="text1"/>
          <w:sz w:val="20"/>
          <w:szCs w:val="20"/>
        </w:rPr>
        <w:t>SIMPLIFIC PAVARINI DISTRIBUIDORA DE TÍTULOS E VALORES MOBILIÁRIOS LTDA</w:t>
      </w:r>
      <w:r w:rsidRPr="004F5774">
        <w:rPr>
          <w:rFonts w:ascii="Arial" w:hAnsi="Arial" w:cs="Arial"/>
          <w:b/>
          <w:color w:val="000000" w:themeColor="text1"/>
          <w:sz w:val="20"/>
          <w:szCs w:val="20"/>
        </w:rPr>
        <w:t>.</w:t>
      </w:r>
      <w:r w:rsidRPr="004F5774">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610DB" w:rsidRPr="004F5774">
        <w:rPr>
          <w:rFonts w:ascii="Arial" w:hAnsi="Arial" w:cs="Arial"/>
          <w:color w:val="000000" w:themeColor="text1"/>
          <w:sz w:val="20"/>
          <w:szCs w:val="20"/>
        </w:rPr>
        <w:t>.</w:t>
      </w:r>
    </w:p>
    <w:p w14:paraId="20A2E7F8" w14:textId="7CD6F98F" w:rsidR="00C53017" w:rsidRPr="00421855" w:rsidRDefault="007D00E2" w:rsidP="00594701">
      <w:pPr>
        <w:spacing w:before="240" w:after="240" w:line="300" w:lineRule="auto"/>
        <w:jc w:val="both"/>
        <w:rPr>
          <w:rFonts w:ascii="Arial" w:hAnsi="Arial" w:cs="Arial"/>
          <w:sz w:val="20"/>
        </w:rPr>
      </w:pPr>
      <w:bookmarkStart w:id="9" w:name="_DV_M69"/>
      <w:bookmarkStart w:id="10" w:name="_DV_M4"/>
      <w:bookmarkStart w:id="11" w:name="_DV_C11"/>
      <w:bookmarkEnd w:id="9"/>
      <w:bookmarkEnd w:id="10"/>
      <w:r w:rsidRPr="007F372D">
        <w:rPr>
          <w:rFonts w:ascii="Arial" w:hAnsi="Arial" w:cs="Arial"/>
          <w:sz w:val="20"/>
          <w:szCs w:val="20"/>
        </w:rPr>
        <w:t xml:space="preserve">Resolvem </w:t>
      </w:r>
      <w:r w:rsidR="00C53017" w:rsidRPr="007F372D">
        <w:rPr>
          <w:rFonts w:ascii="Arial" w:hAnsi="Arial" w:cs="Arial"/>
          <w:sz w:val="20"/>
          <w:szCs w:val="20"/>
        </w:rPr>
        <w:t xml:space="preserve">firmar o presente </w:t>
      </w:r>
      <w:r w:rsidR="00C53017" w:rsidRPr="007F372D">
        <w:rPr>
          <w:rFonts w:ascii="Arial" w:hAnsi="Arial" w:cs="Arial"/>
          <w:i/>
          <w:sz w:val="20"/>
          <w:szCs w:val="20"/>
        </w:rPr>
        <w:t>Termo de Securitização de Créditos Imobiliários da</w:t>
      </w:r>
      <w:r w:rsidR="007A454D" w:rsidRPr="007F372D">
        <w:rPr>
          <w:rFonts w:ascii="Arial" w:hAnsi="Arial" w:cs="Arial"/>
          <w:i/>
          <w:sz w:val="20"/>
          <w:szCs w:val="20"/>
        </w:rPr>
        <w:t>s</w:t>
      </w:r>
      <w:r w:rsidR="00C53017" w:rsidRPr="007F372D">
        <w:rPr>
          <w:rFonts w:ascii="Arial" w:hAnsi="Arial" w:cs="Arial"/>
          <w:i/>
          <w:sz w:val="20"/>
          <w:szCs w:val="20"/>
        </w:rPr>
        <w:t xml:space="preserve"> </w:t>
      </w:r>
      <w:r w:rsidR="00E86342" w:rsidRPr="007F372D">
        <w:rPr>
          <w:rFonts w:ascii="Arial" w:hAnsi="Arial" w:cs="Arial"/>
          <w:i/>
          <w:sz w:val="20"/>
          <w:szCs w:val="20"/>
        </w:rPr>
        <w:t>7</w:t>
      </w:r>
      <w:r w:rsidR="00BD67AE" w:rsidRPr="007F372D">
        <w:rPr>
          <w:rFonts w:ascii="Arial" w:hAnsi="Arial" w:cs="Arial"/>
          <w:i/>
          <w:sz w:val="20"/>
          <w:szCs w:val="20"/>
        </w:rPr>
        <w:t xml:space="preserve">ª </w:t>
      </w:r>
      <w:r w:rsidR="007A454D" w:rsidRPr="007F372D">
        <w:rPr>
          <w:rFonts w:ascii="Arial" w:hAnsi="Arial" w:cs="Arial"/>
          <w:i/>
          <w:sz w:val="20"/>
          <w:szCs w:val="20"/>
        </w:rPr>
        <w:t xml:space="preserve">e </w:t>
      </w:r>
      <w:r w:rsidR="00E86342" w:rsidRPr="007F372D">
        <w:rPr>
          <w:rFonts w:ascii="Arial" w:hAnsi="Arial" w:cs="Arial"/>
          <w:i/>
          <w:sz w:val="20"/>
          <w:szCs w:val="20"/>
        </w:rPr>
        <w:t>8</w:t>
      </w:r>
      <w:r w:rsidR="007A454D" w:rsidRPr="007F372D">
        <w:rPr>
          <w:rFonts w:ascii="Arial" w:hAnsi="Arial" w:cs="Arial"/>
          <w:i/>
          <w:sz w:val="20"/>
          <w:szCs w:val="20"/>
        </w:rPr>
        <w:t xml:space="preserve">ª </w:t>
      </w:r>
      <w:r w:rsidR="00867156" w:rsidRPr="007F372D">
        <w:rPr>
          <w:rFonts w:ascii="Arial" w:hAnsi="Arial" w:cs="Arial"/>
          <w:i/>
          <w:sz w:val="20"/>
          <w:szCs w:val="20"/>
        </w:rPr>
        <w:t>Série</w:t>
      </w:r>
      <w:r w:rsidR="007A454D" w:rsidRPr="007F372D">
        <w:rPr>
          <w:rFonts w:ascii="Arial" w:hAnsi="Arial" w:cs="Arial"/>
          <w:i/>
          <w:sz w:val="20"/>
          <w:szCs w:val="20"/>
        </w:rPr>
        <w:t>s</w:t>
      </w:r>
      <w:r w:rsidR="00C53017" w:rsidRPr="007F372D">
        <w:rPr>
          <w:rFonts w:ascii="Arial" w:hAnsi="Arial" w:cs="Arial"/>
          <w:i/>
          <w:sz w:val="20"/>
          <w:szCs w:val="20"/>
        </w:rPr>
        <w:t xml:space="preserve"> da </w:t>
      </w:r>
      <w:r w:rsidR="006568D4" w:rsidRPr="007F372D">
        <w:rPr>
          <w:rFonts w:ascii="Arial" w:hAnsi="Arial" w:cs="Arial"/>
          <w:i/>
          <w:sz w:val="20"/>
          <w:szCs w:val="20"/>
        </w:rPr>
        <w:t>1</w:t>
      </w:r>
      <w:r w:rsidR="00C53017" w:rsidRPr="007F372D">
        <w:rPr>
          <w:rFonts w:ascii="Arial" w:hAnsi="Arial" w:cs="Arial"/>
          <w:i/>
          <w:sz w:val="20"/>
          <w:szCs w:val="20"/>
        </w:rPr>
        <w:t xml:space="preserve">ª Emissão de Certificados de Recebíveis Imobiliários da </w:t>
      </w:r>
      <w:r w:rsidR="001754BD" w:rsidRPr="007F372D">
        <w:rPr>
          <w:rFonts w:ascii="Arial" w:hAnsi="Arial" w:cs="Arial"/>
          <w:i/>
          <w:sz w:val="20"/>
          <w:szCs w:val="20"/>
        </w:rPr>
        <w:t>BLUM</w:t>
      </w:r>
      <w:r w:rsidR="001754BD" w:rsidRPr="00421855">
        <w:rPr>
          <w:rFonts w:ascii="Arial" w:hAnsi="Arial" w:cs="Arial"/>
          <w:i/>
          <w:sz w:val="20"/>
          <w:szCs w:val="20"/>
        </w:rPr>
        <w:t xml:space="preserve">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proofErr w:type="spellStart"/>
            <w:r w:rsidRPr="00421855">
              <w:rPr>
                <w:rFonts w:ascii="Arial" w:hAnsi="Arial" w:cs="Arial"/>
                <w:b/>
                <w:bCs/>
                <w:sz w:val="20"/>
                <w:szCs w:val="20"/>
              </w:rPr>
              <w:t>Reag</w:t>
            </w:r>
            <w:proofErr w:type="spellEnd"/>
            <w:r w:rsidRPr="00421855">
              <w:rPr>
                <w:rFonts w:ascii="Arial" w:hAnsi="Arial" w:cs="Arial"/>
                <w:b/>
                <w:bCs/>
                <w:sz w:val="20"/>
                <w:szCs w:val="20"/>
              </w:rPr>
              <w:t xml:space="preserve">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14"/>
      <w:bookmarkEnd w:id="15"/>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Custodiante”</w:t>
            </w:r>
          </w:p>
        </w:tc>
        <w:tc>
          <w:tcPr>
            <w:tcW w:w="6065" w:type="dxa"/>
          </w:tcPr>
          <w:p w14:paraId="0CCA5FAE" w14:textId="6EEB326A"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004610DB">
              <w:rPr>
                <w:rFonts w:ascii="Arial" w:hAnsi="Arial" w:cs="Arial"/>
                <w:sz w:val="20"/>
                <w:szCs w:val="20"/>
              </w:rPr>
              <w:t>Simplific Pavarini Distribuidora de Títulos e Valores Mobiliários LT</w:t>
            </w:r>
            <w:r w:rsidR="00153AA9">
              <w:rPr>
                <w:rFonts w:ascii="Arial" w:hAnsi="Arial" w:cs="Arial"/>
                <w:sz w:val="20"/>
                <w:szCs w:val="20"/>
              </w:rPr>
              <w:t>D</w:t>
            </w:r>
            <w:r w:rsidR="004610DB">
              <w:rPr>
                <w:rFonts w:ascii="Arial" w:hAnsi="Arial" w:cs="Arial"/>
                <w:sz w:val="20"/>
                <w:szCs w:val="20"/>
              </w:rPr>
              <w:t>A.</w:t>
            </w:r>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 xml:space="preserve">B3 S.A. – Brasil, Bolsa, Balcão – Segmento </w:t>
            </w:r>
            <w:proofErr w:type="spellStart"/>
            <w:r w:rsidRPr="00421855">
              <w:rPr>
                <w:rFonts w:ascii="Arial" w:hAnsi="Arial" w:cs="Arial"/>
                <w:b/>
                <w:bCs/>
                <w:sz w:val="20"/>
                <w:szCs w:val="20"/>
              </w:rPr>
              <w:t>Cetip</w:t>
            </w:r>
            <w:proofErr w:type="spellEnd"/>
            <w:r w:rsidRPr="00421855">
              <w:rPr>
                <w:rFonts w:ascii="Arial" w:hAnsi="Arial" w:cs="Arial"/>
                <w:b/>
                <w:bCs/>
                <w:sz w:val="20"/>
                <w:szCs w:val="20"/>
              </w:rPr>
              <w:t xml:space="preserve">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w:t>
            </w:r>
            <w:proofErr w:type="spellStart"/>
            <w:r w:rsidRPr="00421855">
              <w:rPr>
                <w:rFonts w:ascii="Arial" w:hAnsi="Arial" w:cs="Arial"/>
                <w:sz w:val="20"/>
                <w:szCs w:val="20"/>
              </w:rPr>
              <w:t>Antonio</w:t>
            </w:r>
            <w:proofErr w:type="spellEnd"/>
            <w:r w:rsidRPr="00421855">
              <w:rPr>
                <w:rFonts w:ascii="Arial" w:hAnsi="Arial" w:cs="Arial"/>
                <w:sz w:val="20"/>
                <w:szCs w:val="20"/>
              </w:rPr>
              <w:t xml:space="preserve">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4FF9F6C1"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w:t>
            </w:r>
            <w:r w:rsidR="006D79BE">
              <w:rPr>
                <w:rFonts w:ascii="Arial" w:hAnsi="Arial" w:cs="Arial"/>
                <w:sz w:val="20"/>
                <w:szCs w:val="20"/>
              </w:rPr>
              <w:t>os Créditos Imobiliários Cedidos, que correspondem à</w:t>
            </w:r>
            <w:r w:rsidRPr="00421855">
              <w:rPr>
                <w:rFonts w:ascii="Arial" w:hAnsi="Arial" w:cs="Arial"/>
                <w:sz w:val="20"/>
                <w:szCs w:val="20"/>
              </w:rPr>
              <w:t xml:space="preserve">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41.776.356/0001-07, neste ato representado na forma de seu </w:t>
            </w:r>
            <w:r w:rsidR="00ED18CE" w:rsidRPr="00421855">
              <w:rPr>
                <w:rFonts w:ascii="Arial" w:hAnsi="Arial" w:cs="Arial"/>
                <w:sz w:val="20"/>
                <w:szCs w:val="20"/>
              </w:rPr>
              <w:lastRenderedPageBreak/>
              <w:t xml:space="preserve">Regulamento por sua administradora </w:t>
            </w:r>
            <w:proofErr w:type="spellStart"/>
            <w:r w:rsidR="003A52A8" w:rsidRPr="00421855">
              <w:rPr>
                <w:rFonts w:ascii="Arial" w:hAnsi="Arial" w:cs="Arial"/>
                <w:b/>
                <w:bCs/>
                <w:sz w:val="20"/>
                <w:szCs w:val="20"/>
              </w:rPr>
              <w:t>Reag</w:t>
            </w:r>
            <w:proofErr w:type="spellEnd"/>
            <w:r w:rsidR="003A52A8" w:rsidRPr="00421855">
              <w:rPr>
                <w:rFonts w:ascii="Arial" w:hAnsi="Arial" w:cs="Arial"/>
                <w:b/>
                <w:bCs/>
                <w:sz w:val="20"/>
                <w:szCs w:val="20"/>
              </w:rPr>
              <w:t xml:space="preserve">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lastRenderedPageBreak/>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 xml:space="preserve">Green </w:t>
            </w:r>
            <w:proofErr w:type="spellStart"/>
            <w:r w:rsidR="006505DD" w:rsidRPr="00421855">
              <w:rPr>
                <w:rFonts w:ascii="Arial" w:hAnsi="Arial" w:cs="Arial"/>
                <w:b/>
                <w:bCs/>
                <w:sz w:val="20"/>
                <w:szCs w:val="20"/>
              </w:rPr>
              <w:t>Pay</w:t>
            </w:r>
            <w:proofErr w:type="spellEnd"/>
            <w:r w:rsidR="006505DD" w:rsidRPr="00421855">
              <w:rPr>
                <w:rFonts w:ascii="Arial" w:hAnsi="Arial" w:cs="Arial"/>
                <w:b/>
                <w:bCs/>
                <w:sz w:val="20"/>
                <w:szCs w:val="20"/>
              </w:rPr>
              <w:t xml:space="preserve"> </w:t>
            </w:r>
            <w:proofErr w:type="spellStart"/>
            <w:r w:rsidR="006505DD" w:rsidRPr="00421855">
              <w:rPr>
                <w:rFonts w:ascii="Arial" w:hAnsi="Arial" w:cs="Arial"/>
                <w:b/>
                <w:bCs/>
                <w:sz w:val="20"/>
                <w:szCs w:val="20"/>
              </w:rPr>
              <w:t>Plataform</w:t>
            </w:r>
            <w:proofErr w:type="spellEnd"/>
            <w:r w:rsidR="006505DD" w:rsidRPr="00421855">
              <w:rPr>
                <w:rFonts w:ascii="Arial" w:hAnsi="Arial" w:cs="Arial"/>
                <w:b/>
                <w:bCs/>
                <w:sz w:val="20"/>
                <w:szCs w:val="20"/>
              </w:rPr>
              <w:t xml:space="preserve"> S.A.</w:t>
            </w:r>
            <w:r w:rsidR="006505DD" w:rsidRPr="00421855">
              <w:rPr>
                <w:rFonts w:ascii="Arial" w:hAnsi="Arial" w:cs="Arial"/>
                <w:sz w:val="20"/>
                <w:szCs w:val="20"/>
              </w:rPr>
              <w:t xml:space="preserve">, sociedade anônima fechada com sede na cidade de Belo Horizonte, Estado de Minas Gerais, na Avenida Getúlio Vargas, nº 1300, 21º andar, sala 2103, Savassi, </w:t>
            </w:r>
            <w:r w:rsidR="006505DD" w:rsidRPr="00421855">
              <w:rPr>
                <w:rFonts w:ascii="Arial" w:hAnsi="Arial" w:cs="Arial"/>
                <w:sz w:val="20"/>
                <w:szCs w:val="20"/>
              </w:rPr>
              <w:lastRenderedPageBreak/>
              <w:t>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18" w:name="_Hlk92813587"/>
            <w:r w:rsidRPr="00421855">
              <w:rPr>
                <w:rFonts w:ascii="Arial" w:hAnsi="Arial" w:cs="Arial"/>
                <w:sz w:val="20"/>
                <w:szCs w:val="20"/>
              </w:rPr>
              <w:t>conta corrente n.º 14952-6, agência n.º 0001, do Banco Money Plus (274)</w:t>
            </w:r>
            <w:bookmarkEnd w:id="18"/>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437C39D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001F766D">
              <w:rPr>
                <w:rFonts w:ascii="Arial" w:hAnsi="Arial" w:cs="Arial"/>
                <w:i/>
                <w:iCs/>
                <w:sz w:val="20"/>
                <w:szCs w:val="20"/>
              </w:rPr>
              <w:t>0070096-3, 0070095-5, 0070093-0, 0070094-8 e 0070092-2</w:t>
            </w:r>
            <w:r w:rsidRPr="00421855">
              <w:rPr>
                <w:rFonts w:ascii="Arial" w:hAnsi="Arial" w:cs="Arial"/>
                <w:sz w:val="20"/>
                <w:szCs w:val="20"/>
              </w:rPr>
              <w:t xml:space="preserve">, celebrados por cada uma das Fiduciantes Creditórias, na qualidade de contratantes, pelo Banco Depositário, na qualidade de contratado, pela Securitizadora e </w:t>
            </w:r>
            <w:r w:rsidRPr="00421855">
              <w:rPr>
                <w:rFonts w:ascii="Arial" w:hAnsi="Arial" w:cs="Arial"/>
                <w:sz w:val="20"/>
                <w:szCs w:val="20"/>
              </w:rPr>
              <w:lastRenderedPageBreak/>
              <w:t xml:space="preserve">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lastRenderedPageBreak/>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316BEB2E"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“Coordenador Líder”</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proofErr w:type="spellStart"/>
            <w:r w:rsidRPr="00421855">
              <w:rPr>
                <w:rFonts w:ascii="Arial" w:hAnsi="Arial" w:cs="Arial"/>
                <w:b/>
                <w:bCs/>
                <w:sz w:val="20"/>
                <w:szCs w:val="16"/>
              </w:rPr>
              <w:t>Reag</w:t>
            </w:r>
            <w:proofErr w:type="spellEnd"/>
            <w:r w:rsidRPr="00421855">
              <w:rPr>
                <w:rFonts w:ascii="Arial" w:hAnsi="Arial" w:cs="Arial"/>
                <w:b/>
                <w:bCs/>
                <w:sz w:val="20"/>
                <w:szCs w:val="16"/>
              </w:rPr>
              <w:t xml:space="preserve">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2"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3"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w:t>
            </w:r>
            <w:r w:rsidRPr="00421855">
              <w:rPr>
                <w:rFonts w:ascii="Arial" w:hAnsi="Arial" w:cs="Arial"/>
                <w:sz w:val="20"/>
                <w:szCs w:val="20"/>
              </w:rPr>
              <w:lastRenderedPageBreak/>
              <w:t xml:space="preserve">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w:t>
            </w:r>
            <w:proofErr w:type="spellStart"/>
            <w:r w:rsidRPr="00421855">
              <w:rPr>
                <w:rFonts w:ascii="Arial" w:hAnsi="Arial" w:cs="Arial"/>
                <w:sz w:val="20"/>
                <w:szCs w:val="20"/>
              </w:rPr>
              <w:t>ii</w:t>
            </w:r>
            <w:proofErr w:type="spellEnd"/>
            <w:r w:rsidRPr="00421855">
              <w:rPr>
                <w:rFonts w:ascii="Arial" w:hAnsi="Arial" w:cs="Arial"/>
                <w:sz w:val="20"/>
                <w:szCs w:val="20"/>
              </w:rPr>
              <w:t>) de qualquer das controladas ou coligadas, direta ou indiretamente da Emissora, do Cedente e/ou dos Garantidores; (</w:t>
            </w:r>
            <w:proofErr w:type="spellStart"/>
            <w:r w:rsidRPr="00421855">
              <w:rPr>
                <w:rFonts w:ascii="Arial" w:hAnsi="Arial" w:cs="Arial"/>
                <w:sz w:val="20"/>
                <w:szCs w:val="20"/>
              </w:rPr>
              <w:t>iii</w:t>
            </w:r>
            <w:proofErr w:type="spellEnd"/>
            <w:r w:rsidRPr="00421855">
              <w:rPr>
                <w:rFonts w:ascii="Arial" w:hAnsi="Arial" w:cs="Arial"/>
                <w:sz w:val="20"/>
                <w:szCs w:val="20"/>
              </w:rPr>
              <w:t>) dos diretores ou conselheiros da Emissora, do Cedente e/ou dos Garantidores e respectivos cônjuges; (</w:t>
            </w:r>
            <w:proofErr w:type="spellStart"/>
            <w:r w:rsidRPr="00421855">
              <w:rPr>
                <w:rFonts w:ascii="Arial" w:hAnsi="Arial" w:cs="Arial"/>
                <w:sz w:val="20"/>
                <w:szCs w:val="20"/>
              </w:rPr>
              <w:t>iv</w:t>
            </w:r>
            <w:proofErr w:type="spellEnd"/>
            <w:r w:rsidRPr="00421855">
              <w:rPr>
                <w:rFonts w:ascii="Arial" w:hAnsi="Arial" w:cs="Arial"/>
                <w:sz w:val="20"/>
                <w:szCs w:val="20"/>
              </w:rPr>
              <w:t xml:space="preserve">)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w:t>
            </w:r>
            <w:r w:rsidRPr="00421855">
              <w:rPr>
                <w:rFonts w:ascii="Arial" w:hAnsi="Arial" w:cs="Arial"/>
                <w:sz w:val="20"/>
                <w:szCs w:val="20"/>
              </w:rPr>
              <w:lastRenderedPageBreak/>
              <w:t>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lastRenderedPageBreak/>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6F3E0B" w:rsidRDefault="00673DF6" w:rsidP="00673DF6">
            <w:pPr>
              <w:spacing w:before="120" w:after="120" w:line="300" w:lineRule="auto"/>
              <w:rPr>
                <w:rFonts w:ascii="Arial" w:hAnsi="Arial" w:cs="Arial"/>
                <w:b/>
                <w:sz w:val="20"/>
                <w:szCs w:val="20"/>
              </w:rPr>
            </w:pPr>
            <w:r w:rsidRPr="006F3E0B">
              <w:rPr>
                <w:rFonts w:ascii="Arial" w:hAnsi="Arial" w:cs="Arial"/>
                <w:b/>
                <w:sz w:val="20"/>
                <w:szCs w:val="20"/>
              </w:rPr>
              <w:t>“Dia(s) Útil(eis)”</w:t>
            </w:r>
          </w:p>
        </w:tc>
        <w:tc>
          <w:tcPr>
            <w:tcW w:w="6065" w:type="dxa"/>
          </w:tcPr>
          <w:p w14:paraId="08CE6742" w14:textId="4C5F1402" w:rsidR="00673DF6" w:rsidRPr="006D79BE" w:rsidRDefault="008512B1" w:rsidP="00673DF6">
            <w:pPr>
              <w:pStyle w:val="PargrafodaLista"/>
              <w:widowControl/>
              <w:numPr>
                <w:ilvl w:val="0"/>
                <w:numId w:val="56"/>
              </w:numPr>
              <w:spacing w:before="120" w:after="120" w:line="300" w:lineRule="auto"/>
              <w:ind w:left="574" w:hanging="567"/>
              <w:jc w:val="both"/>
              <w:rPr>
                <w:rFonts w:ascii="Arial" w:hAnsi="Arial" w:cs="Arial"/>
                <w:sz w:val="20"/>
                <w:szCs w:val="20"/>
              </w:rPr>
            </w:pPr>
            <w:r w:rsidRPr="004F5774">
              <w:rPr>
                <w:rFonts w:ascii="Arial" w:hAnsi="Arial" w:cs="Arial"/>
                <w:bCs/>
                <w:color w:val="000000"/>
                <w:sz w:val="20"/>
                <w:szCs w:val="20"/>
                <w:lang w:eastAsia="pt-BR"/>
              </w:rPr>
              <w:t>Qualquer dia que não seja sábado, domingo ou dia declarado como feriado nacional na República Federativa do Brasil.</w:t>
            </w:r>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w:t>
            </w:r>
            <w:r w:rsidRPr="00421855">
              <w:rPr>
                <w:rFonts w:ascii="Arial" w:hAnsi="Arial" w:cs="Arial"/>
                <w:sz w:val="20"/>
                <w:szCs w:val="20"/>
              </w:rPr>
              <w:lastRenderedPageBreak/>
              <w:t xml:space="preserve">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lastRenderedPageBreak/>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1EC522A1" w:rsidR="00673DF6" w:rsidRPr="00BA0210" w:rsidRDefault="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BA0210">
              <w:rPr>
                <w:rFonts w:ascii="Arial" w:hAnsi="Arial" w:cs="Arial"/>
                <w:sz w:val="20"/>
                <w:szCs w:val="20"/>
              </w:rPr>
              <w:t>Contratos de Locação;</w:t>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w:t>
            </w:r>
            <w:proofErr w:type="spellStart"/>
            <w:r w:rsidRPr="00421855">
              <w:rPr>
                <w:rFonts w:ascii="Arial" w:hAnsi="Arial" w:cs="Arial"/>
                <w:sz w:val="20"/>
                <w:szCs w:val="20"/>
              </w:rPr>
              <w:t>ns</w:t>
            </w:r>
            <w:proofErr w:type="spellEnd"/>
            <w:r w:rsidRPr="00421855">
              <w:rPr>
                <w:rFonts w:ascii="Arial" w:hAnsi="Arial" w:cs="Arial"/>
                <w:sz w:val="20"/>
                <w:szCs w:val="20"/>
              </w:rPr>
              <w:t>)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lastRenderedPageBreak/>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w:t>
            </w:r>
            <w:proofErr w:type="spellStart"/>
            <w:r w:rsidRPr="00421855">
              <w:rPr>
                <w:rFonts w:ascii="Arial" w:hAnsi="Arial" w:cs="Arial"/>
                <w:sz w:val="20"/>
                <w:szCs w:val="20"/>
              </w:rPr>
              <w:t>ii</w:t>
            </w:r>
            <w:proofErr w:type="spellEnd"/>
            <w:r w:rsidRPr="00421855">
              <w:rPr>
                <w:rFonts w:ascii="Arial" w:hAnsi="Arial" w:cs="Arial"/>
                <w:sz w:val="20"/>
                <w:szCs w:val="20"/>
              </w:rPr>
              <w:t>) e (</w:t>
            </w:r>
            <w:proofErr w:type="spellStart"/>
            <w:r w:rsidRPr="00421855">
              <w:rPr>
                <w:rFonts w:ascii="Arial" w:hAnsi="Arial" w:cs="Arial"/>
                <w:sz w:val="20"/>
                <w:szCs w:val="20"/>
              </w:rPr>
              <w:t>iii</w:t>
            </w:r>
            <w:proofErr w:type="spellEnd"/>
            <w:r w:rsidRPr="00421855">
              <w:rPr>
                <w:rFonts w:ascii="Arial" w:hAnsi="Arial" w:cs="Arial"/>
                <w:sz w:val="20"/>
                <w:szCs w:val="20"/>
              </w:rPr>
              <w:t>),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w:t>
            </w:r>
            <w:proofErr w:type="spellStart"/>
            <w:r w:rsidRPr="00421855">
              <w:rPr>
                <w:rFonts w:ascii="Arial" w:hAnsi="Arial" w:cs="Arial"/>
                <w:i/>
                <w:sz w:val="20"/>
                <w:szCs w:val="20"/>
              </w:rPr>
              <w:t>temporis</w:t>
            </w:r>
            <w:proofErr w:type="spellEnd"/>
            <w:r w:rsidRPr="00421855">
              <w:rPr>
                <w:rFonts w:ascii="Arial" w:hAnsi="Arial" w:cs="Arial"/>
                <w:i/>
                <w:sz w:val="20"/>
                <w:szCs w:val="20"/>
              </w:rPr>
              <w:t xml:space="preserve">,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xml:space="preserve">, </w:t>
            </w:r>
            <w:proofErr w:type="gramStart"/>
            <w:r w:rsidR="00AC6577">
              <w:rPr>
                <w:rFonts w:ascii="Arial" w:hAnsi="Arial" w:cs="Arial"/>
                <w:i/>
                <w:sz w:val="20"/>
                <w:szCs w:val="20"/>
              </w:rPr>
              <w:t>Fracionárias</w:t>
            </w:r>
            <w:proofErr w:type="gramEnd"/>
            <w:r w:rsidR="00AC6577">
              <w:rPr>
                <w:rFonts w:ascii="Arial" w:hAnsi="Arial" w:cs="Arial"/>
                <w:i/>
                <w:sz w:val="20"/>
                <w:szCs w:val="20"/>
              </w:rPr>
              <w:t>,</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4BC447DC" w:rsidR="00673DF6" w:rsidRPr="001F766D"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lastRenderedPageBreak/>
              <w:t xml:space="preserve">Green </w:t>
            </w:r>
            <w:proofErr w:type="spellStart"/>
            <w:r w:rsidRPr="00421855">
              <w:rPr>
                <w:rFonts w:ascii="Arial" w:hAnsi="Arial" w:cs="Arial"/>
                <w:b/>
                <w:bCs/>
                <w:sz w:val="20"/>
                <w:szCs w:val="20"/>
              </w:rPr>
              <w:t>Pay</w:t>
            </w:r>
            <w:proofErr w:type="spellEnd"/>
            <w:r w:rsidRPr="00421855">
              <w:rPr>
                <w:rFonts w:ascii="Arial" w:hAnsi="Arial" w:cs="Arial"/>
                <w:b/>
                <w:bCs/>
                <w:sz w:val="20"/>
                <w:szCs w:val="20"/>
              </w:rPr>
              <w:t xml:space="preserve"> </w:t>
            </w:r>
            <w:proofErr w:type="spellStart"/>
            <w:r w:rsidRPr="00421855">
              <w:rPr>
                <w:rFonts w:ascii="Arial" w:hAnsi="Arial" w:cs="Arial"/>
                <w:b/>
                <w:bCs/>
                <w:sz w:val="20"/>
                <w:szCs w:val="20"/>
              </w:rPr>
              <w:t>Plataform</w:t>
            </w:r>
            <w:proofErr w:type="spellEnd"/>
            <w:r w:rsidRPr="00421855">
              <w:rPr>
                <w:rFonts w:ascii="Arial" w:hAnsi="Arial" w:cs="Arial"/>
                <w:b/>
                <w:bCs/>
                <w:sz w:val="20"/>
                <w:szCs w:val="20"/>
              </w:rPr>
              <w:t xml:space="preserve">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xml:space="preserve">, com sede na Cidade de Belo Horizonte, Estado de Minas Gerais, na Av. Barão </w:t>
            </w:r>
            <w:r w:rsidRPr="00421855">
              <w:rPr>
                <w:rFonts w:ascii="Arial" w:eastAsia="Arial Unicode MS" w:hAnsi="Arial" w:cs="Arial"/>
                <w:bCs/>
                <w:sz w:val="20"/>
                <w:szCs w:val="20"/>
              </w:rPr>
              <w:lastRenderedPageBreak/>
              <w:t>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lastRenderedPageBreak/>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19"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19"/>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w:t>
            </w:r>
            <w:r w:rsidRPr="00421855">
              <w:rPr>
                <w:rFonts w:ascii="Arial" w:hAnsi="Arial" w:cs="Arial"/>
                <w:sz w:val="20"/>
                <w:szCs w:val="20"/>
              </w:rPr>
              <w:lastRenderedPageBreak/>
              <w:t xml:space="preserve">de Divinópolis/MG. </w:t>
            </w:r>
          </w:p>
        </w:tc>
      </w:tr>
      <w:tr w:rsidR="00673DF6" w:rsidRPr="00421855" w14:paraId="1A028624" w14:textId="77777777" w:rsidTr="00DE7396">
        <w:tc>
          <w:tcPr>
            <w:tcW w:w="3618" w:type="dxa"/>
          </w:tcPr>
          <w:p w14:paraId="2E5FE8B0" w14:textId="035D0D7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“Imóveis”</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lastRenderedPageBreak/>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421855">
              <w:rPr>
                <w:rFonts w:ascii="Arial" w:hAnsi="Arial" w:cs="Arial"/>
                <w:sz w:val="20"/>
                <w:szCs w:val="20"/>
              </w:rPr>
              <w:t>pré</w:t>
            </w:r>
            <w:proofErr w:type="spellEnd"/>
            <w:r w:rsidRPr="00421855">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B807F2" w:rsidRPr="00421855" w14:paraId="5FE9787F" w14:textId="77777777" w:rsidTr="00DE7396">
        <w:tc>
          <w:tcPr>
            <w:tcW w:w="3618" w:type="dxa"/>
          </w:tcPr>
          <w:p w14:paraId="7A4DB930" w14:textId="44F48AFD" w:rsidR="00B807F2" w:rsidRPr="00421855" w:rsidRDefault="00B807F2" w:rsidP="00B807F2">
            <w:pPr>
              <w:spacing w:before="120" w:after="120" w:line="300" w:lineRule="auto"/>
              <w:rPr>
                <w:rFonts w:ascii="Arial" w:hAnsi="Arial" w:cs="Arial"/>
                <w:b/>
                <w:sz w:val="20"/>
                <w:szCs w:val="20"/>
              </w:rPr>
            </w:pPr>
            <w:r>
              <w:rPr>
                <w:rFonts w:ascii="Arial" w:hAnsi="Arial" w:cs="Arial"/>
                <w:b/>
                <w:color w:val="000000"/>
                <w:sz w:val="20"/>
                <w:szCs w:val="20"/>
              </w:rPr>
              <w:t>“Lei 14.063”</w:t>
            </w:r>
          </w:p>
        </w:tc>
        <w:tc>
          <w:tcPr>
            <w:tcW w:w="6065" w:type="dxa"/>
          </w:tcPr>
          <w:p w14:paraId="12C663A5" w14:textId="7484F016" w:rsidR="00B807F2" w:rsidRPr="00421855" w:rsidRDefault="00B807F2" w:rsidP="00B807F2">
            <w:pPr>
              <w:spacing w:before="120" w:after="120" w:line="300" w:lineRule="auto"/>
              <w:jc w:val="both"/>
              <w:rPr>
                <w:rFonts w:ascii="Arial" w:hAnsi="Arial" w:cs="Arial"/>
                <w:sz w:val="20"/>
                <w:szCs w:val="20"/>
              </w:rPr>
            </w:pPr>
            <w:r w:rsidRPr="00A079A1">
              <w:rPr>
                <w:rFonts w:ascii="Arial" w:hAnsi="Arial" w:cs="Arial"/>
                <w:color w:val="000000"/>
                <w:sz w:val="20"/>
                <w:szCs w:val="20"/>
              </w:rPr>
              <w:t>A Lei nº </w:t>
            </w:r>
            <w:r>
              <w:rPr>
                <w:rFonts w:ascii="Arial" w:hAnsi="Arial" w:cs="Arial"/>
                <w:color w:val="000000"/>
                <w:sz w:val="20"/>
                <w:szCs w:val="20"/>
              </w:rPr>
              <w:t>14.063</w:t>
            </w:r>
            <w:r w:rsidRPr="00A079A1">
              <w:rPr>
                <w:rFonts w:ascii="Arial" w:hAnsi="Arial" w:cs="Arial"/>
                <w:color w:val="000000"/>
                <w:sz w:val="20"/>
                <w:szCs w:val="20"/>
              </w:rPr>
              <w:t xml:space="preserve">, de </w:t>
            </w:r>
            <w:r>
              <w:rPr>
                <w:rFonts w:ascii="Arial" w:hAnsi="Arial" w:cs="Arial"/>
                <w:color w:val="000000"/>
                <w:sz w:val="20"/>
                <w:szCs w:val="20"/>
              </w:rPr>
              <w:t>23</w:t>
            </w:r>
            <w:r w:rsidRPr="00A079A1">
              <w:rPr>
                <w:rFonts w:ascii="Arial" w:hAnsi="Arial" w:cs="Arial"/>
                <w:color w:val="000000"/>
                <w:sz w:val="20"/>
                <w:szCs w:val="20"/>
              </w:rPr>
              <w:t xml:space="preserve"> de </w:t>
            </w:r>
            <w:r>
              <w:rPr>
                <w:rFonts w:ascii="Arial" w:hAnsi="Arial" w:cs="Arial"/>
                <w:color w:val="000000"/>
                <w:sz w:val="20"/>
                <w:szCs w:val="20"/>
              </w:rPr>
              <w:t>setembro</w:t>
            </w:r>
            <w:r w:rsidRPr="00A079A1">
              <w:rPr>
                <w:rFonts w:ascii="Arial" w:hAnsi="Arial" w:cs="Arial"/>
                <w:color w:val="000000"/>
                <w:sz w:val="20"/>
                <w:szCs w:val="20"/>
              </w:rPr>
              <w:t xml:space="preserve"> de 20</w:t>
            </w:r>
            <w:r>
              <w:rPr>
                <w:rFonts w:ascii="Arial" w:hAnsi="Arial" w:cs="Arial"/>
                <w:color w:val="000000"/>
                <w:sz w:val="20"/>
                <w:szCs w:val="20"/>
              </w:rPr>
              <w:t>20</w:t>
            </w:r>
            <w:r w:rsidRPr="00A079A1">
              <w:rPr>
                <w:rFonts w:ascii="Arial" w:hAnsi="Arial" w:cs="Arial"/>
                <w:color w:val="000000"/>
                <w:sz w:val="20"/>
                <w:szCs w:val="20"/>
              </w:rPr>
              <w:t>.</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 xml:space="preserve">Quando denominadas em conjunto,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w:t>
            </w:r>
            <w:r w:rsidRPr="00421855">
              <w:rPr>
                <w:rFonts w:ascii="Arial" w:hAnsi="Arial" w:cs="Arial"/>
                <w:sz w:val="20"/>
                <w:szCs w:val="20"/>
              </w:rPr>
              <w:lastRenderedPageBreak/>
              <w:t xml:space="preserve">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oferta pública de distribuição, com esforços restritos de </w:t>
            </w:r>
            <w:r w:rsidRPr="00421855">
              <w:rPr>
                <w:rFonts w:ascii="Arial" w:hAnsi="Arial" w:cs="Arial"/>
                <w:sz w:val="20"/>
                <w:szCs w:val="20"/>
              </w:rPr>
              <w:lastRenderedPageBreak/>
              <w:t>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w:t>
            </w:r>
            <w:proofErr w:type="spellStart"/>
            <w:r w:rsidRPr="00421855">
              <w:rPr>
                <w:rFonts w:ascii="Arial" w:hAnsi="Arial" w:cs="Arial"/>
                <w:bCs/>
                <w:sz w:val="20"/>
                <w:szCs w:val="20"/>
              </w:rPr>
              <w:t>Forgreen</w:t>
            </w:r>
            <w:proofErr w:type="spellEnd"/>
            <w:r w:rsidRPr="00421855">
              <w:rPr>
                <w:rFonts w:ascii="Arial" w:hAnsi="Arial" w:cs="Arial"/>
                <w:bCs/>
                <w:sz w:val="20"/>
                <w:szCs w:val="20"/>
              </w:rPr>
              <w:t xml:space="preserve">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lastRenderedPageBreak/>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6192F118"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r w:rsidR="00BA5BE5">
              <w:rPr>
                <w:rFonts w:ascii="Arial" w:hAnsi="Arial" w:cs="Arial"/>
                <w:sz w:val="20"/>
                <w:szCs w:val="20"/>
              </w:rPr>
              <w:t>57.391,80</w:t>
            </w:r>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r w:rsidR="00BA5BE5">
              <w:rPr>
                <w:rFonts w:ascii="Arial" w:hAnsi="Arial" w:cs="Arial"/>
                <w:sz w:val="20"/>
                <w:szCs w:val="20"/>
              </w:rPr>
              <w:t>cinquenta e sete</w:t>
            </w:r>
            <w:r w:rsidR="00487F81" w:rsidRPr="00D37CD2">
              <w:rPr>
                <w:rFonts w:ascii="Arial" w:hAnsi="Arial" w:cs="Arial"/>
                <w:sz w:val="20"/>
                <w:szCs w:val="20"/>
              </w:rPr>
              <w:t xml:space="preserve"> </w:t>
            </w:r>
            <w:r w:rsidRPr="00AD54F4">
              <w:rPr>
                <w:rFonts w:ascii="Arial" w:hAnsi="Arial" w:cs="Arial"/>
                <w:sz w:val="20"/>
                <w:szCs w:val="20"/>
              </w:rPr>
              <w:t xml:space="preserve">mil e </w:t>
            </w:r>
            <w:r w:rsidR="00BA5BE5">
              <w:rPr>
                <w:rFonts w:ascii="Arial" w:hAnsi="Arial" w:cs="Arial"/>
                <w:sz w:val="20"/>
                <w:szCs w:val="20"/>
              </w:rPr>
              <w:t>trezentos e noventa e um</w:t>
            </w:r>
            <w:r w:rsidRPr="00AD54F4">
              <w:rPr>
                <w:rFonts w:ascii="Arial" w:hAnsi="Arial" w:cs="Arial"/>
                <w:sz w:val="20"/>
                <w:szCs w:val="20"/>
              </w:rPr>
              <w:t xml:space="preserve"> reais e </w:t>
            </w:r>
            <w:r w:rsidR="00BA5BE5">
              <w:rPr>
                <w:rFonts w:ascii="Arial" w:hAnsi="Arial" w:cs="Arial"/>
                <w:sz w:val="20"/>
                <w:szCs w:val="20"/>
              </w:rPr>
              <w:t>oitenta</w:t>
            </w:r>
            <w:r w:rsidR="00487F81" w:rsidRPr="00D37CD2">
              <w:rPr>
                <w:rFonts w:ascii="Arial" w:hAnsi="Arial" w:cs="Arial"/>
                <w:sz w:val="20"/>
                <w:szCs w:val="20"/>
              </w:rPr>
              <w:t xml:space="preserve">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9F7EDB">
              <w:rPr>
                <w:rFonts w:ascii="Arial" w:hAnsi="Arial" w:cs="Arial"/>
                <w:sz w:val="20"/>
                <w:szCs w:val="20"/>
              </w:rPr>
              <w:t xml:space="preserve">Cláusula Segunda </w:t>
            </w:r>
            <w:r w:rsidRPr="009F7EDB">
              <w:rPr>
                <w:rFonts w:ascii="Arial" w:hAnsi="Arial" w:cs="Arial"/>
                <w:sz w:val="20"/>
                <w:szCs w:val="20"/>
              </w:rPr>
              <w:t xml:space="preserve">e da </w:t>
            </w:r>
            <w:r w:rsidR="00B456C9" w:rsidRPr="009F7EDB">
              <w:rPr>
                <w:rFonts w:ascii="Arial" w:hAnsi="Arial" w:cs="Arial"/>
                <w:sz w:val="20"/>
                <w:szCs w:val="20"/>
              </w:rPr>
              <w:t xml:space="preserve">Cláusula Quinta </w:t>
            </w:r>
            <w:r w:rsidRPr="009F7EDB">
              <w:rPr>
                <w:rFonts w:ascii="Arial" w:hAnsi="Arial" w:cs="Arial"/>
                <w:sz w:val="20"/>
                <w:szCs w:val="20"/>
              </w:rPr>
              <w:t>do Contrato de Cessão</w:t>
            </w:r>
            <w:r w:rsidRPr="009F7EDB">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4CB21050"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24/04/2024 (inclusive)</w:t>
                  </w:r>
                  <w:r>
                    <w:rPr>
                      <w:rFonts w:ascii="Arial" w:hAnsi="Arial" w:cs="Arial"/>
                      <w:sz w:val="20"/>
                      <w:szCs w:val="20"/>
                    </w:rPr>
                    <w:t xml:space="preserve"> e o </w:t>
                  </w:r>
                  <w:r w:rsidR="00EF2A3C">
                    <w:rPr>
                      <w:rFonts w:ascii="Arial" w:hAnsi="Arial" w:cs="Arial"/>
                      <w:sz w:val="20"/>
                      <w:szCs w:val="20"/>
                    </w:rPr>
                    <w:t>25/03/2025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r w:rsidR="00EF2A3C">
                    <w:rPr>
                      <w:rFonts w:ascii="Arial" w:hAnsi="Arial" w:cs="Arial"/>
                      <w:sz w:val="20"/>
                      <w:szCs w:val="20"/>
                    </w:rPr>
                    <w:t>00</w:t>
                  </w:r>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41BFD045"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26/03/2025 (inclusive) e 25/03/2026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r w:rsidR="00EF2A3C">
                    <w:rPr>
                      <w:rFonts w:ascii="Arial" w:hAnsi="Arial" w:cs="Arial"/>
                      <w:sz w:val="20"/>
                      <w:szCs w:val="20"/>
                    </w:rPr>
                    <w:t>00</w:t>
                  </w:r>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4B9E819"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r w:rsidR="00EF2A3C">
                    <w:rPr>
                      <w:rFonts w:ascii="Arial" w:hAnsi="Arial" w:cs="Arial"/>
                      <w:sz w:val="20"/>
                      <w:szCs w:val="20"/>
                    </w:rPr>
                    <w:t>de 26/03/2026 (inclusive)</w:t>
                  </w:r>
                  <w:r>
                    <w:rPr>
                      <w:rFonts w:ascii="Arial" w:hAnsi="Arial" w:cs="Arial"/>
                      <w:sz w:val="20"/>
                      <w:szCs w:val="20"/>
                    </w:rPr>
                    <w:t xml:space="preserve"> até a </w:t>
                  </w:r>
                  <w:r w:rsidR="00EF2A3C">
                    <w:rPr>
                      <w:rFonts w:ascii="Arial" w:hAnsi="Arial" w:cs="Arial"/>
                      <w:sz w:val="20"/>
                      <w:szCs w:val="20"/>
                    </w:rPr>
                    <w:t>D</w:t>
                  </w:r>
                  <w:r>
                    <w:rPr>
                      <w:rFonts w:ascii="Arial" w:hAnsi="Arial" w:cs="Arial"/>
                      <w:sz w:val="20"/>
                      <w:szCs w:val="20"/>
                    </w:rPr>
                    <w:t xml:space="preserve">ata de </w:t>
                  </w:r>
                  <w:r w:rsidR="00EF2A3C">
                    <w:rPr>
                      <w:rFonts w:ascii="Arial" w:hAnsi="Arial" w:cs="Arial"/>
                      <w:sz w:val="20"/>
                      <w:szCs w:val="20"/>
                    </w:rPr>
                    <w:t>V</w:t>
                  </w:r>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r w:rsidR="00EF2A3C">
                    <w:rPr>
                      <w:rFonts w:ascii="Arial" w:hAnsi="Arial" w:cs="Arial"/>
                      <w:sz w:val="20"/>
                      <w:szCs w:val="20"/>
                    </w:rPr>
                    <w:t>00</w:t>
                  </w:r>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lastRenderedPageBreak/>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proofErr w:type="gramStart"/>
            <w:r w:rsidR="008D2A96">
              <w:rPr>
                <w:rFonts w:ascii="Arial" w:hAnsi="Arial" w:cs="Arial"/>
                <w:sz w:val="20"/>
                <w:szCs w:val="20"/>
              </w:rPr>
              <w:t xml:space="preserve">próxima </w:t>
            </w:r>
            <w:r w:rsidR="00AC6577">
              <w:rPr>
                <w:rFonts w:ascii="Arial" w:hAnsi="Arial" w:cs="Arial"/>
                <w:sz w:val="20"/>
                <w:szCs w:val="20"/>
              </w:rPr>
              <w:t>Tranche</w:t>
            </w:r>
            <w:proofErr w:type="gramEnd"/>
            <w:r w:rsidR="00AC6577">
              <w:rPr>
                <w:rFonts w:ascii="Arial" w:hAnsi="Arial" w:cs="Arial"/>
                <w:sz w:val="20"/>
                <w:szCs w:val="20"/>
              </w:rPr>
              <w:t xml:space="preserv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20"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20"/>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Bens 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w:t>
            </w:r>
            <w:proofErr w:type="spellStart"/>
            <w:r w:rsidRPr="00421855">
              <w:rPr>
                <w:rFonts w:ascii="Arial" w:hAnsi="Arial" w:cs="Arial"/>
                <w:sz w:val="20"/>
                <w:szCs w:val="20"/>
              </w:rPr>
              <w:t>ii</w:t>
            </w:r>
            <w:proofErr w:type="spellEnd"/>
            <w:r w:rsidRPr="00421855">
              <w:rPr>
                <w:rFonts w:ascii="Arial" w:hAnsi="Arial" w:cs="Arial"/>
                <w:sz w:val="20"/>
                <w:szCs w:val="20"/>
              </w:rPr>
              <w:t xml:space="preserve">)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acidentes diretamente relacionados com a </w:t>
            </w:r>
            <w:r w:rsidRPr="00421855">
              <w:rPr>
                <w:rFonts w:ascii="Arial" w:hAnsi="Arial" w:cs="Arial"/>
                <w:sz w:val="20"/>
                <w:szCs w:val="20"/>
              </w:rPr>
              <w:lastRenderedPageBreak/>
              <w:t>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21"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21"/>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421855">
              <w:rPr>
                <w:rFonts w:ascii="Arial" w:hAnsi="Arial" w:cs="Arial"/>
                <w:sz w:val="20"/>
                <w:szCs w:val="20"/>
              </w:rPr>
              <w:t>ii</w:t>
            </w:r>
            <w:proofErr w:type="spellEnd"/>
            <w:r w:rsidRPr="00421855">
              <w:rPr>
                <w:rFonts w:ascii="Arial" w:hAnsi="Arial" w:cs="Arial"/>
                <w:sz w:val="20"/>
                <w:szCs w:val="20"/>
              </w:rPr>
              <w:t>) danos decorrentes de roubo e furto qualificado das máquinas e equipamentos segurados; e (</w:t>
            </w:r>
            <w:proofErr w:type="spellStart"/>
            <w:r w:rsidRPr="00421855">
              <w:rPr>
                <w:rFonts w:ascii="Arial" w:hAnsi="Arial" w:cs="Arial"/>
                <w:sz w:val="20"/>
                <w:szCs w:val="20"/>
              </w:rPr>
              <w:t>iii</w:t>
            </w:r>
            <w:proofErr w:type="spellEnd"/>
            <w:r w:rsidRPr="00421855">
              <w:rPr>
                <w:rFonts w:ascii="Arial" w:hAnsi="Arial" w:cs="Arial"/>
                <w:sz w:val="20"/>
                <w:szCs w:val="20"/>
              </w:rPr>
              <w:t>)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w:t>
            </w:r>
            <w:proofErr w:type="spellStart"/>
            <w:r w:rsidRPr="00421855">
              <w:rPr>
                <w:rFonts w:ascii="Arial" w:hAnsi="Arial" w:cs="Arial"/>
                <w:sz w:val="20"/>
                <w:szCs w:val="20"/>
              </w:rPr>
              <w:t>ii</w:t>
            </w:r>
            <w:proofErr w:type="spellEnd"/>
            <w:r w:rsidRPr="00421855">
              <w:rPr>
                <w:rFonts w:ascii="Arial" w:hAnsi="Arial" w:cs="Arial"/>
                <w:sz w:val="20"/>
                <w:szCs w:val="20"/>
              </w:rPr>
              <w:t>)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apólices dos seguros aqui tratados deverão estar vigentes em até 30 (trinta) dias úteis contados da data da conclusão da 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denominados, em conjunto, os Seguros Operacionais e </w:t>
            </w:r>
            <w:r w:rsidRPr="00421855">
              <w:rPr>
                <w:rFonts w:ascii="Arial" w:hAnsi="Arial" w:cs="Arial"/>
                <w:sz w:val="20"/>
                <w:szCs w:val="20"/>
              </w:rPr>
              <w:lastRenderedPageBreak/>
              <w:t>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lastRenderedPageBreak/>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9F7EDB" w:rsidRDefault="004E24CE" w:rsidP="004E24CE">
            <w:pPr>
              <w:spacing w:before="120" w:after="120" w:line="300" w:lineRule="auto"/>
              <w:jc w:val="both"/>
              <w:rPr>
                <w:rFonts w:ascii="Arial" w:hAnsi="Arial" w:cs="Arial"/>
                <w:bCs/>
                <w:sz w:val="20"/>
                <w:szCs w:val="20"/>
              </w:rPr>
            </w:pPr>
            <w:r w:rsidRPr="009F7EDB">
              <w:rPr>
                <w:rFonts w:ascii="Arial" w:hAnsi="Arial" w:cs="Arial"/>
                <w:sz w:val="20"/>
                <w:szCs w:val="20"/>
              </w:rPr>
              <w:t>O montante total a ser pago, mensalmente, por cada uma das Locatárias, nos termos dos respectivos Contratos de Locação, correspondente à somatória dos Créditos Imobiliários Cedidos</w:t>
            </w:r>
            <w:r w:rsidRPr="004F5774">
              <w:rPr>
                <w:rFonts w:ascii="Arial" w:hAnsi="Arial" w:cs="Arial"/>
                <w:sz w:val="20"/>
                <w:szCs w:val="20"/>
              </w:rPr>
              <w:t xml:space="preserve"> e dos Créditos Imobiliários Não Vinculados</w:t>
            </w:r>
            <w:r w:rsidRPr="009F7EDB">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22" w:name="_DV_M83"/>
      <w:bookmarkStart w:id="23" w:name="_Hlk69840175"/>
      <w:bookmarkStart w:id="24" w:name="_Toc110076261"/>
      <w:bookmarkStart w:id="25" w:name="_Toc165713865"/>
      <w:bookmarkStart w:id="26" w:name="_Toc168723723"/>
      <w:bookmarkEnd w:id="16"/>
      <w:bookmarkEnd w:id="17"/>
      <w:bookmarkEnd w:id="22"/>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lastRenderedPageBreak/>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xml:space="preserve">, item, alínea, adendo e/ou anexo, são referências a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lastRenderedPageBreak/>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23"/>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61B713C6"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r w:rsidRPr="00421855">
        <w:rPr>
          <w:rFonts w:ascii="Arial" w:hAnsi="Arial" w:cs="Arial"/>
          <w:b w:val="0"/>
          <w:bCs w:val="0"/>
          <w:sz w:val="20"/>
          <w:szCs w:val="20"/>
          <w:u w:val="single"/>
        </w:rPr>
        <w:t>Aprovação Societária</w:t>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28" w:name="_DV_M84"/>
      <w:bookmarkEnd w:id="24"/>
      <w:bookmarkEnd w:id="28"/>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25"/>
      <w:bookmarkEnd w:id="26"/>
      <w:bookmarkEnd w:id="27"/>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29" w:name="_DV_M85"/>
      <w:bookmarkStart w:id="30" w:name="_Toc457548736"/>
      <w:bookmarkStart w:id="31" w:name="_Toc497236181"/>
      <w:bookmarkEnd w:id="29"/>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30"/>
      <w:bookmarkEnd w:id="31"/>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2"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32"/>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1966618C" w:rsidR="0004536A" w:rsidRPr="00E97353"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sz w:val="20"/>
        </w:rPr>
      </w:pPr>
      <w:r w:rsidRPr="00D20D42">
        <w:rPr>
          <w:rFonts w:ascii="Arial" w:hAnsi="Arial" w:cs="Arial"/>
          <w:sz w:val="20"/>
          <w:szCs w:val="20"/>
          <w:u w:val="single"/>
        </w:rPr>
        <w:t>Lastro dos CRI</w:t>
      </w:r>
      <w:r w:rsidRPr="00D20D42">
        <w:rPr>
          <w:rFonts w:ascii="Arial" w:hAnsi="Arial" w:cs="Arial"/>
          <w:sz w:val="20"/>
          <w:szCs w:val="20"/>
        </w:rPr>
        <w:t>. A Emissora declara que foram vinculados</w:t>
      </w:r>
      <w:r w:rsidR="00B0575A" w:rsidRPr="00D20D42">
        <w:rPr>
          <w:rFonts w:ascii="Arial" w:hAnsi="Arial" w:cs="Arial"/>
          <w:sz w:val="20"/>
          <w:szCs w:val="20"/>
        </w:rPr>
        <w:t xml:space="preserve"> aos CRI</w:t>
      </w:r>
      <w:r w:rsidRPr="00D20D42">
        <w:rPr>
          <w:rFonts w:ascii="Arial" w:hAnsi="Arial" w:cs="Arial"/>
          <w:sz w:val="20"/>
          <w:szCs w:val="20"/>
        </w:rPr>
        <w:t xml:space="preserve">, pelo presente Termo de Securitização, os Créditos Imobiliários </w:t>
      </w:r>
      <w:r w:rsidR="00CF5770" w:rsidRPr="00D20D42">
        <w:rPr>
          <w:rFonts w:ascii="Arial" w:hAnsi="Arial" w:cs="Arial"/>
          <w:sz w:val="20"/>
          <w:szCs w:val="20"/>
        </w:rPr>
        <w:t xml:space="preserve">Cedidos </w:t>
      </w:r>
      <w:r w:rsidRPr="00D20D42">
        <w:rPr>
          <w:rFonts w:ascii="Arial" w:hAnsi="Arial" w:cs="Arial"/>
          <w:sz w:val="20"/>
          <w:szCs w:val="20"/>
        </w:rPr>
        <w:t>representados pela</w:t>
      </w:r>
      <w:r w:rsidR="00E36B5D" w:rsidRPr="00D20D42">
        <w:rPr>
          <w:rFonts w:ascii="Arial" w:hAnsi="Arial" w:cs="Arial"/>
          <w:sz w:val="20"/>
          <w:szCs w:val="20"/>
        </w:rPr>
        <w:t>s</w:t>
      </w:r>
      <w:r w:rsidRPr="00D20D42">
        <w:rPr>
          <w:rFonts w:ascii="Arial" w:hAnsi="Arial" w:cs="Arial"/>
          <w:sz w:val="20"/>
          <w:szCs w:val="20"/>
        </w:rPr>
        <w:t xml:space="preserve"> CCI, com valor nominal total de </w:t>
      </w:r>
      <w:r w:rsidR="003E5A92" w:rsidRPr="00E97353">
        <w:rPr>
          <w:rFonts w:ascii="Arial" w:hAnsi="Arial"/>
          <w:sz w:val="20"/>
        </w:rPr>
        <w:t>R$</w:t>
      </w:r>
      <w:r w:rsidR="00702D29" w:rsidRPr="00E97353">
        <w:rPr>
          <w:rFonts w:ascii="Arial" w:hAnsi="Arial"/>
          <w:sz w:val="20"/>
        </w:rPr>
        <w:t> </w:t>
      </w:r>
      <w:r w:rsidR="00117D06" w:rsidRPr="00E97353">
        <w:rPr>
          <w:rFonts w:ascii="Arial" w:hAnsi="Arial"/>
          <w:sz w:val="20"/>
        </w:rPr>
        <w:t>251.144.289,24</w:t>
      </w:r>
      <w:r w:rsidR="00CB700A" w:rsidRPr="00D20D42">
        <w:rPr>
          <w:rFonts w:ascii="Arial" w:hAnsi="Arial" w:cs="Arial"/>
          <w:sz w:val="20"/>
          <w:szCs w:val="20"/>
        </w:rPr>
        <w:t xml:space="preserve"> (</w:t>
      </w:r>
      <w:r w:rsidR="00117D06" w:rsidRPr="00D20D42">
        <w:rPr>
          <w:rFonts w:ascii="Arial" w:hAnsi="Arial" w:cs="Arial"/>
          <w:sz w:val="20"/>
          <w:szCs w:val="20"/>
        </w:rPr>
        <w:t>duzentos e cinquenta e um milhões, cento e quarenta e quatro mil e duzentos e oitenta e nove reais e vinte e quatro centavos</w:t>
      </w:r>
      <w:r w:rsidR="00CB700A" w:rsidRPr="00D20D42">
        <w:rPr>
          <w:rFonts w:ascii="Arial" w:hAnsi="Arial" w:cs="Arial"/>
          <w:sz w:val="20"/>
          <w:szCs w:val="20"/>
        </w:rPr>
        <w:t>)</w:t>
      </w:r>
      <w:r w:rsidR="006D5E2B" w:rsidRPr="00D20D42">
        <w:rPr>
          <w:rFonts w:ascii="Arial" w:hAnsi="Arial" w:cs="Arial"/>
          <w:sz w:val="20"/>
          <w:szCs w:val="20"/>
        </w:rPr>
        <w:t xml:space="preserve">, </w:t>
      </w:r>
      <w:r w:rsidRPr="00D20D42">
        <w:rPr>
          <w:rFonts w:ascii="Arial" w:hAnsi="Arial" w:cs="Arial"/>
          <w:sz w:val="20"/>
          <w:szCs w:val="20"/>
        </w:rPr>
        <w:t>na Data de Emissão.</w:t>
      </w:r>
      <w:r w:rsidR="00DA4E16" w:rsidRPr="00D20D42">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3" w:name="_DV_M86"/>
      <w:bookmarkStart w:id="34" w:name="_Toc457548737"/>
      <w:bookmarkStart w:id="35" w:name="_Toc497236182"/>
      <w:bookmarkEnd w:id="33"/>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36" w:name="_DV_M43"/>
      <w:bookmarkStart w:id="37" w:name="_DV_M134"/>
      <w:bookmarkStart w:id="38" w:name="_DV_M135"/>
      <w:bookmarkStart w:id="39" w:name="_DV_M44"/>
      <w:bookmarkEnd w:id="36"/>
      <w:bookmarkEnd w:id="37"/>
      <w:bookmarkEnd w:id="38"/>
      <w:bookmarkEnd w:id="39"/>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0" w:name="_DV_M136"/>
      <w:bookmarkEnd w:id="40"/>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1" w:name="_DV_M137"/>
      <w:bookmarkStart w:id="42" w:name="_DV_M46"/>
      <w:bookmarkEnd w:id="41"/>
      <w:bookmarkEnd w:id="42"/>
      <w:r w:rsidRPr="00421855">
        <w:rPr>
          <w:rFonts w:ascii="Arial" w:hAnsi="Arial" w:cs="Arial"/>
          <w:sz w:val="20"/>
          <w:szCs w:val="20"/>
        </w:rPr>
        <w:lastRenderedPageBreak/>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3" w:name="_DV_M138"/>
      <w:bookmarkStart w:id="44" w:name="_DV_M47"/>
      <w:bookmarkEnd w:id="43"/>
      <w:bookmarkEnd w:id="44"/>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5" w:name="_DV_M139"/>
      <w:bookmarkStart w:id="46" w:name="_DV_M48"/>
      <w:bookmarkEnd w:id="45"/>
      <w:bookmarkEnd w:id="46"/>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7" w:name="_DV_M140"/>
      <w:bookmarkStart w:id="48" w:name="_DV_M49"/>
      <w:bookmarkEnd w:id="47"/>
      <w:bookmarkEnd w:id="48"/>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49" w:name="_DV_M50"/>
      <w:bookmarkEnd w:id="49"/>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6B09BE9A"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r w:rsidR="00E631A9">
        <w:rPr>
          <w:rFonts w:ascii="Arial" w:hAnsi="Arial" w:cs="Arial"/>
          <w:sz w:val="20"/>
          <w:szCs w:val="20"/>
        </w:rPr>
        <w:t>Simplific Pavarini Distribuidora de Títulos e Valores Mobiliários LTDA.</w:t>
      </w:r>
      <w:r w:rsidRPr="00421855">
        <w:rPr>
          <w:rFonts w:ascii="Arial" w:hAnsi="Arial" w:cs="Arial"/>
          <w:sz w:val="20"/>
          <w:szCs w:val="20"/>
        </w:rPr>
        <w:t>, acima qualificada.</w:t>
      </w:r>
    </w:p>
    <w:p w14:paraId="767D18AD" w14:textId="7D239C47"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Pr>
          <w:rFonts w:ascii="Arial" w:hAnsi="Arial" w:cs="Arial"/>
          <w:sz w:val="20"/>
          <w:szCs w:val="20"/>
        </w:rPr>
        <w:t>Este Temo de Securitização e a</w:t>
      </w:r>
      <w:r w:rsidR="0055376E" w:rsidRPr="00421855">
        <w:rPr>
          <w:rFonts w:ascii="Arial" w:hAnsi="Arial" w:cs="Arial"/>
          <w:sz w:val="20"/>
          <w:szCs w:val="20"/>
        </w:rPr>
        <w:t xml:space="preserve"> Escritura de Emissão de CCI </w:t>
      </w:r>
      <w:r>
        <w:rPr>
          <w:rFonts w:ascii="Arial" w:hAnsi="Arial" w:cs="Arial"/>
          <w:sz w:val="20"/>
          <w:szCs w:val="20"/>
        </w:rPr>
        <w:t xml:space="preserve">e eventuais aditamentos, </w:t>
      </w:r>
      <w:r w:rsidR="0055376E" w:rsidRPr="00421855">
        <w:rPr>
          <w:rFonts w:ascii="Arial" w:hAnsi="Arial" w:cs="Arial"/>
          <w:sz w:val="20"/>
          <w:szCs w:val="20"/>
        </w:rPr>
        <w:t>encontra</w:t>
      </w:r>
      <w:r>
        <w:rPr>
          <w:rFonts w:ascii="Arial" w:hAnsi="Arial" w:cs="Arial"/>
          <w:sz w:val="20"/>
          <w:szCs w:val="20"/>
        </w:rPr>
        <w:t>m</w:t>
      </w:r>
      <w:r w:rsidR="0055376E" w:rsidRPr="00421855">
        <w:rPr>
          <w:rFonts w:ascii="Arial" w:hAnsi="Arial" w:cs="Arial"/>
          <w:sz w:val="20"/>
          <w:szCs w:val="20"/>
        </w:rPr>
        <w:t>-se devidamente custodiada junto à Instituição Custodiante, nos termos do parágrafo 4º do artigo 18 da Lei 10.931</w:t>
      </w:r>
      <w:r>
        <w:rPr>
          <w:rFonts w:ascii="Arial" w:hAnsi="Arial" w:cs="Arial"/>
          <w:sz w:val="20"/>
          <w:szCs w:val="20"/>
        </w:rPr>
        <w:t xml:space="preserve">, que assinará a declaração constante do seu Anexo </w:t>
      </w:r>
      <w:r w:rsidR="002E5B8B">
        <w:rPr>
          <w:rFonts w:ascii="Arial" w:hAnsi="Arial" w:cs="Arial"/>
          <w:sz w:val="20"/>
          <w:szCs w:val="20"/>
        </w:rPr>
        <w:t>VI</w:t>
      </w:r>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0" w:name="_Toc444006309"/>
      <w:r w:rsidRPr="00421855">
        <w:rPr>
          <w:rFonts w:ascii="Arial" w:hAnsi="Arial" w:cs="Arial"/>
          <w:sz w:val="20"/>
          <w:szCs w:val="20"/>
          <w:u w:val="single"/>
        </w:rPr>
        <w:t>Procedimentos de Cobrança e Pagamento</w:t>
      </w:r>
      <w:bookmarkEnd w:id="50"/>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1"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51"/>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lastRenderedPageBreak/>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52" w:name="_DV_M51"/>
      <w:bookmarkStart w:id="53" w:name="_DV_M87"/>
      <w:bookmarkStart w:id="54" w:name="_DV_M29"/>
      <w:bookmarkStart w:id="55" w:name="_DV_M30"/>
      <w:bookmarkStart w:id="56" w:name="_DV_M31"/>
      <w:bookmarkStart w:id="57" w:name="_DV_M32"/>
      <w:bookmarkStart w:id="58" w:name="_DV_M33"/>
      <w:bookmarkStart w:id="59" w:name="_DV_M34"/>
      <w:bookmarkStart w:id="60" w:name="_DV_M40"/>
      <w:bookmarkStart w:id="61" w:name="_DV_M41"/>
      <w:bookmarkStart w:id="62" w:name="_DV_M45"/>
      <w:bookmarkStart w:id="63" w:name="_DV_M42"/>
      <w:bookmarkStart w:id="64" w:name="_DV_M89"/>
      <w:bookmarkStart w:id="65" w:name="_Toc165713866"/>
      <w:bookmarkStart w:id="66" w:name="_Toc110076262"/>
      <w:bookmarkStart w:id="67" w:name="_Toc168723724"/>
      <w:bookmarkStart w:id="68" w:name="_Toc497236189"/>
      <w:bookmarkEnd w:id="34"/>
      <w:bookmarkEnd w:id="35"/>
      <w:bookmarkEnd w:id="52"/>
      <w:bookmarkEnd w:id="53"/>
      <w:bookmarkEnd w:id="54"/>
      <w:bookmarkEnd w:id="55"/>
      <w:bookmarkEnd w:id="56"/>
      <w:bookmarkEnd w:id="57"/>
      <w:bookmarkEnd w:id="58"/>
      <w:bookmarkEnd w:id="59"/>
      <w:bookmarkEnd w:id="60"/>
      <w:bookmarkEnd w:id="61"/>
      <w:bookmarkEnd w:id="62"/>
      <w:bookmarkEnd w:id="63"/>
      <w:bookmarkEnd w:id="64"/>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65"/>
      <w:bookmarkEnd w:id="66"/>
      <w:bookmarkEnd w:id="67"/>
      <w:bookmarkEnd w:id="68"/>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69" w:name="_DV_M90"/>
      <w:bookmarkStart w:id="70" w:name="_Toc457548744"/>
      <w:bookmarkStart w:id="71" w:name="_Toc497236190"/>
      <w:bookmarkEnd w:id="69"/>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70"/>
      <w:bookmarkEnd w:id="71"/>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2BB305F5"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r w:rsidR="000A1647">
              <w:rPr>
                <w:rFonts w:ascii="Arial" w:hAnsi="Arial" w:cs="Arial"/>
                <w:sz w:val="18"/>
                <w:szCs w:val="18"/>
              </w:rPr>
              <w:t>000,00</w:t>
            </w:r>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cento e vinte e quatro milhões, seiscentos e noventa e sete mil reais</w:t>
            </w:r>
            <w:r w:rsidR="00EE6DCC" w:rsidRPr="00421855">
              <w:rPr>
                <w:rFonts w:ascii="Arial" w:hAnsi="Arial" w:cs="Arial"/>
                <w:sz w:val="18"/>
                <w:szCs w:val="18"/>
              </w:rPr>
              <w:t xml:space="preserve">). </w:t>
            </w:r>
          </w:p>
        </w:tc>
        <w:tc>
          <w:tcPr>
            <w:tcW w:w="1928" w:type="pct"/>
            <w:vAlign w:val="center"/>
          </w:tcPr>
          <w:p w14:paraId="6677B383" w14:textId="3222412C"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r w:rsidR="000A1647">
              <w:rPr>
                <w:rFonts w:ascii="Arial" w:hAnsi="Arial" w:cs="Arial"/>
                <w:sz w:val="18"/>
                <w:szCs w:val="18"/>
              </w:rPr>
              <w:t>391,80</w:t>
            </w:r>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r w:rsidR="000A1647">
              <w:rPr>
                <w:rFonts w:ascii="Arial" w:hAnsi="Arial" w:cs="Arial"/>
                <w:sz w:val="18"/>
                <w:szCs w:val="18"/>
              </w:rPr>
              <w:t>trezentos e noventa e um reais</w:t>
            </w:r>
            <w:r w:rsidR="00EE6DCC">
              <w:rPr>
                <w:rFonts w:ascii="Arial" w:hAnsi="Arial" w:cs="Arial"/>
                <w:sz w:val="18"/>
                <w:szCs w:val="18"/>
              </w:rPr>
              <w:t xml:space="preserve"> e </w:t>
            </w:r>
            <w:r w:rsidR="000A1647">
              <w:rPr>
                <w:rFonts w:ascii="Arial" w:hAnsi="Arial" w:cs="Arial"/>
                <w:sz w:val="18"/>
                <w:szCs w:val="18"/>
              </w:rPr>
              <w:t>oitenta</w:t>
            </w:r>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1F766D" w:rsidRPr="00421855" w14:paraId="2358D5E0" w14:textId="77777777" w:rsidTr="005672A5">
        <w:trPr>
          <w:trHeight w:val="20"/>
        </w:trPr>
        <w:tc>
          <w:tcPr>
            <w:tcW w:w="1242" w:type="pct"/>
          </w:tcPr>
          <w:p w14:paraId="73E24270"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3F6144C7" w:rsidR="001F766D" w:rsidRPr="00421855" w:rsidRDefault="001F766D" w:rsidP="001F766D">
            <w:pPr>
              <w:jc w:val="both"/>
              <w:rPr>
                <w:rFonts w:ascii="Arial" w:hAnsi="Arial" w:cs="Arial"/>
                <w:sz w:val="18"/>
                <w:szCs w:val="18"/>
              </w:rPr>
            </w:pPr>
            <w:r>
              <w:rPr>
                <w:rFonts w:ascii="Arial" w:hAnsi="Arial" w:cs="Arial"/>
                <w:sz w:val="18"/>
                <w:szCs w:val="18"/>
                <w:lang w:eastAsia="pt-BR"/>
              </w:rPr>
              <w:t>27 de julho de 2034</w:t>
            </w:r>
          </w:p>
        </w:tc>
        <w:tc>
          <w:tcPr>
            <w:tcW w:w="1928" w:type="pct"/>
            <w:vAlign w:val="center"/>
          </w:tcPr>
          <w:p w14:paraId="4A1BB0C2" w14:textId="121943DC" w:rsidR="001F766D" w:rsidRPr="00421855" w:rsidRDefault="001F766D" w:rsidP="001F766D">
            <w:pPr>
              <w:jc w:val="both"/>
              <w:rPr>
                <w:rFonts w:ascii="Arial" w:hAnsi="Arial" w:cs="Arial"/>
                <w:sz w:val="18"/>
                <w:szCs w:val="18"/>
              </w:rPr>
            </w:pPr>
            <w:r>
              <w:rPr>
                <w:rFonts w:ascii="Arial" w:hAnsi="Arial" w:cs="Arial"/>
                <w:sz w:val="18"/>
                <w:szCs w:val="18"/>
                <w:lang w:eastAsia="pt-BR"/>
              </w:rPr>
              <w:t>29 de agosto de 2034</w:t>
            </w:r>
          </w:p>
        </w:tc>
      </w:tr>
      <w:tr w:rsidR="001F766D" w:rsidRPr="00421855" w14:paraId="3A28DFBF" w14:textId="77777777" w:rsidTr="005672A5">
        <w:trPr>
          <w:trHeight w:val="20"/>
        </w:trPr>
        <w:tc>
          <w:tcPr>
            <w:tcW w:w="1242" w:type="pct"/>
          </w:tcPr>
          <w:p w14:paraId="2211AC39"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7D15515C" w:rsidR="001F766D" w:rsidRPr="00421855" w:rsidRDefault="001F766D" w:rsidP="001F766D">
            <w:pPr>
              <w:jc w:val="both"/>
              <w:rPr>
                <w:rFonts w:ascii="Arial" w:hAnsi="Arial" w:cs="Arial"/>
                <w:sz w:val="18"/>
                <w:szCs w:val="18"/>
              </w:rPr>
            </w:pPr>
            <w:r>
              <w:rPr>
                <w:rFonts w:ascii="Arial" w:hAnsi="Arial" w:cs="Arial"/>
                <w:sz w:val="18"/>
                <w:szCs w:val="18"/>
                <w:lang w:eastAsia="pt-BR"/>
              </w:rPr>
              <w:t xml:space="preserve">3.082 (três mil e oitenta e dois) </w:t>
            </w:r>
            <w:del w:id="72" w:author="Matheus Gomes Faria" w:date="2022-04-19T12:07:00Z">
              <w:r w:rsidDel="005D3A8F">
                <w:rPr>
                  <w:rFonts w:ascii="Arial" w:hAnsi="Arial" w:cs="Arial"/>
                  <w:sz w:val="18"/>
                  <w:szCs w:val="18"/>
                  <w:lang w:eastAsia="pt-BR"/>
                </w:rPr>
                <w:delText>d</w:delText>
              </w:r>
            </w:del>
            <w:ins w:id="73" w:author="Matheus Gomes Faria" w:date="2022-04-19T12:07:00Z">
              <w:r w:rsidR="005D3A8F">
                <w:rPr>
                  <w:rFonts w:ascii="Arial" w:hAnsi="Arial" w:cs="Arial"/>
                  <w:sz w:val="18"/>
                  <w:szCs w:val="18"/>
                  <w:lang w:eastAsia="pt-BR"/>
                </w:rPr>
                <w:t>D</w:t>
              </w:r>
            </w:ins>
            <w:r>
              <w:rPr>
                <w:rFonts w:ascii="Arial" w:hAnsi="Arial" w:cs="Arial"/>
                <w:sz w:val="18"/>
                <w:szCs w:val="18"/>
                <w:lang w:eastAsia="pt-BR"/>
              </w:rPr>
              <w:t xml:space="preserve">ias </w:t>
            </w:r>
            <w:del w:id="74" w:author="Matheus Gomes Faria" w:date="2022-04-19T12:07:00Z">
              <w:r w:rsidDel="005D3A8F">
                <w:rPr>
                  <w:rFonts w:ascii="Arial" w:hAnsi="Arial" w:cs="Arial"/>
                  <w:sz w:val="18"/>
                  <w:szCs w:val="18"/>
                  <w:lang w:eastAsia="pt-BR"/>
                </w:rPr>
                <w:delText>ú</w:delText>
              </w:r>
            </w:del>
            <w:ins w:id="75" w:author="Matheus Gomes Faria" w:date="2022-04-19T12:07:00Z">
              <w:r w:rsidR="005D3A8F">
                <w:rPr>
                  <w:rFonts w:ascii="Arial" w:hAnsi="Arial" w:cs="Arial"/>
                  <w:sz w:val="18"/>
                  <w:szCs w:val="18"/>
                  <w:lang w:eastAsia="pt-BR"/>
                </w:rPr>
                <w:t>Ú</w:t>
              </w:r>
            </w:ins>
            <w:r>
              <w:rPr>
                <w:rFonts w:ascii="Arial" w:hAnsi="Arial" w:cs="Arial"/>
                <w:sz w:val="18"/>
                <w:szCs w:val="18"/>
                <w:lang w:eastAsia="pt-BR"/>
              </w:rPr>
              <w:t>teis contados da Data de Emissão</w:t>
            </w:r>
          </w:p>
        </w:tc>
        <w:tc>
          <w:tcPr>
            <w:tcW w:w="1928" w:type="pct"/>
            <w:vAlign w:val="center"/>
          </w:tcPr>
          <w:p w14:paraId="1B08C2E1" w14:textId="04EC2648" w:rsidR="001F766D" w:rsidRPr="00421855" w:rsidRDefault="001F766D" w:rsidP="001F766D">
            <w:pPr>
              <w:jc w:val="both"/>
              <w:rPr>
                <w:rFonts w:ascii="Arial" w:hAnsi="Arial" w:cs="Arial"/>
                <w:sz w:val="18"/>
                <w:szCs w:val="18"/>
              </w:rPr>
            </w:pPr>
            <w:r>
              <w:rPr>
                <w:rFonts w:ascii="Arial" w:hAnsi="Arial" w:cs="Arial"/>
                <w:sz w:val="18"/>
                <w:szCs w:val="18"/>
                <w:lang w:eastAsia="pt-BR"/>
              </w:rPr>
              <w:t xml:space="preserve">3.105 (três mil cento e cinco) </w:t>
            </w:r>
            <w:del w:id="76" w:author="Matheus Gomes Faria" w:date="2022-04-19T12:07:00Z">
              <w:r w:rsidDel="005D3A8F">
                <w:rPr>
                  <w:rFonts w:ascii="Arial" w:hAnsi="Arial" w:cs="Arial"/>
                  <w:sz w:val="18"/>
                  <w:szCs w:val="18"/>
                  <w:lang w:eastAsia="pt-BR"/>
                </w:rPr>
                <w:delText>d</w:delText>
              </w:r>
            </w:del>
            <w:ins w:id="77" w:author="Matheus Gomes Faria" w:date="2022-04-19T12:07:00Z">
              <w:r w:rsidR="005D3A8F">
                <w:rPr>
                  <w:rFonts w:ascii="Arial" w:hAnsi="Arial" w:cs="Arial"/>
                  <w:sz w:val="18"/>
                  <w:szCs w:val="18"/>
                  <w:lang w:eastAsia="pt-BR"/>
                </w:rPr>
                <w:t>D</w:t>
              </w:r>
            </w:ins>
            <w:r>
              <w:rPr>
                <w:rFonts w:ascii="Arial" w:hAnsi="Arial" w:cs="Arial"/>
                <w:sz w:val="18"/>
                <w:szCs w:val="18"/>
                <w:lang w:eastAsia="pt-BR"/>
              </w:rPr>
              <w:t xml:space="preserve">ias </w:t>
            </w:r>
            <w:del w:id="78" w:author="Matheus Gomes Faria" w:date="2022-04-19T12:07:00Z">
              <w:r w:rsidDel="005D3A8F">
                <w:rPr>
                  <w:rFonts w:ascii="Arial" w:hAnsi="Arial" w:cs="Arial"/>
                  <w:sz w:val="18"/>
                  <w:szCs w:val="18"/>
                  <w:lang w:eastAsia="pt-BR"/>
                </w:rPr>
                <w:delText>ú</w:delText>
              </w:r>
            </w:del>
            <w:ins w:id="79" w:author="Matheus Gomes Faria" w:date="2022-04-19T12:07:00Z">
              <w:r w:rsidR="005D3A8F">
                <w:rPr>
                  <w:rFonts w:ascii="Arial" w:hAnsi="Arial" w:cs="Arial"/>
                  <w:sz w:val="18"/>
                  <w:szCs w:val="18"/>
                  <w:lang w:eastAsia="pt-BR"/>
                </w:rPr>
                <w:t>Ú</w:t>
              </w:r>
            </w:ins>
            <w:r>
              <w:rPr>
                <w:rFonts w:ascii="Arial" w:hAnsi="Arial" w:cs="Arial"/>
                <w:sz w:val="18"/>
                <w:szCs w:val="18"/>
                <w:lang w:eastAsia="pt-BR"/>
              </w:rPr>
              <w:t>teis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xml:space="preserve">, conforme metodologia de cálculo indicada no anexo IX do Termo </w:t>
            </w:r>
            <w:r w:rsidR="009B46AD">
              <w:rPr>
                <w:rFonts w:ascii="Arial" w:hAnsi="Arial" w:cs="Arial"/>
                <w:sz w:val="18"/>
                <w:szCs w:val="18"/>
              </w:rPr>
              <w:lastRenderedPageBreak/>
              <w:t>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lastRenderedPageBreak/>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xml:space="preserve">, conforme metodologia de cálculo indicada no anexo IX do Termo de </w:t>
            </w:r>
            <w:r w:rsidR="009B46AD">
              <w:rPr>
                <w:rFonts w:ascii="Arial" w:hAnsi="Arial" w:cs="Arial"/>
                <w:sz w:val="18"/>
                <w:szCs w:val="18"/>
              </w:rPr>
              <w:lastRenderedPageBreak/>
              <w:t>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lastRenderedPageBreak/>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46B0A0F2" w:rsidR="00285433" w:rsidRPr="00421855" w:rsidRDefault="00AE0E21" w:rsidP="00406515">
            <w:pPr>
              <w:jc w:val="both"/>
              <w:rPr>
                <w:rFonts w:ascii="Arial" w:hAnsi="Arial" w:cs="Arial"/>
                <w:sz w:val="18"/>
                <w:szCs w:val="18"/>
              </w:rPr>
            </w:pPr>
            <w:r>
              <w:rPr>
                <w:rFonts w:ascii="Arial" w:hAnsi="Arial" w:cs="Arial"/>
                <w:sz w:val="18"/>
                <w:szCs w:val="18"/>
              </w:rPr>
              <w:t>2</w:t>
            </w:r>
            <w:r w:rsidR="003E7D8C">
              <w:rPr>
                <w:rFonts w:ascii="Arial" w:hAnsi="Arial" w:cs="Arial"/>
                <w:sz w:val="18"/>
                <w:szCs w:val="18"/>
              </w:rPr>
              <w:t>9</w:t>
            </w:r>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w:t>
            </w:r>
            <w:proofErr w:type="spellStart"/>
            <w:r w:rsidRPr="00421855">
              <w:rPr>
                <w:rFonts w:ascii="Arial" w:hAnsi="Arial" w:cs="Arial"/>
                <w:sz w:val="18"/>
                <w:szCs w:val="18"/>
              </w:rPr>
              <w:t>ii</w:t>
            </w:r>
            <w:proofErr w:type="spellEnd"/>
            <w:r w:rsidRPr="00421855">
              <w:rPr>
                <w:rFonts w:ascii="Arial" w:hAnsi="Arial" w:cs="Arial"/>
                <w:sz w:val="18"/>
                <w:szCs w:val="18"/>
              </w:rPr>
              <w:t>) a Cessão Fiduciária; (</w:t>
            </w:r>
            <w:proofErr w:type="spellStart"/>
            <w:r w:rsidRPr="00421855">
              <w:rPr>
                <w:rFonts w:ascii="Arial" w:hAnsi="Arial" w:cs="Arial"/>
                <w:sz w:val="18"/>
                <w:szCs w:val="18"/>
              </w:rPr>
              <w:t>iii</w:t>
            </w:r>
            <w:proofErr w:type="spellEnd"/>
            <w:r w:rsidRPr="00421855">
              <w:rPr>
                <w:rFonts w:ascii="Arial" w:hAnsi="Arial" w:cs="Arial"/>
                <w:sz w:val="18"/>
                <w:szCs w:val="18"/>
              </w:rPr>
              <w:t>) a Alienação Fiduciária de Cotas; e (</w:t>
            </w:r>
            <w:proofErr w:type="spellStart"/>
            <w:r w:rsidRPr="00421855">
              <w:rPr>
                <w:rFonts w:ascii="Arial" w:hAnsi="Arial" w:cs="Arial"/>
                <w:sz w:val="18"/>
                <w:szCs w:val="18"/>
              </w:rPr>
              <w:t>iv</w:t>
            </w:r>
            <w:proofErr w:type="spellEnd"/>
            <w:r w:rsidRPr="00421855">
              <w:rPr>
                <w:rFonts w:ascii="Arial" w:hAnsi="Arial" w:cs="Arial"/>
                <w:sz w:val="18"/>
                <w:szCs w:val="18"/>
              </w:rPr>
              <w:t>)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80"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80"/>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81" w:name="_DV_M91"/>
      <w:bookmarkStart w:id="82" w:name="_DV_M92"/>
      <w:bookmarkStart w:id="83" w:name="_DV_M93"/>
      <w:bookmarkStart w:id="84" w:name="_DV_M94"/>
      <w:bookmarkStart w:id="85" w:name="_DV_M95"/>
      <w:bookmarkStart w:id="86" w:name="_DV_M96"/>
      <w:bookmarkStart w:id="87" w:name="_DV_M101"/>
      <w:bookmarkStart w:id="88" w:name="_DV_M103"/>
      <w:bookmarkStart w:id="89" w:name="_DV_M104"/>
      <w:bookmarkStart w:id="90" w:name="_DV_M105"/>
      <w:bookmarkStart w:id="91" w:name="_DV_M106"/>
      <w:bookmarkStart w:id="92" w:name="_DV_M107"/>
      <w:bookmarkStart w:id="93" w:name="_DV_M108"/>
      <w:bookmarkStart w:id="94" w:name="_DV_M109"/>
      <w:bookmarkStart w:id="95" w:name="_DV_M110"/>
      <w:bookmarkStart w:id="96" w:name="_DV_M111"/>
      <w:bookmarkStart w:id="97" w:name="_DV_M112"/>
      <w:bookmarkStart w:id="98" w:name="_DV_M113"/>
      <w:bookmarkStart w:id="99" w:name="_DV_M114"/>
      <w:bookmarkStart w:id="100" w:name="_Toc457548745"/>
      <w:bookmarkStart w:id="101" w:name="_Toc497236191"/>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w:t>
      </w:r>
      <w:proofErr w:type="spellStart"/>
      <w:r w:rsidR="00042548" w:rsidRPr="00421855">
        <w:rPr>
          <w:rFonts w:ascii="Arial" w:hAnsi="Arial" w:cs="Arial"/>
          <w:sz w:val="20"/>
          <w:szCs w:val="20"/>
        </w:rPr>
        <w:t>ii</w:t>
      </w:r>
      <w:proofErr w:type="spellEnd"/>
      <w:r w:rsidR="00042548" w:rsidRPr="00421855">
        <w:rPr>
          <w:rFonts w:ascii="Arial" w:hAnsi="Arial" w:cs="Arial"/>
          <w:sz w:val="20"/>
          <w:szCs w:val="20"/>
        </w:rPr>
        <w:t>)</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100"/>
      <w:bookmarkEnd w:id="101"/>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02" w:name="_Toc457548746"/>
      <w:bookmarkStart w:id="103"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w:t>
      </w:r>
      <w:proofErr w:type="spellStart"/>
      <w:r w:rsidRPr="00421855">
        <w:rPr>
          <w:rFonts w:ascii="Arial" w:hAnsi="Arial" w:cs="Arial"/>
          <w:sz w:val="20"/>
          <w:szCs w:val="20"/>
        </w:rPr>
        <w:t>ii</w:t>
      </w:r>
      <w:proofErr w:type="spellEnd"/>
      <w:r w:rsidRPr="00421855">
        <w:rPr>
          <w:rFonts w:ascii="Arial" w:hAnsi="Arial" w:cs="Arial"/>
          <w:sz w:val="20"/>
          <w:szCs w:val="20"/>
        </w:rPr>
        <w:t>) será intermediada pelo Coordenador Líder; e (</w:t>
      </w:r>
      <w:proofErr w:type="spellStart"/>
      <w:r w:rsidRPr="00421855">
        <w:rPr>
          <w:rFonts w:ascii="Arial" w:hAnsi="Arial" w:cs="Arial"/>
          <w:sz w:val="20"/>
          <w:szCs w:val="20"/>
        </w:rPr>
        <w:t>iii</w:t>
      </w:r>
      <w:proofErr w:type="spellEnd"/>
      <w:r w:rsidRPr="00421855">
        <w:rPr>
          <w:rFonts w:ascii="Arial" w:hAnsi="Arial" w:cs="Arial"/>
          <w:sz w:val="20"/>
          <w:szCs w:val="20"/>
        </w:rPr>
        <w:t>)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 xml:space="preserve">Os CRI serão subscritos e integralizados à vista pelos Investidores Profissionais, devendo </w:t>
      </w:r>
      <w:proofErr w:type="gramStart"/>
      <w:r w:rsidRPr="00421855">
        <w:rPr>
          <w:rFonts w:ascii="Arial" w:hAnsi="Arial" w:cs="Arial"/>
          <w:sz w:val="20"/>
          <w:szCs w:val="20"/>
        </w:rPr>
        <w:t>os mesmos</w:t>
      </w:r>
      <w:proofErr w:type="gramEnd"/>
      <w:r w:rsidRPr="00421855">
        <w:rPr>
          <w:rFonts w:ascii="Arial" w:hAnsi="Arial" w:cs="Arial"/>
          <w:sz w:val="20"/>
          <w:szCs w:val="20"/>
        </w:rPr>
        <w:t xml:space="preserve">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104"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104"/>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05"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105"/>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devendo a referida comunicação ser encaminhada por intermédio da página da CVM na rede 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06" w:name="_DV_M67"/>
      <w:bookmarkEnd w:id="106"/>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w:t>
      </w:r>
      <w:proofErr w:type="spellStart"/>
      <w:r w:rsidRPr="00421855">
        <w:rPr>
          <w:rFonts w:ascii="Arial" w:hAnsi="Arial" w:cs="Arial"/>
          <w:sz w:val="20"/>
          <w:szCs w:val="20"/>
        </w:rPr>
        <w:t>ii</w:t>
      </w:r>
      <w:proofErr w:type="spellEnd"/>
      <w:r w:rsidRPr="00421855">
        <w:rPr>
          <w:rFonts w:ascii="Arial" w:hAnsi="Arial" w:cs="Arial"/>
          <w:sz w:val="20"/>
          <w:szCs w:val="20"/>
        </w:rPr>
        <w:t>) o número do Cadastro de Pessoas Físicas (CPF) ou Cadastro Nacional de Pessoas Jurídicas (CNPJ); (</w:t>
      </w:r>
      <w:proofErr w:type="spellStart"/>
      <w:r w:rsidRPr="00421855">
        <w:rPr>
          <w:rFonts w:ascii="Arial" w:hAnsi="Arial" w:cs="Arial"/>
          <w:sz w:val="20"/>
          <w:szCs w:val="20"/>
        </w:rPr>
        <w:t>iii</w:t>
      </w:r>
      <w:proofErr w:type="spellEnd"/>
      <w:r w:rsidRPr="00421855">
        <w:rPr>
          <w:rFonts w:ascii="Arial" w:hAnsi="Arial" w:cs="Arial"/>
          <w:sz w:val="20"/>
          <w:szCs w:val="20"/>
        </w:rPr>
        <w:t>) a data em que foram procuradas; e (</w:t>
      </w:r>
      <w:proofErr w:type="spellStart"/>
      <w:r w:rsidRPr="00421855">
        <w:rPr>
          <w:rFonts w:ascii="Arial" w:hAnsi="Arial" w:cs="Arial"/>
          <w:sz w:val="20"/>
          <w:szCs w:val="20"/>
        </w:rPr>
        <w:t>iv</w:t>
      </w:r>
      <w:proofErr w:type="spellEnd"/>
      <w:r w:rsidRPr="00421855">
        <w:rPr>
          <w:rFonts w:ascii="Arial" w:hAnsi="Arial" w:cs="Arial"/>
          <w:sz w:val="20"/>
          <w:szCs w:val="20"/>
        </w:rPr>
        <w:t>)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w:t>
      </w:r>
      <w:proofErr w:type="spellStart"/>
      <w:r w:rsidRPr="00421855">
        <w:rPr>
          <w:rFonts w:ascii="Arial" w:hAnsi="Arial" w:cs="Arial"/>
          <w:sz w:val="20"/>
          <w:szCs w:val="20"/>
        </w:rPr>
        <w:t>escriturador</w:t>
      </w:r>
      <w:proofErr w:type="spellEnd"/>
      <w:r w:rsidRPr="00421855">
        <w:rPr>
          <w:rFonts w:ascii="Arial" w:hAnsi="Arial" w:cs="Arial"/>
          <w:sz w:val="20"/>
          <w:szCs w:val="20"/>
        </w:rPr>
        <w:t xml:space="preserve">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E4274B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r w:rsidR="00A476D6">
        <w:rPr>
          <w:rFonts w:ascii="Arial" w:hAnsi="Arial" w:cs="Arial"/>
          <w:sz w:val="20"/>
          <w:szCs w:val="20"/>
        </w:rPr>
        <w:t>D</w:t>
      </w:r>
      <w:r w:rsidR="006301D4" w:rsidRPr="00421855">
        <w:rPr>
          <w:rFonts w:ascii="Arial" w:hAnsi="Arial" w:cs="Arial"/>
          <w:sz w:val="20"/>
          <w:szCs w:val="20"/>
        </w:rPr>
        <w:t xml:space="preserve">ata de </w:t>
      </w:r>
      <w:r w:rsidR="00A476D6">
        <w:rPr>
          <w:rFonts w:ascii="Arial" w:hAnsi="Arial" w:cs="Arial"/>
          <w:sz w:val="20"/>
          <w:szCs w:val="20"/>
        </w:rPr>
        <w:t>I</w:t>
      </w:r>
      <w:r w:rsidR="006301D4" w:rsidRPr="00421855">
        <w:rPr>
          <w:rFonts w:ascii="Arial" w:hAnsi="Arial" w:cs="Arial"/>
          <w:sz w:val="20"/>
          <w:szCs w:val="20"/>
        </w:rPr>
        <w:t>ntegralização; (</w:t>
      </w:r>
      <w:proofErr w:type="spellStart"/>
      <w:r w:rsidR="006301D4" w:rsidRPr="00421855">
        <w:rPr>
          <w:rFonts w:ascii="Arial" w:hAnsi="Arial" w:cs="Arial"/>
          <w:sz w:val="20"/>
          <w:szCs w:val="20"/>
        </w:rPr>
        <w:t>ii</w:t>
      </w:r>
      <w:proofErr w:type="spellEnd"/>
      <w:r w:rsidR="006301D4" w:rsidRPr="00421855">
        <w:rPr>
          <w:rFonts w:ascii="Arial" w:hAnsi="Arial" w:cs="Arial"/>
          <w:sz w:val="20"/>
          <w:szCs w:val="20"/>
        </w:rPr>
        <w:t xml:space="preserve">) Valor Nominal Unitário atualizado, acrescido dos Juros Remuneratórios, calculado desde a primeira </w:t>
      </w:r>
      <w:r w:rsidR="00A476D6">
        <w:rPr>
          <w:rFonts w:ascii="Arial" w:hAnsi="Arial" w:cs="Arial"/>
          <w:sz w:val="20"/>
          <w:szCs w:val="20"/>
        </w:rPr>
        <w:t>D</w:t>
      </w:r>
      <w:r w:rsidR="006301D4" w:rsidRPr="00421855">
        <w:rPr>
          <w:rFonts w:ascii="Arial" w:hAnsi="Arial" w:cs="Arial"/>
          <w:sz w:val="20"/>
          <w:szCs w:val="20"/>
        </w:rPr>
        <w:t xml:space="preserve">ata de </w:t>
      </w:r>
      <w:r w:rsidR="00A476D6">
        <w:rPr>
          <w:rFonts w:ascii="Arial" w:hAnsi="Arial" w:cs="Arial"/>
          <w:sz w:val="20"/>
          <w:szCs w:val="20"/>
        </w:rPr>
        <w:t>I</w:t>
      </w:r>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r w:rsidR="00A476D6">
        <w:rPr>
          <w:rFonts w:ascii="Arial" w:hAnsi="Arial" w:cs="Arial"/>
          <w:bCs/>
          <w:sz w:val="20"/>
          <w:szCs w:val="20"/>
        </w:rPr>
        <w:t>D</w:t>
      </w:r>
      <w:r w:rsidR="006301D4" w:rsidRPr="00421855">
        <w:rPr>
          <w:rFonts w:ascii="Arial" w:hAnsi="Arial" w:cs="Arial"/>
          <w:bCs/>
          <w:sz w:val="20"/>
          <w:szCs w:val="20"/>
        </w:rPr>
        <w:t xml:space="preserve">ata de </w:t>
      </w:r>
      <w:r w:rsidR="00A476D6">
        <w:rPr>
          <w:rFonts w:ascii="Arial" w:hAnsi="Arial" w:cs="Arial"/>
          <w:bCs/>
          <w:sz w:val="20"/>
          <w:szCs w:val="20"/>
        </w:rPr>
        <w:t>I</w:t>
      </w:r>
      <w:r w:rsidR="006301D4" w:rsidRPr="00421855">
        <w:rPr>
          <w:rFonts w:ascii="Arial" w:hAnsi="Arial" w:cs="Arial"/>
          <w:bCs/>
          <w:sz w:val="20"/>
          <w:szCs w:val="20"/>
        </w:rPr>
        <w:t xml:space="preserve">ntegralização em questão, nas datas de integralização posteriores à primeira </w:t>
      </w:r>
      <w:r w:rsidR="00A476D6">
        <w:rPr>
          <w:rFonts w:ascii="Arial" w:hAnsi="Arial" w:cs="Arial"/>
          <w:bCs/>
          <w:sz w:val="20"/>
          <w:szCs w:val="20"/>
        </w:rPr>
        <w:t>D</w:t>
      </w:r>
      <w:r w:rsidR="006301D4" w:rsidRPr="00421855">
        <w:rPr>
          <w:rFonts w:ascii="Arial" w:hAnsi="Arial" w:cs="Arial"/>
          <w:bCs/>
          <w:sz w:val="20"/>
          <w:szCs w:val="20"/>
        </w:rPr>
        <w:t xml:space="preserve">ata de </w:t>
      </w:r>
      <w:r w:rsidR="00A476D6">
        <w:rPr>
          <w:rFonts w:ascii="Arial" w:hAnsi="Arial" w:cs="Arial"/>
          <w:bCs/>
          <w:sz w:val="20"/>
          <w:szCs w:val="20"/>
        </w:rPr>
        <w:t>I</w:t>
      </w:r>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D26E932"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lastRenderedPageBreak/>
        <w:t>Ágio ou Deságio</w:t>
      </w:r>
      <w:r w:rsidRPr="00830823">
        <w:rPr>
          <w:rFonts w:ascii="Arial" w:hAnsi="Arial" w:cs="Arial"/>
          <w:sz w:val="20"/>
          <w:szCs w:val="20"/>
        </w:rPr>
        <w:t xml:space="preserve">. </w:t>
      </w:r>
      <w:r w:rsidR="002C3390">
        <w:rPr>
          <w:rFonts w:ascii="Arial" w:hAnsi="Arial" w:cs="Arial"/>
          <w:sz w:val="20"/>
          <w:szCs w:val="20"/>
        </w:rPr>
        <w:t xml:space="preserve">Após a primeira </w:t>
      </w:r>
      <w:r w:rsidR="00A476D6">
        <w:rPr>
          <w:rFonts w:ascii="Arial" w:hAnsi="Arial" w:cs="Arial"/>
          <w:sz w:val="20"/>
          <w:szCs w:val="20"/>
        </w:rPr>
        <w:t>D</w:t>
      </w:r>
      <w:r w:rsidR="002C3390">
        <w:rPr>
          <w:rFonts w:ascii="Arial" w:hAnsi="Arial" w:cs="Arial"/>
          <w:sz w:val="20"/>
          <w:szCs w:val="20"/>
        </w:rPr>
        <w:t xml:space="preserve">ata de </w:t>
      </w:r>
      <w:r w:rsidR="00A476D6">
        <w:rPr>
          <w:rFonts w:ascii="Arial" w:hAnsi="Arial" w:cs="Arial"/>
          <w:sz w:val="20"/>
          <w:szCs w:val="20"/>
        </w:rPr>
        <w:t>I</w:t>
      </w:r>
      <w:r w:rsidR="002C3390">
        <w:rPr>
          <w:rFonts w:ascii="Arial" w:hAnsi="Arial" w:cs="Arial"/>
          <w:sz w:val="20"/>
          <w:szCs w:val="20"/>
        </w:rPr>
        <w:t>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107" w:name="_Hlk97903707"/>
      <w:r w:rsidR="00D76649" w:rsidRPr="00421855">
        <w:rPr>
          <w:rFonts w:ascii="Arial" w:hAnsi="Arial" w:cs="Arial"/>
          <w:sz w:val="20"/>
          <w:szCs w:val="20"/>
        </w:rPr>
        <w:t xml:space="preserve">6 (seis) meses </w:t>
      </w:r>
      <w:bookmarkEnd w:id="107"/>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108"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09" w:name="_DV_M115"/>
      <w:bookmarkStart w:id="110" w:name="_DV_M116"/>
      <w:bookmarkStart w:id="111" w:name="_DV_M118"/>
      <w:bookmarkStart w:id="112" w:name="_DV_M119"/>
      <w:bookmarkStart w:id="113" w:name="_DV_M120"/>
      <w:bookmarkStart w:id="114" w:name="_Hlt95117790"/>
      <w:bookmarkStart w:id="115" w:name="_DV_M121"/>
      <w:bookmarkStart w:id="116" w:name="_Toc165713868"/>
      <w:bookmarkStart w:id="117" w:name="_Toc110076263"/>
      <w:bookmarkStart w:id="118" w:name="_Toc168723726"/>
      <w:bookmarkStart w:id="119" w:name="_Toc497236206"/>
      <w:bookmarkEnd w:id="102"/>
      <w:bookmarkEnd w:id="103"/>
      <w:bookmarkEnd w:id="108"/>
      <w:bookmarkEnd w:id="109"/>
      <w:bookmarkEnd w:id="110"/>
      <w:bookmarkEnd w:id="111"/>
      <w:bookmarkEnd w:id="112"/>
      <w:bookmarkEnd w:id="113"/>
      <w:bookmarkEnd w:id="114"/>
      <w:bookmarkEnd w:id="115"/>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120" w:name="_DV_M122"/>
      <w:bookmarkStart w:id="121" w:name="_DV_M123"/>
      <w:bookmarkEnd w:id="116"/>
      <w:bookmarkEnd w:id="117"/>
      <w:bookmarkEnd w:id="118"/>
      <w:bookmarkEnd w:id="119"/>
      <w:bookmarkEnd w:id="120"/>
      <w:bookmarkEnd w:id="121"/>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22" w:name="_DV_M144"/>
      <w:bookmarkStart w:id="123" w:name="_DV_M156"/>
      <w:bookmarkStart w:id="124" w:name="_Hlk69840436"/>
      <w:bookmarkEnd w:id="122"/>
      <w:bookmarkEnd w:id="123"/>
      <w:r w:rsidRPr="00421855">
        <w:rPr>
          <w:rFonts w:ascii="Arial" w:hAnsi="Arial" w:cs="Arial"/>
          <w:sz w:val="20"/>
          <w:szCs w:val="20"/>
          <w:u w:val="single"/>
        </w:rPr>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54399C17"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25" w:name="_Toc457548762"/>
      <w:bookmarkStart w:id="126" w:name="_Toc497236208"/>
      <w:bookmarkEnd w:id="124"/>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27" w:name="_Hlk72753095"/>
      <w:bookmarkStart w:id="128" w:name="_Hlk69842030"/>
      <w:bookmarkEnd w:id="125"/>
      <w:bookmarkEnd w:id="126"/>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xml:space="preserve">, da </w:t>
      </w:r>
      <w:proofErr w:type="spellStart"/>
      <w:r w:rsidR="00605F5A" w:rsidRPr="001407AF">
        <w:rPr>
          <w:rFonts w:ascii="Arial" w:hAnsi="Arial" w:cs="Arial"/>
          <w:sz w:val="20"/>
          <w:szCs w:val="20"/>
        </w:rPr>
        <w:t>Forgreen</w:t>
      </w:r>
      <w:proofErr w:type="spellEnd"/>
      <w:r w:rsidR="00605F5A" w:rsidRPr="001407AF">
        <w:rPr>
          <w:rFonts w:ascii="Arial" w:hAnsi="Arial" w:cs="Arial"/>
          <w:sz w:val="20"/>
          <w:szCs w:val="20"/>
        </w:rPr>
        <w:t xml:space="preserve">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w:t>
      </w:r>
      <w:proofErr w:type="spellStart"/>
      <w:r w:rsidR="00E96C39" w:rsidRPr="001407AF">
        <w:rPr>
          <w:rFonts w:ascii="Arial" w:hAnsi="Arial" w:cs="Arial"/>
          <w:sz w:val="20"/>
          <w:szCs w:val="20"/>
        </w:rPr>
        <w:t>ii</w:t>
      </w:r>
      <w:proofErr w:type="spellEnd"/>
      <w:r w:rsidR="00E96C39" w:rsidRPr="001407AF">
        <w:rPr>
          <w:rFonts w:ascii="Arial" w:hAnsi="Arial" w:cs="Arial"/>
          <w:sz w:val="20"/>
          <w:szCs w:val="20"/>
        </w:rPr>
        <w:t>) Recompra Facultativa; ou (</w:t>
      </w:r>
      <w:proofErr w:type="spellStart"/>
      <w:r w:rsidR="00E96C39" w:rsidRPr="001407AF">
        <w:rPr>
          <w:rFonts w:ascii="Arial" w:hAnsi="Arial" w:cs="Arial"/>
          <w:sz w:val="20"/>
          <w:szCs w:val="20"/>
        </w:rPr>
        <w:t>iii</w:t>
      </w:r>
      <w:proofErr w:type="spellEnd"/>
      <w:r w:rsidR="00E96C39" w:rsidRPr="001407AF">
        <w:rPr>
          <w:rFonts w:ascii="Arial" w:hAnsi="Arial" w:cs="Arial"/>
          <w:sz w:val="20"/>
          <w:szCs w:val="20"/>
        </w:rPr>
        <w:t>)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w:t>
      </w:r>
      <w:r w:rsidRPr="00851A33">
        <w:rPr>
          <w:rFonts w:ascii="Arial" w:hAnsi="Arial" w:cs="Arial"/>
          <w:sz w:val="20"/>
          <w:szCs w:val="20"/>
        </w:rPr>
        <w:lastRenderedPageBreak/>
        <w:t>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comunicação prevista acima deverá conter, no mínimo, as seguintes informações: (i) a data efetiva da amortização ou resgate total dos CRI, que deverá, obrigatoriamente, ser um Dia Útil; (</w:t>
      </w:r>
      <w:proofErr w:type="spellStart"/>
      <w:r w:rsidRPr="00421855">
        <w:rPr>
          <w:rFonts w:ascii="Arial" w:hAnsi="Arial" w:cs="Arial"/>
          <w:sz w:val="20"/>
          <w:szCs w:val="20"/>
        </w:rPr>
        <w:t>ii</w:t>
      </w:r>
      <w:proofErr w:type="spellEnd"/>
      <w:r w:rsidRPr="00421855">
        <w:rPr>
          <w:rFonts w:ascii="Arial" w:hAnsi="Arial" w:cs="Arial"/>
          <w:sz w:val="20"/>
          <w:szCs w:val="20"/>
        </w:rPr>
        <w:t>) a estimativa do valor da amortização ou resgate total dos CRI; e (</w:t>
      </w:r>
      <w:proofErr w:type="spellStart"/>
      <w:r w:rsidRPr="00421855">
        <w:rPr>
          <w:rFonts w:ascii="Arial" w:hAnsi="Arial" w:cs="Arial"/>
          <w:sz w:val="20"/>
          <w:szCs w:val="20"/>
        </w:rPr>
        <w:t>iii</w:t>
      </w:r>
      <w:proofErr w:type="spellEnd"/>
      <w:r w:rsidRPr="00421855">
        <w:rPr>
          <w:rFonts w:ascii="Arial" w:hAnsi="Arial" w:cs="Arial"/>
          <w:sz w:val="20"/>
          <w:szCs w:val="20"/>
        </w:rPr>
        <w:t xml:space="preserve">)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29" w:name="_Hlk53149898"/>
      <w:bookmarkEnd w:id="127"/>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130" w:name="_Ref444710573"/>
      <w:bookmarkStart w:id="131" w:name="_Toc497236210"/>
      <w:bookmarkStart w:id="132"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xml:space="preserve">, observados os termos e condições abaixo estabelecidos, a Securitizadora, a seu exclusivo critério, assim como seus cessionários e sucessores, terá a opção de vender e a </w:t>
      </w:r>
      <w:proofErr w:type="spellStart"/>
      <w:r w:rsidR="0032060D" w:rsidRPr="00421855">
        <w:rPr>
          <w:rFonts w:ascii="Arial" w:hAnsi="Arial" w:cs="Arial"/>
          <w:sz w:val="20"/>
          <w:szCs w:val="20"/>
        </w:rPr>
        <w:t>Forgreen</w:t>
      </w:r>
      <w:proofErr w:type="spellEnd"/>
      <w:r w:rsidR="0032060D" w:rsidRPr="00421855">
        <w:rPr>
          <w:rFonts w:ascii="Arial" w:hAnsi="Arial" w:cs="Arial"/>
          <w:sz w:val="20"/>
          <w:szCs w:val="20"/>
        </w:rPr>
        <w:t xml:space="preserve">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w:t>
      </w:r>
      <w:r w:rsidR="000F18E0" w:rsidRPr="00830823">
        <w:rPr>
          <w:rFonts w:ascii="Arial" w:eastAsia="Arial Unicode MS" w:hAnsi="Arial" w:cs="Arial"/>
          <w:sz w:val="20"/>
          <w:szCs w:val="20"/>
        </w:rPr>
        <w:lastRenderedPageBreak/>
        <w:t>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130"/>
      <w:bookmarkEnd w:id="131"/>
      <w:bookmarkEnd w:id="132"/>
    </w:p>
    <w:bookmarkEnd w:id="128"/>
    <w:bookmarkEnd w:id="129"/>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w:t>
      </w:r>
      <w:proofErr w:type="spellStart"/>
      <w:r w:rsidR="00C23079" w:rsidRPr="00421855">
        <w:rPr>
          <w:rFonts w:ascii="Arial" w:hAnsi="Arial" w:cs="Arial"/>
          <w:sz w:val="20"/>
          <w:szCs w:val="20"/>
        </w:rPr>
        <w:t>i</w:t>
      </w:r>
      <w:r w:rsidR="003E7C10">
        <w:rPr>
          <w:rFonts w:ascii="Arial" w:hAnsi="Arial" w:cs="Arial"/>
          <w:sz w:val="20"/>
          <w:szCs w:val="20"/>
        </w:rPr>
        <w:t>i</w:t>
      </w:r>
      <w:proofErr w:type="spellEnd"/>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3" w:name="_Hlk69843648"/>
      <w:bookmarkStart w:id="134" w:name="_Toc497236209"/>
      <w:r w:rsidRPr="00421855">
        <w:rPr>
          <w:rFonts w:ascii="Arial" w:hAnsi="Arial" w:cs="Arial"/>
          <w:sz w:val="20"/>
          <w:szCs w:val="20"/>
        </w:rPr>
        <w:t>Sem prejuízo do acima disposto, os CRI não serão considerados, em nenhuma hipótese, inadimplidos quando amortizados de acordo com o Cronograma de Pagamentos vigente à época, acrescidos da respectiva remuneração.</w:t>
      </w:r>
      <w:bookmarkEnd w:id="133"/>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35" w:name="_DV_M164"/>
      <w:bookmarkStart w:id="136" w:name="_Toc165713869"/>
      <w:bookmarkStart w:id="137" w:name="_Toc110076264"/>
      <w:bookmarkStart w:id="138" w:name="_Toc168723727"/>
      <w:bookmarkStart w:id="139" w:name="_Toc497236211"/>
      <w:bookmarkEnd w:id="134"/>
      <w:bookmarkEnd w:id="135"/>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de todos os tributos que vierem a incidir sobre as Garantias ou seus 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671E567F"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40" w:name="_Hlk53077323"/>
      <w:r w:rsidRPr="00421855">
        <w:rPr>
          <w:rFonts w:ascii="Arial" w:hAnsi="Arial" w:cs="Arial"/>
          <w:sz w:val="20"/>
          <w:szCs w:val="20"/>
          <w:u w:val="single"/>
        </w:rPr>
        <w:t>Fiança</w:t>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41"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141"/>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w:t>
      </w:r>
      <w:r w:rsidRPr="00421855">
        <w:rPr>
          <w:rFonts w:ascii="Arial" w:hAnsi="Arial" w:cs="Arial"/>
          <w:sz w:val="20"/>
          <w:szCs w:val="20"/>
        </w:rPr>
        <w:lastRenderedPageBreak/>
        <w:t>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51D171BB"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142" w:name="_Hlk70605834"/>
      <w:bookmarkStart w:id="143" w:name="_Hlk60875139"/>
      <w:r w:rsidRPr="00421855">
        <w:rPr>
          <w:rFonts w:ascii="Arial" w:hAnsi="Arial" w:cs="Arial"/>
          <w:sz w:val="20"/>
          <w:szCs w:val="20"/>
          <w:u w:val="single"/>
        </w:rPr>
        <w:t>Cessão Fiduciária</w:t>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142"/>
    <w:p w14:paraId="7AC27D9B" w14:textId="555CA8B9"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44"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w:t>
      </w:r>
      <w:r w:rsidRPr="00421855">
        <w:rPr>
          <w:rFonts w:ascii="Arial" w:hAnsi="Arial" w:cs="Arial"/>
          <w:sz w:val="20"/>
          <w:szCs w:val="20"/>
        </w:rPr>
        <w:lastRenderedPageBreak/>
        <w:t>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proofErr w:type="spellStart"/>
      <w:r w:rsidR="003B6964" w:rsidRPr="00D76DDC">
        <w:rPr>
          <w:rFonts w:ascii="Arial" w:hAnsi="Arial" w:cs="Arial"/>
          <w:sz w:val="20"/>
          <w:szCs w:val="20"/>
        </w:rPr>
        <w:t>Forgreen</w:t>
      </w:r>
      <w:proofErr w:type="spellEnd"/>
      <w:r w:rsidR="003B6964" w:rsidRPr="00D76DDC">
        <w:rPr>
          <w:rFonts w:ascii="Arial" w:hAnsi="Arial" w:cs="Arial"/>
          <w:sz w:val="20"/>
          <w:szCs w:val="20"/>
        </w:rPr>
        <w:t xml:space="preserve">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144"/>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145" w:name="_Toc110076265"/>
      <w:bookmarkStart w:id="146" w:name="_Toc165713870"/>
      <w:bookmarkStart w:id="147" w:name="_Toc168723728"/>
      <w:bookmarkStart w:id="148" w:name="_Toc497236215"/>
      <w:bookmarkEnd w:id="136"/>
      <w:bookmarkEnd w:id="137"/>
      <w:bookmarkEnd w:id="138"/>
      <w:bookmarkEnd w:id="139"/>
      <w:bookmarkEnd w:id="140"/>
      <w:bookmarkEnd w:id="143"/>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149" w:name="_Hlk98937762"/>
      <w:r w:rsidR="005E4E41">
        <w:rPr>
          <w:rFonts w:ascii="Arial" w:hAnsi="Arial" w:cs="Arial"/>
          <w:sz w:val="20"/>
          <w:szCs w:val="20"/>
        </w:rPr>
        <w:t>do valor de integralização dos CRI</w:t>
      </w:r>
      <w:r w:rsidR="009D61B6">
        <w:rPr>
          <w:rFonts w:ascii="Arial" w:hAnsi="Arial" w:cs="Arial"/>
          <w:sz w:val="20"/>
          <w:szCs w:val="20"/>
        </w:rPr>
        <w:t xml:space="preserve"> </w:t>
      </w:r>
      <w:r w:rsidR="009D61B6">
        <w:rPr>
          <w:rFonts w:ascii="Arial" w:hAnsi="Arial" w:cs="Arial"/>
          <w:sz w:val="20"/>
          <w:szCs w:val="20"/>
        </w:rPr>
        <w:lastRenderedPageBreak/>
        <w:t>e servirá para pagamento de parte</w:t>
      </w:r>
      <w:r w:rsidRPr="00421855">
        <w:rPr>
          <w:rFonts w:ascii="Arial" w:hAnsi="Arial" w:cs="Arial"/>
          <w:sz w:val="20"/>
          <w:szCs w:val="20"/>
        </w:rPr>
        <w:t xml:space="preserve"> </w:t>
      </w:r>
      <w:bookmarkEnd w:id="149"/>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150" w:name="_Hlk98937816"/>
      <w:r w:rsidR="00DE78DD">
        <w:rPr>
          <w:rFonts w:ascii="Arial" w:hAnsi="Arial" w:cs="Arial"/>
          <w:sz w:val="20"/>
          <w:szCs w:val="20"/>
        </w:rPr>
        <w:t xml:space="preserve">ou extraordinariamente em periodicidade menor, </w:t>
      </w:r>
      <w:bookmarkEnd w:id="150"/>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lastRenderedPageBreak/>
        <w:t>O Cedente e a Construtora se obrigaram a comprovar, à Emissora</w:t>
      </w:r>
      <w:r w:rsidR="00275D6F">
        <w:rPr>
          <w:rFonts w:ascii="Arial" w:eastAsia="Century Gothic,Arial" w:hAnsi="Arial" w:cs="Arial"/>
          <w:sz w:val="20"/>
          <w:szCs w:val="20"/>
        </w:rPr>
        <w:t xml:space="preserve"> com cópia para o Agente Fiduciário</w:t>
      </w:r>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w:t>
      </w:r>
      <w:proofErr w:type="spellStart"/>
      <w:r w:rsidRPr="00421855">
        <w:rPr>
          <w:rFonts w:ascii="Arial" w:eastAsia="Century Gothic,Arial" w:hAnsi="Arial" w:cs="Arial"/>
          <w:sz w:val="20"/>
          <w:szCs w:val="20"/>
        </w:rPr>
        <w:t>ii</w:t>
      </w:r>
      <w:proofErr w:type="spellEnd"/>
      <w:r w:rsidRPr="00421855">
        <w:rPr>
          <w:rFonts w:ascii="Arial" w:eastAsia="Century Gothic,Arial" w:hAnsi="Arial" w:cs="Arial"/>
          <w:sz w:val="20"/>
          <w:szCs w:val="20"/>
        </w:rPr>
        <w:t>)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151" w:name="_DV_M175"/>
      <w:bookmarkEnd w:id="145"/>
      <w:bookmarkEnd w:id="146"/>
      <w:bookmarkEnd w:id="147"/>
      <w:bookmarkEnd w:id="148"/>
      <w:bookmarkEnd w:id="151"/>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52" w:name="_DV_M176"/>
      <w:bookmarkStart w:id="153" w:name="_Toc457548771"/>
      <w:bookmarkStart w:id="154" w:name="_Toc497236216"/>
      <w:bookmarkEnd w:id="152"/>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lastRenderedPageBreak/>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F4E2E5"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verificar se o montante atribuído a algum devedor representa parcela igual ou superior a 20% (vinte por cento) do valor total do lastro e, caso positivo, diligenciar para aferir sua 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Pr="007F372D"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w:t>
      </w:r>
      <w:r w:rsidR="00B72D91" w:rsidRPr="005E32D3">
        <w:rPr>
          <w:rFonts w:ascii="Arial" w:eastAsia="Arial Unicode MS" w:hAnsi="Arial" w:cs="Arial"/>
          <w:color w:val="auto"/>
          <w:sz w:val="20"/>
          <w:szCs w:val="20"/>
        </w:rPr>
        <w:t>e contábeis, fornecidos pel</w:t>
      </w:r>
      <w:r w:rsidR="001C72D5" w:rsidRPr="005E32D3">
        <w:rPr>
          <w:rFonts w:ascii="Arial" w:eastAsia="Arial Unicode MS" w:hAnsi="Arial" w:cs="Arial"/>
          <w:color w:val="auto"/>
          <w:sz w:val="20"/>
          <w:szCs w:val="20"/>
        </w:rPr>
        <w:t>o Cedente</w:t>
      </w:r>
      <w:r w:rsidR="005D70E0" w:rsidRPr="002D7654">
        <w:rPr>
          <w:rFonts w:ascii="Arial" w:hAnsi="Arial" w:cs="Arial"/>
          <w:color w:val="auto"/>
          <w:sz w:val="20"/>
          <w:szCs w:val="20"/>
        </w:rPr>
        <w:t xml:space="preserve"> </w:t>
      </w:r>
      <w:r w:rsidR="00DB6C57" w:rsidRPr="002D7654">
        <w:rPr>
          <w:rFonts w:ascii="Arial" w:eastAsia="Arial Unicode MS" w:hAnsi="Arial" w:cs="Arial"/>
          <w:color w:val="auto"/>
          <w:sz w:val="20"/>
          <w:szCs w:val="20"/>
        </w:rPr>
        <w:t>ou pelos Garantidores</w:t>
      </w:r>
      <w:r w:rsidR="00B72D91" w:rsidRPr="00497442">
        <w:rPr>
          <w:rFonts w:ascii="Arial" w:eastAsia="Arial Unicode MS" w:hAnsi="Arial" w:cs="Arial"/>
          <w:color w:val="auto"/>
          <w:sz w:val="20"/>
          <w:szCs w:val="20"/>
        </w:rPr>
        <w:t xml:space="preserve">, nos termos da legislação vigente; </w:t>
      </w:r>
    </w:p>
    <w:p w14:paraId="79C611B4" w14:textId="1C9ADE4D" w:rsidR="009A1B36" w:rsidRPr="005E32D3"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Dentro de 10 (dez) Dias Úteis</w:t>
      </w:r>
      <w:r w:rsidRPr="004F5774">
        <w:rPr>
          <w:rFonts w:ascii="Arial" w:eastAsia="Calibri" w:hAnsi="Arial" w:cs="Arial"/>
          <w:color w:val="auto"/>
          <w:sz w:val="20"/>
          <w:szCs w:val="20"/>
          <w:lang w:eastAsia="en-US"/>
        </w:rPr>
        <w:t xml:space="preserve">,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(3) não foram praticados atos em desacordo com o estatuto social da Emissora; e (4) </w:t>
      </w:r>
      <w:r w:rsidR="007F25A9">
        <w:rPr>
          <w:rFonts w:ascii="Arial" w:eastAsia="Calibri" w:hAnsi="Arial" w:cs="Arial"/>
          <w:color w:val="auto"/>
          <w:sz w:val="20"/>
          <w:szCs w:val="20"/>
          <w:lang w:eastAsia="en-US"/>
        </w:rPr>
        <w:t>os</w:t>
      </w:r>
      <w:r w:rsidRPr="004F5774">
        <w:rPr>
          <w:rFonts w:ascii="Arial" w:eastAsia="Calibri" w:hAnsi="Arial" w:cs="Arial"/>
          <w:color w:val="auto"/>
          <w:sz w:val="20"/>
          <w:szCs w:val="20"/>
          <w:lang w:eastAsia="en-US"/>
        </w:rPr>
        <w:t xml:space="preserve"> bens </w:t>
      </w:r>
      <w:r w:rsidR="007F25A9">
        <w:rPr>
          <w:rFonts w:ascii="Arial" w:eastAsia="Calibri" w:hAnsi="Arial" w:cs="Arial"/>
          <w:color w:val="auto"/>
          <w:sz w:val="20"/>
          <w:szCs w:val="20"/>
          <w:lang w:eastAsia="en-US"/>
        </w:rPr>
        <w:t xml:space="preserve">da Emissora </w:t>
      </w:r>
      <w:r w:rsidRPr="004F5774">
        <w:rPr>
          <w:rFonts w:ascii="Arial" w:eastAsia="Calibri" w:hAnsi="Arial" w:cs="Arial"/>
          <w:color w:val="auto"/>
          <w:sz w:val="20"/>
          <w:szCs w:val="20"/>
          <w:lang w:eastAsia="en-US"/>
        </w:rPr>
        <w:t>foram mantidos devidamente assegurados</w:t>
      </w:r>
      <w:r w:rsidR="007F25A9">
        <w:rPr>
          <w:rFonts w:ascii="Arial" w:eastAsia="Calibri" w:hAnsi="Arial" w:cs="Arial"/>
          <w:color w:val="auto"/>
          <w:sz w:val="20"/>
          <w:szCs w:val="20"/>
          <w:lang w:eastAsia="en-US"/>
        </w:rPr>
        <w:t xml:space="preserve"> de forma a não impactar o Patrimônio Separado</w:t>
      </w:r>
      <w:r w:rsidR="005E32D3">
        <w:rPr>
          <w:rFonts w:ascii="Arial" w:eastAsia="Calibri" w:hAnsi="Arial" w:cs="Arial"/>
          <w:color w:val="auto"/>
          <w:sz w:val="20"/>
          <w:szCs w:val="20"/>
          <w:lang w:eastAsia="en-US"/>
        </w:rPr>
        <w:t>;</w:t>
      </w:r>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 xml:space="preserve">Dentro </w:t>
      </w:r>
      <w:r w:rsidR="00B72D91" w:rsidRPr="007F372D">
        <w:rPr>
          <w:rFonts w:ascii="Arial" w:eastAsia="Arial Unicode MS" w:hAnsi="Arial" w:cs="Arial"/>
          <w:color w:val="auto"/>
          <w:sz w:val="20"/>
          <w:szCs w:val="20"/>
        </w:rPr>
        <w:t xml:space="preserve">de </w:t>
      </w:r>
      <w:r w:rsidR="00B93262" w:rsidRPr="007F372D">
        <w:rPr>
          <w:rFonts w:ascii="Arial" w:eastAsia="Arial Unicode MS" w:hAnsi="Arial" w:cs="Arial"/>
          <w:color w:val="auto"/>
          <w:sz w:val="20"/>
          <w:szCs w:val="20"/>
        </w:rPr>
        <w:t xml:space="preserve">10 </w:t>
      </w:r>
      <w:r w:rsidR="00B72D91" w:rsidRPr="007F372D">
        <w:rPr>
          <w:rFonts w:ascii="Arial" w:eastAsia="Arial Unicode MS" w:hAnsi="Arial" w:cs="Arial"/>
          <w:color w:val="auto"/>
          <w:sz w:val="20"/>
          <w:szCs w:val="20"/>
        </w:rPr>
        <w:t>(</w:t>
      </w:r>
      <w:r w:rsidR="00B93262" w:rsidRPr="007F372D">
        <w:rPr>
          <w:rFonts w:ascii="Arial" w:eastAsia="Arial Unicode MS" w:hAnsi="Arial" w:cs="Arial"/>
          <w:color w:val="auto"/>
          <w:sz w:val="20"/>
          <w:szCs w:val="20"/>
        </w:rPr>
        <w:t>dez</w:t>
      </w:r>
      <w:r w:rsidR="00B72D91" w:rsidRPr="007F372D">
        <w:rPr>
          <w:rFonts w:ascii="Arial" w:eastAsia="Arial Unicode MS" w:hAnsi="Arial" w:cs="Arial"/>
          <w:color w:val="auto"/>
          <w:sz w:val="20"/>
          <w:szCs w:val="20"/>
        </w:rPr>
        <w:t>) Dias Úteis, qualquer informação ou cópia de quaisquer documentos que lhe sejam solicitados,</w:t>
      </w:r>
      <w:r w:rsidR="00B72D91" w:rsidRPr="00421855">
        <w:rPr>
          <w:rFonts w:ascii="Arial" w:eastAsia="Arial Unicode MS" w:hAnsi="Arial" w:cs="Arial"/>
          <w:color w:val="auto"/>
          <w:sz w:val="20"/>
          <w:szCs w:val="20"/>
        </w:rPr>
        <w:t xml:space="preserve">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w:t>
      </w:r>
      <w:r w:rsidR="00B72D91" w:rsidRPr="00421855">
        <w:rPr>
          <w:rFonts w:ascii="Arial" w:eastAsia="Arial Unicode MS" w:hAnsi="Arial" w:cs="Arial"/>
          <w:color w:val="auto"/>
          <w:sz w:val="20"/>
          <w:szCs w:val="20"/>
        </w:rPr>
        <w:lastRenderedPageBreak/>
        <w:t xml:space="preserve">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lastRenderedPageBreak/>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55" w:name="_DV_M211"/>
      <w:bookmarkStart w:id="156" w:name="_DV_M212"/>
      <w:bookmarkEnd w:id="155"/>
      <w:bookmarkEnd w:id="156"/>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157"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157"/>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lastRenderedPageBreak/>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58" w:name="_DV_M177"/>
      <w:bookmarkStart w:id="159" w:name="_DV_M186"/>
      <w:bookmarkStart w:id="160" w:name="_DV_M187"/>
      <w:bookmarkStart w:id="161" w:name="_DV_M188"/>
      <w:bookmarkStart w:id="162" w:name="_DV_M189"/>
      <w:bookmarkStart w:id="163" w:name="_Toc165713871"/>
      <w:bookmarkStart w:id="164" w:name="_Toc110076266"/>
      <w:bookmarkStart w:id="165" w:name="_Toc168723729"/>
      <w:bookmarkStart w:id="166" w:name="_Toc497236223"/>
      <w:bookmarkEnd w:id="153"/>
      <w:bookmarkEnd w:id="154"/>
      <w:bookmarkEnd w:id="158"/>
      <w:bookmarkEnd w:id="159"/>
      <w:bookmarkEnd w:id="160"/>
      <w:bookmarkEnd w:id="161"/>
      <w:bookmarkEnd w:id="162"/>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167" w:name="_DV_M190"/>
      <w:bookmarkStart w:id="168" w:name="_DV_M191"/>
      <w:bookmarkStart w:id="169" w:name="_Toc165713872"/>
      <w:bookmarkStart w:id="170" w:name="_Toc110076267"/>
      <w:bookmarkStart w:id="171" w:name="_Toc168723730"/>
      <w:bookmarkEnd w:id="163"/>
      <w:bookmarkEnd w:id="164"/>
      <w:bookmarkEnd w:id="165"/>
      <w:bookmarkEnd w:id="167"/>
      <w:bookmarkEnd w:id="168"/>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166"/>
      <w:bookmarkEnd w:id="169"/>
      <w:bookmarkEnd w:id="170"/>
      <w:bookmarkEnd w:id="171"/>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2" w:name="_DV_M196"/>
      <w:bookmarkStart w:id="173" w:name="_Hlk69845086"/>
      <w:bookmarkStart w:id="174" w:name="_Toc457548780"/>
      <w:bookmarkStart w:id="175" w:name="_Toc497236224"/>
      <w:bookmarkEnd w:id="172"/>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proofErr w:type="spellStart"/>
      <w:r w:rsidRPr="00421855">
        <w:rPr>
          <w:rFonts w:ascii="Arial" w:hAnsi="Arial" w:cs="Arial"/>
          <w:color w:val="auto"/>
          <w:sz w:val="20"/>
          <w:szCs w:val="20"/>
        </w:rPr>
        <w:t>iii</w:t>
      </w:r>
      <w:proofErr w:type="spellEnd"/>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6" w:name="_DV_M238"/>
      <w:bookmarkEnd w:id="176"/>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77" w:name="_DV_M239"/>
      <w:bookmarkEnd w:id="177"/>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lastRenderedPageBreak/>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173"/>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78"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79"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xml:space="preserve">, quando serão levantadas e elaboradas as demonstrações financeiras do Patrimônio Separado, as </w:t>
      </w:r>
      <w:r w:rsidRPr="009A7E2B">
        <w:rPr>
          <w:rFonts w:ascii="Arial" w:hAnsi="Arial" w:cs="Arial"/>
          <w:sz w:val="20"/>
          <w:szCs w:val="20"/>
        </w:rPr>
        <w:lastRenderedPageBreak/>
        <w:t>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0" w:name="_Ref525320033"/>
      <w:bookmarkEnd w:id="179"/>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180"/>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1" w:name="_DV_M241"/>
      <w:bookmarkStart w:id="182" w:name="_DV_M242"/>
      <w:bookmarkEnd w:id="181"/>
      <w:bookmarkEnd w:id="182"/>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183" w:name="_DV_M243"/>
      <w:bookmarkEnd w:id="183"/>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4" w:name="_DV_M244"/>
      <w:bookmarkStart w:id="185" w:name="_Ref525483719"/>
      <w:bookmarkEnd w:id="178"/>
      <w:bookmarkEnd w:id="184"/>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185"/>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86" w:name="_Ref525495208"/>
      <w:bookmarkStart w:id="187"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proofErr w:type="spellStart"/>
      <w:r w:rsidRPr="00D37CD2">
        <w:rPr>
          <w:rFonts w:ascii="Arial" w:hAnsi="Arial" w:cs="Arial"/>
          <w:i/>
          <w:sz w:val="20"/>
          <w:szCs w:val="20"/>
        </w:rPr>
        <w:t>covenants</w:t>
      </w:r>
      <w:proofErr w:type="spellEnd"/>
      <w:r w:rsidRPr="00D37CD2">
        <w:rPr>
          <w:rFonts w:ascii="Arial" w:hAnsi="Arial" w:cs="Arial"/>
          <w:sz w:val="20"/>
          <w:szCs w:val="20"/>
        </w:rPr>
        <w:t>, caso aplicável. Estes valores serão corrigidos a partir da data da emissão do CRI pelo IPCA, acrescido de impostos (</w:t>
      </w:r>
      <w:proofErr w:type="spellStart"/>
      <w:r w:rsidRPr="00D37CD2">
        <w:rPr>
          <w:rFonts w:ascii="Arial" w:hAnsi="Arial" w:cs="Arial"/>
          <w:i/>
          <w:sz w:val="20"/>
          <w:szCs w:val="20"/>
        </w:rPr>
        <w:t>gross</w:t>
      </w:r>
      <w:proofErr w:type="spellEnd"/>
      <w:r w:rsidRPr="00D37CD2">
        <w:rPr>
          <w:rFonts w:ascii="Arial" w:hAnsi="Arial" w:cs="Arial"/>
          <w:i/>
          <w:sz w:val="20"/>
          <w:szCs w:val="20"/>
        </w:rPr>
        <w:t xml:space="preserve"> </w:t>
      </w:r>
      <w:proofErr w:type="spellStart"/>
      <w:r w:rsidRPr="00D37CD2">
        <w:rPr>
          <w:rFonts w:ascii="Arial" w:hAnsi="Arial" w:cs="Arial"/>
          <w:i/>
          <w:sz w:val="20"/>
          <w:szCs w:val="20"/>
        </w:rPr>
        <w:t>up</w:t>
      </w:r>
      <w:proofErr w:type="spellEnd"/>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sidRPr="00D37CD2">
        <w:rPr>
          <w:rFonts w:ascii="Arial" w:hAnsi="Arial" w:cs="Arial"/>
          <w:i/>
          <w:iCs/>
          <w:sz w:val="20"/>
          <w:szCs w:val="20"/>
        </w:rPr>
        <w:t>calls</w:t>
      </w:r>
      <w:proofErr w:type="spellEnd"/>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74"/>
      <w:bookmarkEnd w:id="175"/>
      <w:bookmarkEnd w:id="186"/>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lastRenderedPageBreak/>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r w:rsidR="00513ECD">
        <w:rPr>
          <w:rFonts w:ascii="Arial" w:hAnsi="Arial" w:cs="Arial"/>
          <w:sz w:val="20"/>
          <w:szCs w:val="20"/>
        </w:rPr>
        <w:t xml:space="preserve"> ou</w:t>
      </w:r>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88" w:name="_DV_M197"/>
      <w:bookmarkStart w:id="189" w:name="_DV_M198"/>
      <w:bookmarkStart w:id="190" w:name="_DV_M199"/>
      <w:bookmarkStart w:id="191" w:name="_DV_M200"/>
      <w:bookmarkStart w:id="192" w:name="_DV_M201"/>
      <w:bookmarkStart w:id="193" w:name="_Toc165713873"/>
      <w:bookmarkStart w:id="194" w:name="_Toc110076268"/>
      <w:bookmarkStart w:id="195" w:name="_Toc168723731"/>
      <w:bookmarkStart w:id="196" w:name="_Toc497236230"/>
      <w:bookmarkEnd w:id="187"/>
      <w:bookmarkEnd w:id="188"/>
      <w:bookmarkEnd w:id="189"/>
      <w:bookmarkEnd w:id="190"/>
      <w:bookmarkEnd w:id="191"/>
      <w:bookmarkEnd w:id="192"/>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193"/>
      <w:bookmarkEnd w:id="194"/>
      <w:bookmarkEnd w:id="195"/>
      <w:bookmarkEnd w:id="196"/>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97"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7687B570" w:rsidR="00562A27" w:rsidRPr="00BA0210" w:rsidRDefault="00525208">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BA0210">
        <w:rPr>
          <w:rFonts w:ascii="Arial" w:hAnsi="Arial" w:cs="Arial"/>
          <w:color w:val="auto"/>
          <w:sz w:val="20"/>
          <w:szCs w:val="20"/>
        </w:rPr>
        <w:t xml:space="preserve">Verificou </w:t>
      </w:r>
      <w:r w:rsidR="00562A27" w:rsidRPr="00BA0210">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sidRPr="00BA0210">
        <w:rPr>
          <w:rFonts w:ascii="Arial" w:hAnsi="Arial" w:cs="Arial"/>
          <w:sz w:val="20"/>
          <w:szCs w:val="20"/>
        </w:rPr>
        <w:t>Cedidos</w:t>
      </w:r>
      <w:r w:rsidR="00CF5770" w:rsidRPr="00BA0210">
        <w:rPr>
          <w:rFonts w:ascii="Arial" w:hAnsi="Arial" w:cs="Arial"/>
          <w:color w:val="auto"/>
          <w:sz w:val="20"/>
          <w:szCs w:val="20"/>
        </w:rPr>
        <w:t xml:space="preserve"> </w:t>
      </w:r>
      <w:r w:rsidR="00562A27" w:rsidRPr="00BA0210">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5250E6B3"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O</w:t>
      </w:r>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lastRenderedPageBreak/>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04AF4C41"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Não p</w:t>
      </w:r>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w:t>
      </w:r>
      <w:proofErr w:type="spellStart"/>
      <w:r w:rsidRPr="00421855">
        <w:rPr>
          <w:rFonts w:ascii="Arial" w:hAnsi="Arial" w:cs="Arial"/>
          <w:sz w:val="20"/>
          <w:szCs w:val="20"/>
        </w:rPr>
        <w:t>ii</w:t>
      </w:r>
      <w:proofErr w:type="spellEnd"/>
      <w:r w:rsidRPr="00421855">
        <w:rPr>
          <w:rFonts w:ascii="Arial" w:hAnsi="Arial" w:cs="Arial"/>
          <w:sz w:val="20"/>
          <w:szCs w:val="20"/>
        </w:rPr>
        <w:t>)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5EF01299"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proofErr w:type="spellStart"/>
      <w:r w:rsidR="007F25A9" w:rsidRPr="00421855">
        <w:rPr>
          <w:rFonts w:ascii="Arial" w:hAnsi="Arial" w:cs="Arial"/>
          <w:b/>
          <w:bCs/>
          <w:sz w:val="20"/>
          <w:szCs w:val="20"/>
        </w:rPr>
        <w:t>Reag</w:t>
      </w:r>
      <w:proofErr w:type="spellEnd"/>
      <w:r w:rsidR="007F25A9" w:rsidRPr="00421855">
        <w:rPr>
          <w:rFonts w:ascii="Arial" w:hAnsi="Arial" w:cs="Arial"/>
          <w:b/>
          <w:bCs/>
          <w:sz w:val="20"/>
          <w:szCs w:val="20"/>
        </w:rPr>
        <w:t xml:space="preserve"> Distribuidora de Títulos e Valores Mobiliários S.A.</w:t>
      </w:r>
      <w:r w:rsidR="007F25A9"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7F25A9">
        <w:rPr>
          <w:rFonts w:ascii="Arial" w:hAnsi="Arial" w:cs="Arial"/>
          <w:sz w:val="20"/>
          <w:szCs w:val="20"/>
        </w:rPr>
        <w:t>,</w:t>
      </w:r>
      <w:r w:rsidR="00024B19">
        <w:rPr>
          <w:rFonts w:ascii="Arial" w:hAnsi="Arial" w:cs="Arial"/>
          <w:sz w:val="20"/>
          <w:szCs w:val="20"/>
        </w:rPr>
        <w:t xml:space="preserve"> na qualidade de </w:t>
      </w:r>
      <w:proofErr w:type="spellStart"/>
      <w:r w:rsidR="008C4537" w:rsidRPr="00AD54F4">
        <w:rPr>
          <w:rFonts w:ascii="Arial" w:hAnsi="Arial" w:cs="Arial"/>
          <w:sz w:val="20"/>
          <w:szCs w:val="20"/>
        </w:rPr>
        <w:t>escriturador</w:t>
      </w:r>
      <w:proofErr w:type="spellEnd"/>
      <w:r w:rsidR="008C4537" w:rsidRPr="00AD54F4">
        <w:rPr>
          <w:rFonts w:ascii="Arial" w:hAnsi="Arial" w:cs="Arial"/>
          <w:sz w:val="20"/>
          <w:szCs w:val="20"/>
        </w:rPr>
        <w:t xml:space="preserve">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as garantias </w:t>
      </w:r>
      <w:r w:rsidR="00BA5178">
        <w:rPr>
          <w:rFonts w:ascii="Arial" w:hAnsi="Arial" w:cs="Arial"/>
          <w:sz w:val="20"/>
          <w:szCs w:val="20"/>
        </w:rPr>
        <w:t>são</w:t>
      </w:r>
      <w:commentRangeStart w:id="198"/>
      <w:commentRangeEnd w:id="198"/>
      <w:r w:rsidR="00BA0210">
        <w:rPr>
          <w:rStyle w:val="Refdecomentrio"/>
          <w:lang w:val="en-US"/>
        </w:rPr>
        <w:commentReference w:id="198"/>
      </w:r>
      <w:commentRangeStart w:id="199"/>
      <w:commentRangeEnd w:id="199"/>
      <w:r w:rsidR="00BA0210">
        <w:rPr>
          <w:rStyle w:val="Refdecomentrio"/>
          <w:lang w:val="en-US"/>
        </w:rPr>
        <w:commentReference w:id="199"/>
      </w:r>
      <w:r w:rsidRPr="00421855">
        <w:rPr>
          <w:rFonts w:ascii="Arial" w:hAnsi="Arial" w:cs="Arial"/>
          <w:sz w:val="20"/>
          <w:szCs w:val="20"/>
        </w:rPr>
        <w:t xml:space="preserve">, em conjunto </w:t>
      </w:r>
      <w:ins w:id="200" w:author="Matheus Gomes Faria" w:date="2022-04-19T12:26:00Z">
        <w:r w:rsidR="00305276">
          <w:rPr>
            <w:rFonts w:ascii="Arial" w:hAnsi="Arial" w:cs="Arial"/>
            <w:sz w:val="20"/>
            <w:szCs w:val="20"/>
          </w:rPr>
          <w:t>insuficientes</w:t>
        </w:r>
      </w:ins>
      <w:del w:id="201" w:author="Matheus Gomes Faria" w:date="2022-04-19T12:26:00Z">
        <w:r w:rsidR="00DD43A8" w:rsidDel="00305276">
          <w:rPr>
            <w:rFonts w:ascii="Arial" w:hAnsi="Arial" w:cs="Arial"/>
            <w:sz w:val="20"/>
            <w:szCs w:val="20"/>
          </w:rPr>
          <w:delText>[</w:delText>
        </w:r>
        <w:r w:rsidRPr="004F5774" w:rsidDel="00305276">
          <w:rPr>
            <w:rFonts w:ascii="Arial" w:hAnsi="Arial" w:cs="Arial"/>
            <w:sz w:val="20"/>
            <w:szCs w:val="20"/>
            <w:highlight w:val="yellow"/>
          </w:rPr>
          <w:delText>in/suficientes</w:delText>
        </w:r>
        <w:r w:rsidR="00DD43A8" w:rsidDel="00305276">
          <w:rPr>
            <w:rFonts w:ascii="Arial" w:hAnsi="Arial" w:cs="Arial"/>
            <w:sz w:val="20"/>
            <w:szCs w:val="20"/>
          </w:rPr>
          <w:delText>]</w:delText>
        </w:r>
      </w:del>
      <w:r w:rsidRPr="00421855">
        <w:rPr>
          <w:rFonts w:ascii="Arial" w:hAnsi="Arial" w:cs="Arial"/>
          <w:sz w:val="20"/>
          <w:szCs w:val="20"/>
        </w:rPr>
        <w:t xml:space="preserve"> em relação ao saldo devedor dos CRI na data de assinatura deste Termo de Securitização, </w:t>
      </w:r>
      <w:r w:rsidR="00BA5178">
        <w:rPr>
          <w:rFonts w:ascii="Arial" w:hAnsi="Arial" w:cs="Arial"/>
          <w:sz w:val="20"/>
          <w:szCs w:val="20"/>
        </w:rPr>
        <w:t xml:space="preserve">e </w:t>
      </w:r>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r w:rsidR="00BA5178">
        <w:rPr>
          <w:rFonts w:ascii="Arial" w:hAnsi="Arial" w:cs="Arial"/>
          <w:sz w:val="20"/>
          <w:szCs w:val="20"/>
        </w:rPr>
        <w:t>, caso a Emissora não faça</w:t>
      </w:r>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lastRenderedPageBreak/>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69D9F0F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r w:rsidR="00BA5178">
        <w:rPr>
          <w:rFonts w:ascii="Arial" w:hAnsi="Arial" w:cs="Arial"/>
          <w:sz w:val="20"/>
          <w:szCs w:val="20"/>
        </w:rPr>
        <w:t>24.000,00 (vinte e quatro mil</w:t>
      </w:r>
      <w:r w:rsidR="00153AA9">
        <w:rPr>
          <w:rFonts w:ascii="Arial" w:hAnsi="Arial" w:cs="Arial"/>
          <w:sz w:val="20"/>
          <w:szCs w:val="20"/>
        </w:rPr>
        <w:t xml:space="preserve"> </w:t>
      </w:r>
      <w:r w:rsidR="00BA5178">
        <w:rPr>
          <w:rFonts w:ascii="Arial" w:hAnsi="Arial" w:cs="Arial"/>
          <w:sz w:val="20"/>
          <w:szCs w:val="20"/>
        </w:rPr>
        <w:t>reais)</w:t>
      </w:r>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r w:rsidR="00C61471">
        <w:rPr>
          <w:rFonts w:ascii="Arial" w:hAnsi="Arial" w:cs="Arial"/>
          <w:sz w:val="20"/>
          <w:szCs w:val="20"/>
        </w:rPr>
        <w:t xml:space="preserve">dia 15 do mesmo mês de emissão da primeira fatura </w:t>
      </w:r>
      <w:proofErr w:type="gramStart"/>
      <w:r w:rsidR="00C61471">
        <w:rPr>
          <w:rFonts w:ascii="Arial" w:hAnsi="Arial" w:cs="Arial"/>
          <w:sz w:val="20"/>
          <w:szCs w:val="20"/>
        </w:rPr>
        <w:t xml:space="preserve">nos </w:t>
      </w:r>
      <w:r w:rsidR="00A74AE4" w:rsidRPr="00421855">
        <w:rPr>
          <w:rFonts w:ascii="Arial" w:hAnsi="Arial" w:cs="Arial"/>
          <w:sz w:val="20"/>
          <w:szCs w:val="20"/>
        </w:rPr>
        <w:t xml:space="preserve"> </w:t>
      </w:r>
      <w:r w:rsidR="00AD5FD1">
        <w:rPr>
          <w:rFonts w:ascii="Arial" w:hAnsi="Arial" w:cs="Arial"/>
          <w:sz w:val="20"/>
          <w:szCs w:val="20"/>
        </w:rPr>
        <w:t>anos</w:t>
      </w:r>
      <w:proofErr w:type="gramEnd"/>
      <w:r w:rsidR="00AD5FD1">
        <w:rPr>
          <w:rFonts w:ascii="Arial" w:hAnsi="Arial" w:cs="Arial"/>
          <w:sz w:val="20"/>
          <w:szCs w:val="20"/>
        </w:rPr>
        <w:t xml:space="preserve">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Despesas</w:t>
      </w:r>
      <w:r w:rsidRPr="00421855">
        <w:rPr>
          <w:rFonts w:ascii="Arial" w:hAnsi="Arial" w:cs="Arial"/>
          <w:sz w:val="20"/>
          <w:szCs w:val="20"/>
        </w:rPr>
        <w:t xml:space="preserve">.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w:t>
      </w:r>
      <w:r w:rsidRPr="00421855">
        <w:rPr>
          <w:rFonts w:ascii="Arial" w:hAnsi="Arial" w:cs="Arial"/>
          <w:sz w:val="20"/>
          <w:szCs w:val="20"/>
        </w:rPr>
        <w:lastRenderedPageBreak/>
        <w:t>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bem como sua remuneração; e (</w:t>
      </w:r>
      <w:proofErr w:type="spellStart"/>
      <w:r w:rsidRPr="00421855">
        <w:rPr>
          <w:rFonts w:ascii="Arial" w:hAnsi="Arial" w:cs="Arial"/>
          <w:bCs/>
          <w:sz w:val="20"/>
          <w:szCs w:val="20"/>
        </w:rPr>
        <w:t>ii</w:t>
      </w:r>
      <w:proofErr w:type="spellEnd"/>
      <w:r w:rsidRPr="00421855">
        <w:rPr>
          <w:rFonts w:ascii="Arial" w:hAnsi="Arial" w:cs="Arial"/>
          <w:bCs/>
          <w:sz w:val="20"/>
          <w:szCs w:val="20"/>
        </w:rPr>
        <w:t xml:space="preserve">)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1E6EF96A"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lastRenderedPageBreak/>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r w:rsidR="001F766D">
        <w:rPr>
          <w:rFonts w:ascii="Arial" w:hAnsi="Arial" w:cs="Arial"/>
          <w:sz w:val="20"/>
          <w:szCs w:val="20"/>
        </w:rPr>
        <w:t>5</w:t>
      </w:r>
      <w:r w:rsidR="005249C9">
        <w:rPr>
          <w:rFonts w:ascii="Arial" w:hAnsi="Arial" w:cs="Arial"/>
          <w:sz w:val="20"/>
          <w:szCs w:val="20"/>
        </w:rPr>
        <w:t>0</w:t>
      </w:r>
      <w:r w:rsidR="0044478B">
        <w:rPr>
          <w:rFonts w:ascii="Arial" w:hAnsi="Arial" w:cs="Arial"/>
          <w:sz w:val="20"/>
          <w:szCs w:val="20"/>
        </w:rPr>
        <w:t>0,00</w:t>
      </w:r>
      <w:r w:rsidR="0057558C" w:rsidRPr="00AF332B">
        <w:rPr>
          <w:rFonts w:ascii="Arial" w:hAnsi="Arial" w:cs="Arial"/>
          <w:sz w:val="20"/>
          <w:szCs w:val="20"/>
        </w:rPr>
        <w:t xml:space="preserve"> </w:t>
      </w:r>
      <w:r w:rsidRPr="00AF332B">
        <w:rPr>
          <w:rFonts w:ascii="Arial" w:hAnsi="Arial" w:cs="Arial"/>
          <w:bCs/>
          <w:sz w:val="20"/>
          <w:szCs w:val="20"/>
        </w:rPr>
        <w:t>(</w:t>
      </w:r>
      <w:r w:rsidR="005249C9">
        <w:rPr>
          <w:rFonts w:ascii="Arial" w:hAnsi="Arial" w:cs="Arial"/>
          <w:bCs/>
          <w:sz w:val="20"/>
          <w:szCs w:val="20"/>
        </w:rPr>
        <w:t>quinhentos</w:t>
      </w:r>
      <w:r w:rsidR="001F766D">
        <w:rPr>
          <w:rFonts w:ascii="Arial" w:hAnsi="Arial" w:cs="Arial"/>
          <w:bCs/>
          <w:sz w:val="20"/>
          <w:szCs w:val="20"/>
        </w:rPr>
        <w:t xml:space="preserve"> </w:t>
      </w:r>
      <w:r w:rsidR="004540E4" w:rsidRPr="008B68CB">
        <w:rPr>
          <w:rFonts w:ascii="Arial" w:hAnsi="Arial" w:cs="Arial"/>
          <w:sz w:val="20"/>
          <w:szCs w:val="20"/>
        </w:rPr>
        <w:t>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homem de trabalho dedicado às atividades relacionadas à Emissão, incluindo, mas não se limitando, (i) comentários aos documentos da oferta durante a estruturação da mesma, caso a operação não venha se efetivar; (</w:t>
      </w:r>
      <w:proofErr w:type="spellStart"/>
      <w:r w:rsidRPr="00AF332B">
        <w:rPr>
          <w:rFonts w:ascii="Arial" w:hAnsi="Arial" w:cs="Arial"/>
          <w:sz w:val="20"/>
          <w:szCs w:val="20"/>
        </w:rPr>
        <w:t>ii</w:t>
      </w:r>
      <w:proofErr w:type="spellEnd"/>
      <w:r w:rsidRPr="00AF332B">
        <w:rPr>
          <w:rFonts w:ascii="Arial" w:hAnsi="Arial" w:cs="Arial"/>
          <w:sz w:val="20"/>
          <w:szCs w:val="20"/>
        </w:rPr>
        <w:t xml:space="preserve">) execução das </w:t>
      </w:r>
      <w:r w:rsidR="00614699" w:rsidRPr="00AF332B">
        <w:rPr>
          <w:rFonts w:ascii="Arial" w:hAnsi="Arial" w:cs="Arial"/>
          <w:sz w:val="20"/>
          <w:szCs w:val="20"/>
        </w:rPr>
        <w:t>Garantias</w:t>
      </w:r>
      <w:r w:rsidRPr="00AF332B">
        <w:rPr>
          <w:rFonts w:ascii="Arial" w:hAnsi="Arial" w:cs="Arial"/>
          <w:sz w:val="20"/>
          <w:szCs w:val="20"/>
        </w:rPr>
        <w:t>, (</w:t>
      </w:r>
      <w:proofErr w:type="spellStart"/>
      <w:r w:rsidRPr="00AF332B">
        <w:rPr>
          <w:rFonts w:ascii="Arial" w:hAnsi="Arial" w:cs="Arial"/>
          <w:sz w:val="20"/>
          <w:szCs w:val="20"/>
        </w:rPr>
        <w:t>iii</w:t>
      </w:r>
      <w:proofErr w:type="spellEnd"/>
      <w:r w:rsidRPr="00AF332B">
        <w:rPr>
          <w:rFonts w:ascii="Arial" w:hAnsi="Arial" w:cs="Arial"/>
          <w:sz w:val="20"/>
          <w:szCs w:val="20"/>
        </w:rPr>
        <w:t>) análise a eventuais aditamentos aos Documentos da Operação e (</w:t>
      </w:r>
      <w:proofErr w:type="spellStart"/>
      <w:r w:rsidR="00580AC2" w:rsidRPr="00AF332B">
        <w:rPr>
          <w:rFonts w:ascii="Arial" w:hAnsi="Arial" w:cs="Arial"/>
          <w:sz w:val="20"/>
          <w:szCs w:val="20"/>
        </w:rPr>
        <w:t>i</w:t>
      </w:r>
      <w:r w:rsidRPr="00AF332B">
        <w:rPr>
          <w:rFonts w:ascii="Arial" w:hAnsi="Arial" w:cs="Arial"/>
          <w:sz w:val="20"/>
          <w:szCs w:val="20"/>
        </w:rPr>
        <w:t>v</w:t>
      </w:r>
      <w:proofErr w:type="spellEnd"/>
      <w:r w:rsidRPr="00AF332B">
        <w:rPr>
          <w:rFonts w:ascii="Arial" w:hAnsi="Arial" w:cs="Arial"/>
          <w:sz w:val="20"/>
          <w:szCs w:val="20"/>
        </w:rPr>
        <w:t xml:space="preserve">)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r w:rsidR="001F766D">
        <w:rPr>
          <w:rFonts w:ascii="Arial" w:hAnsi="Arial" w:cs="Arial"/>
          <w:sz w:val="20"/>
          <w:szCs w:val="20"/>
        </w:rPr>
        <w:t xml:space="preserve"> </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Assembleia destinada à escolha de novo agente fiduciário deve ser </w:t>
      </w:r>
      <w:proofErr w:type="gramStart"/>
      <w:r w:rsidRPr="00421855">
        <w:rPr>
          <w:rFonts w:ascii="Arial" w:hAnsi="Arial" w:cs="Arial"/>
          <w:sz w:val="20"/>
          <w:szCs w:val="20"/>
        </w:rPr>
        <w:t>convocada</w:t>
      </w:r>
      <w:proofErr w:type="gramEnd"/>
      <w:r w:rsidRPr="00421855">
        <w:rPr>
          <w:rFonts w:ascii="Arial" w:hAnsi="Arial" w:cs="Arial"/>
          <w:sz w:val="20"/>
          <w:szCs w:val="20"/>
        </w:rPr>
        <w:t xml:space="preserve">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02" w:name="_DV_M168"/>
      <w:bookmarkStart w:id="203" w:name="_DV_M202"/>
      <w:bookmarkStart w:id="204" w:name="_DV_M203"/>
      <w:bookmarkStart w:id="205" w:name="_DV_M233"/>
      <w:bookmarkStart w:id="206" w:name="_Toc165713874"/>
      <w:bookmarkStart w:id="207" w:name="_Toc110076269"/>
      <w:bookmarkStart w:id="208" w:name="_Toc168723732"/>
      <w:bookmarkStart w:id="209" w:name="_Toc497236253"/>
      <w:bookmarkEnd w:id="197"/>
      <w:bookmarkEnd w:id="202"/>
      <w:bookmarkEnd w:id="203"/>
      <w:bookmarkEnd w:id="204"/>
      <w:bookmarkEnd w:id="20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206"/>
      <w:bookmarkEnd w:id="207"/>
      <w:bookmarkEnd w:id="208"/>
      <w:bookmarkEnd w:id="209"/>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10" w:name="_DV_M234"/>
      <w:bookmarkStart w:id="211" w:name="_DV_M235"/>
      <w:bookmarkStart w:id="212" w:name="_Toc457548804"/>
      <w:bookmarkStart w:id="213" w:name="_Toc497236254"/>
      <w:bookmarkEnd w:id="210"/>
      <w:bookmarkEnd w:id="211"/>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212"/>
      <w:bookmarkEnd w:id="213"/>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14"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214"/>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15"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215"/>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16" w:name="_Toc497236257"/>
      <w:r w:rsidRPr="00B05632">
        <w:rPr>
          <w:rFonts w:ascii="Arial" w:hAnsi="Arial" w:cs="Arial"/>
          <w:sz w:val="20"/>
          <w:szCs w:val="20"/>
          <w:u w:val="single"/>
        </w:rPr>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 xml:space="preserve">pelo Agente Fiduciário, sendo certo que, nesta hipótese, o Agente Fiduciário deverá convocar em até 2 (dois) Dias Úteis </w:t>
      </w:r>
      <w:r w:rsidRPr="00421855">
        <w:rPr>
          <w:rFonts w:ascii="Arial" w:hAnsi="Arial" w:cs="Arial"/>
          <w:sz w:val="20"/>
          <w:szCs w:val="20"/>
        </w:rPr>
        <w:lastRenderedPageBreak/>
        <w:t>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17" w:name="_DV_M293"/>
      <w:bookmarkEnd w:id="217"/>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18" w:name="_DV_M294"/>
      <w:bookmarkStart w:id="219" w:name="_DV_M295"/>
      <w:bookmarkStart w:id="220" w:name="_DV_M296"/>
      <w:bookmarkEnd w:id="218"/>
      <w:bookmarkEnd w:id="219"/>
      <w:bookmarkEnd w:id="220"/>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w:t>
      </w:r>
      <w:proofErr w:type="spellStart"/>
      <w:r w:rsidRPr="00421855">
        <w:rPr>
          <w:rFonts w:ascii="Arial" w:hAnsi="Arial" w:cs="Arial"/>
          <w:sz w:val="20"/>
          <w:szCs w:val="20"/>
        </w:rPr>
        <w:t>ii</w:t>
      </w:r>
      <w:proofErr w:type="spellEnd"/>
      <w:r w:rsidRPr="00421855">
        <w:rPr>
          <w:rFonts w:ascii="Arial" w:hAnsi="Arial" w:cs="Arial"/>
          <w:sz w:val="20"/>
          <w:szCs w:val="20"/>
        </w:rPr>
        <w:t>)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Assembleia deverá deliberar (i) pela liquidação total ou parcial do Patrimônio Separado, hipótese na qual os respectivos Titulares de CRI presentes em referida Assembleia deverão nomear o liquidante e as formas de liquidação; ou (</w:t>
      </w:r>
      <w:proofErr w:type="spellStart"/>
      <w:r w:rsidRPr="00421855">
        <w:rPr>
          <w:rFonts w:ascii="Arial" w:hAnsi="Arial" w:cs="Arial"/>
          <w:sz w:val="20"/>
          <w:szCs w:val="20"/>
        </w:rPr>
        <w:t>ii</w:t>
      </w:r>
      <w:proofErr w:type="spellEnd"/>
      <w:r w:rsidRPr="00421855">
        <w:rPr>
          <w:rFonts w:ascii="Arial" w:hAnsi="Arial" w:cs="Arial"/>
          <w:sz w:val="20"/>
          <w:szCs w:val="20"/>
        </w:rPr>
        <w:t xml:space="preserve">) pela não liquidação do Patrimônio Separado, hipótese na qual deverá ser deliberada a administração do Patrimônio Separado pelo Agente Fiduciário ou nomeação de nova </w:t>
      </w:r>
      <w:proofErr w:type="spellStart"/>
      <w:r w:rsidRPr="00421855">
        <w:rPr>
          <w:rFonts w:ascii="Arial" w:hAnsi="Arial" w:cs="Arial"/>
          <w:bCs/>
          <w:sz w:val="20"/>
          <w:szCs w:val="20"/>
        </w:rPr>
        <w:t>securitizadora</w:t>
      </w:r>
      <w:proofErr w:type="spellEnd"/>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21" w:name="_DV_M298"/>
      <w:bookmarkStart w:id="222" w:name="_DV_M299"/>
      <w:bookmarkStart w:id="223" w:name="_Ref426494188"/>
      <w:bookmarkEnd w:id="221"/>
      <w:bookmarkEnd w:id="222"/>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223"/>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224" w:name="_DV_M301"/>
      <w:bookmarkEnd w:id="224"/>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w:t>
      </w:r>
      <w:proofErr w:type="spellStart"/>
      <w:r w:rsidR="00D567BE" w:rsidRPr="00421855">
        <w:rPr>
          <w:rFonts w:ascii="Arial" w:hAnsi="Arial" w:cs="Arial"/>
          <w:sz w:val="20"/>
          <w:szCs w:val="20"/>
        </w:rPr>
        <w:t>ii</w:t>
      </w:r>
      <w:proofErr w:type="spellEnd"/>
      <w:r w:rsidR="00D567BE" w:rsidRPr="00421855">
        <w:rPr>
          <w:rFonts w:ascii="Arial" w:hAnsi="Arial" w:cs="Arial"/>
          <w:sz w:val="20"/>
          <w:szCs w:val="20"/>
        </w:rPr>
        <w:t>) esgotar todos os recursos judiciais e extrajudiciais para a realização dos Direitos Creditórios, bem como de suas garantias, caso aplicável, (</w:t>
      </w:r>
      <w:proofErr w:type="spellStart"/>
      <w:r w:rsidR="00D567BE" w:rsidRPr="00421855">
        <w:rPr>
          <w:rFonts w:ascii="Arial" w:hAnsi="Arial" w:cs="Arial"/>
          <w:sz w:val="20"/>
          <w:szCs w:val="20"/>
        </w:rPr>
        <w:t>iii</w:t>
      </w:r>
      <w:proofErr w:type="spellEnd"/>
      <w:r w:rsidR="00D567BE" w:rsidRPr="00421855">
        <w:rPr>
          <w:rFonts w:ascii="Arial" w:hAnsi="Arial" w:cs="Arial"/>
          <w:sz w:val="20"/>
          <w:szCs w:val="20"/>
        </w:rPr>
        <w:t>) ratear os recursos obtidos entre os Titulares dos CRI na proporção de CRI detidos, e (</w:t>
      </w:r>
      <w:proofErr w:type="spellStart"/>
      <w:r w:rsidR="00D567BE" w:rsidRPr="00421855">
        <w:rPr>
          <w:rFonts w:ascii="Arial" w:hAnsi="Arial" w:cs="Arial"/>
          <w:sz w:val="20"/>
          <w:szCs w:val="20"/>
        </w:rPr>
        <w:t>iv</w:t>
      </w:r>
      <w:proofErr w:type="spellEnd"/>
      <w:r w:rsidR="00D567BE" w:rsidRPr="00421855">
        <w:rPr>
          <w:rFonts w:ascii="Arial" w:hAnsi="Arial" w:cs="Arial"/>
          <w:sz w:val="20"/>
          <w:szCs w:val="20"/>
        </w:rPr>
        <w:t>)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w:t>
      </w:r>
      <w:proofErr w:type="spellStart"/>
      <w:r w:rsidRPr="00421855">
        <w:rPr>
          <w:rFonts w:ascii="Arial" w:hAnsi="Arial" w:cs="Arial"/>
          <w:sz w:val="20"/>
          <w:szCs w:val="20"/>
        </w:rPr>
        <w:t>ii</w:t>
      </w:r>
      <w:proofErr w:type="spellEnd"/>
      <w:r w:rsidRPr="00421855">
        <w:rPr>
          <w:rFonts w:ascii="Arial" w:hAnsi="Arial" w:cs="Arial"/>
          <w:sz w:val="20"/>
          <w:szCs w:val="20"/>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25" w:name="_DV_M236"/>
      <w:bookmarkStart w:id="226" w:name="_DV_M245"/>
      <w:bookmarkStart w:id="227" w:name="_Toc165713875"/>
      <w:bookmarkStart w:id="228" w:name="_Toc110076270"/>
      <w:bookmarkStart w:id="229" w:name="_Toc168723733"/>
      <w:bookmarkStart w:id="230" w:name="_Toc497236259"/>
      <w:bookmarkEnd w:id="216"/>
      <w:bookmarkEnd w:id="225"/>
      <w:bookmarkEnd w:id="22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227"/>
      <w:bookmarkEnd w:id="228"/>
      <w:bookmarkEnd w:id="229"/>
      <w:bookmarkEnd w:id="230"/>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31" w:name="_DV_M246"/>
      <w:bookmarkStart w:id="232" w:name="_DV_M263"/>
      <w:bookmarkStart w:id="233" w:name="_Toc497236260"/>
      <w:bookmarkStart w:id="234" w:name="_Toc165713876"/>
      <w:bookmarkStart w:id="235" w:name="_Toc110076271"/>
      <w:bookmarkStart w:id="236" w:name="_Toc168723734"/>
      <w:bookmarkEnd w:id="231"/>
      <w:bookmarkEnd w:id="232"/>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da Assembleia na hipótese da Cláusula 13.3, “</w:t>
      </w:r>
      <w:proofErr w:type="spellStart"/>
      <w:r>
        <w:rPr>
          <w:rFonts w:ascii="Arial" w:hAnsi="Arial" w:cs="Arial"/>
          <w:bCs/>
          <w:sz w:val="20"/>
          <w:szCs w:val="20"/>
        </w:rPr>
        <w:t>iii</w:t>
      </w:r>
      <w:proofErr w:type="spellEnd"/>
      <w:r>
        <w:rPr>
          <w:rFonts w:ascii="Arial" w:hAnsi="Arial" w:cs="Arial"/>
          <w:bCs/>
          <w:sz w:val="20"/>
          <w:szCs w:val="20"/>
        </w:rPr>
        <w:t xml:space="preserve">”,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lastRenderedPageBreak/>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6B1055"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r w:rsidR="00EE4E52" w:rsidRPr="004F5774">
        <w:rPr>
          <w:rFonts w:ascii="Arial" w:hAnsi="Arial" w:cs="Arial"/>
          <w:bCs/>
          <w:sz w:val="20"/>
          <w:szCs w:val="20"/>
        </w:rPr>
        <w:t>, mediante publicação de edital em jornal de grande circulação utilizado pela Emissora para a divulgação de suas informações societárias, por 3 (três) vezes, com antecedência mínima de 2</w:t>
      </w:r>
      <w:r w:rsidR="00F77021">
        <w:rPr>
          <w:rFonts w:ascii="Arial" w:hAnsi="Arial" w:cs="Arial"/>
          <w:bCs/>
          <w:sz w:val="20"/>
          <w:szCs w:val="20"/>
        </w:rPr>
        <w:t>0</w:t>
      </w:r>
      <w:r w:rsidR="00EE4E52" w:rsidRPr="004F5774">
        <w:rPr>
          <w:rFonts w:ascii="Arial" w:hAnsi="Arial" w:cs="Arial"/>
          <w:bCs/>
          <w:sz w:val="20"/>
          <w:szCs w:val="20"/>
        </w:rPr>
        <w:t xml:space="preserve"> (vinte) dias, em primeira convocação, e com antecedência mínima de 8 (oito) dias, em segunda convocação</w:t>
      </w:r>
      <w:r w:rsidR="00EE4E52">
        <w:rPr>
          <w:rFonts w:ascii="Arial" w:hAnsi="Arial" w:cs="Arial"/>
          <w:bCs/>
          <w:sz w:val="20"/>
          <w:szCs w:val="20"/>
        </w:rPr>
        <w:t>.</w:t>
      </w:r>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w:t>
      </w:r>
      <w:proofErr w:type="gramStart"/>
      <w:r w:rsidRPr="00D37CD2">
        <w:rPr>
          <w:rFonts w:ascii="Arial" w:hAnsi="Arial" w:cs="Arial"/>
          <w:bCs/>
          <w:sz w:val="20"/>
          <w:szCs w:val="20"/>
        </w:rPr>
        <w:t>ordem</w:t>
      </w:r>
      <w:proofErr w:type="gramEnd"/>
      <w:r w:rsidRPr="00D37CD2">
        <w:rPr>
          <w:rFonts w:ascii="Arial" w:hAnsi="Arial" w:cs="Arial"/>
          <w:bCs/>
          <w:sz w:val="20"/>
          <w:szCs w:val="20"/>
        </w:rPr>
        <w:t xml:space="preserve">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37"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238" w:name="_DV_M306"/>
      <w:bookmarkEnd w:id="237"/>
      <w:bookmarkEnd w:id="238"/>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39"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w:t>
      </w:r>
      <w:proofErr w:type="spellStart"/>
      <w:r w:rsidR="008E5517">
        <w:rPr>
          <w:rFonts w:ascii="Arial" w:hAnsi="Arial" w:cs="Arial"/>
          <w:sz w:val="20"/>
          <w:szCs w:val="20"/>
        </w:rPr>
        <w:t>ii</w:t>
      </w:r>
      <w:proofErr w:type="spellEnd"/>
      <w:r w:rsidR="008E5517">
        <w:rPr>
          <w:rFonts w:ascii="Arial" w:hAnsi="Arial" w:cs="Arial"/>
          <w:sz w:val="20"/>
          <w:szCs w:val="20"/>
        </w:rPr>
        <w:t>)</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239"/>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d) a transferência da administração do Patrimônio Separado para outra companhia </w:t>
      </w:r>
      <w:proofErr w:type="spellStart"/>
      <w:r w:rsidRPr="00B67AF6">
        <w:rPr>
          <w:rFonts w:ascii="Arial" w:hAnsi="Arial" w:cs="Arial"/>
          <w:bCs/>
          <w:sz w:val="20"/>
          <w:szCs w:val="20"/>
        </w:rPr>
        <w:t>securitizadora</w:t>
      </w:r>
      <w:proofErr w:type="spellEnd"/>
      <w:r w:rsidRPr="00B67AF6">
        <w:rPr>
          <w:rFonts w:ascii="Arial" w:hAnsi="Arial" w:cs="Arial"/>
          <w:bCs/>
          <w:sz w:val="20"/>
          <w:szCs w:val="20"/>
        </w:rPr>
        <w:t xml:space="preserve"> ou para o agente fiduciário, se for o caso.</w:t>
      </w:r>
    </w:p>
    <w:p w14:paraId="3BA4446C" w14:textId="2F1EC90B" w:rsidR="007D25D5" w:rsidRPr="002D7654" w:rsidRDefault="007D25D5" w:rsidP="004F5774">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2D7654">
        <w:rPr>
          <w:rFonts w:ascii="Arial" w:hAnsi="Arial" w:cs="Arial"/>
          <w:bCs/>
          <w:sz w:val="20"/>
          <w:szCs w:val="20"/>
          <w:u w:val="single"/>
        </w:rPr>
        <w:t>Instalação</w:t>
      </w:r>
      <w:r w:rsidRPr="002D7654">
        <w:rPr>
          <w:rFonts w:ascii="Arial" w:hAnsi="Arial" w:cs="Arial"/>
          <w:bCs/>
          <w:sz w:val="20"/>
          <w:szCs w:val="20"/>
        </w:rPr>
        <w:t xml:space="preserve">. </w:t>
      </w:r>
      <w:r w:rsidR="002D7654" w:rsidRPr="002D7654">
        <w:rPr>
          <w:rFonts w:ascii="Arial" w:hAnsi="Arial" w:cs="Arial"/>
          <w:bCs/>
          <w:sz w:val="20"/>
          <w:szCs w:val="20"/>
        </w:rPr>
        <w:t>A Assembleia se instala com a presença de qualquer número de Titulares dos CRI</w:t>
      </w:r>
      <w:r w:rsidRPr="002D7654">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6C5EE06D"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Quórum</w:t>
      </w:r>
      <w:r w:rsidRPr="00421855">
        <w:rPr>
          <w:rFonts w:ascii="Arial" w:hAnsi="Arial" w:cs="Arial"/>
          <w:sz w:val="20"/>
          <w:szCs w:val="20"/>
        </w:rPr>
        <w:t xml:space="preserve">. Todas e quaisquer deliberações a serem tomadas em Assembleia, incluindo, mas não se limitando, a (i) renúncias, </w:t>
      </w:r>
      <w:del w:id="240" w:author="Matheus Gomes Faria" w:date="2022-04-19T12:17:00Z">
        <w:r w:rsidRPr="00421855" w:rsidDel="00227D3A">
          <w:rPr>
            <w:rFonts w:ascii="Arial" w:hAnsi="Arial" w:cs="Arial"/>
            <w:sz w:val="20"/>
            <w:szCs w:val="20"/>
          </w:rPr>
          <w:delText xml:space="preserve">, </w:delText>
        </w:r>
      </w:del>
      <w:r w:rsidRPr="00421855">
        <w:rPr>
          <w:rFonts w:ascii="Arial" w:hAnsi="Arial" w:cs="Arial"/>
          <w:sz w:val="20"/>
          <w:szCs w:val="20"/>
        </w:rPr>
        <w:t>serão tomadas pelos Titulares de CRI representando a maioria dos CRI em Circulação presentes à Assembleia.</w:t>
      </w:r>
    </w:p>
    <w:p w14:paraId="22075550" w14:textId="7861488A"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w:t>
      </w:r>
      <w:ins w:id="241" w:author="Matheus Gomes Faria" w:date="2022-04-19T12:17:00Z">
        <w:r w:rsidR="00227D3A">
          <w:rPr>
            <w:rFonts w:ascii="Arial" w:hAnsi="Arial" w:cs="Arial"/>
            <w:sz w:val="20"/>
            <w:szCs w:val="20"/>
          </w:rPr>
          <w:t xml:space="preserve">(a) </w:t>
        </w:r>
      </w:ins>
      <w:r w:rsidRPr="00421855">
        <w:rPr>
          <w:rFonts w:ascii="Arial" w:hAnsi="Arial" w:cs="Arial"/>
          <w:sz w:val="20"/>
          <w:szCs w:val="20"/>
        </w:rPr>
        <w:t xml:space="preserve">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por cento) dos Titulares de CRI presentes na Assembleia: (i) insolvência da Emissora; (</w:t>
      </w:r>
      <w:proofErr w:type="spellStart"/>
      <w:r w:rsidRPr="00421855">
        <w:rPr>
          <w:rFonts w:ascii="Arial" w:hAnsi="Arial" w:cs="Arial"/>
          <w:sz w:val="20"/>
          <w:szCs w:val="20"/>
        </w:rPr>
        <w:t>ii</w:t>
      </w:r>
      <w:proofErr w:type="spellEnd"/>
      <w:r w:rsidRPr="00421855">
        <w:rPr>
          <w:rFonts w:ascii="Arial" w:hAnsi="Arial" w:cs="Arial"/>
          <w:sz w:val="20"/>
          <w:szCs w:val="20"/>
        </w:rPr>
        <w:t xml:space="preserve">)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w:t>
      </w:r>
      <w:proofErr w:type="spellStart"/>
      <w:r w:rsidRPr="00421855">
        <w:rPr>
          <w:rFonts w:ascii="Arial" w:hAnsi="Arial" w:cs="Arial"/>
          <w:sz w:val="20"/>
          <w:szCs w:val="20"/>
        </w:rPr>
        <w:t>iii</w:t>
      </w:r>
      <w:proofErr w:type="spellEnd"/>
      <w:r w:rsidRPr="00421855">
        <w:rPr>
          <w:rFonts w:ascii="Arial" w:hAnsi="Arial" w:cs="Arial"/>
          <w:sz w:val="20"/>
          <w:szCs w:val="20"/>
        </w:rPr>
        <w:t>) as alterações e renúncias feitas pela Emissora em relação à ordem de alocação de recursos prevista neste Termo de Securitização; (</w:t>
      </w:r>
      <w:proofErr w:type="spellStart"/>
      <w:r w:rsidRPr="00421855">
        <w:rPr>
          <w:rFonts w:ascii="Arial" w:hAnsi="Arial" w:cs="Arial"/>
          <w:sz w:val="20"/>
          <w:szCs w:val="20"/>
        </w:rPr>
        <w:t>iv</w:t>
      </w:r>
      <w:proofErr w:type="spellEnd"/>
      <w:r w:rsidRPr="00421855">
        <w:rPr>
          <w:rFonts w:ascii="Arial" w:hAnsi="Arial" w:cs="Arial"/>
          <w:sz w:val="20"/>
          <w:szCs w:val="20"/>
        </w:rPr>
        <w:t xml:space="preserve">)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45220">
        <w:rPr>
          <w:rFonts w:ascii="Arial" w:hAnsi="Arial" w:cs="Arial"/>
          <w:sz w:val="20"/>
          <w:szCs w:val="20"/>
        </w:rPr>
        <w:t>,</w:t>
      </w:r>
      <w:ins w:id="242" w:author="Matheus Gomes Faria" w:date="2022-04-19T12:17:00Z">
        <w:r w:rsidR="00227D3A">
          <w:rPr>
            <w:rFonts w:ascii="Arial" w:hAnsi="Arial" w:cs="Arial"/>
            <w:sz w:val="20"/>
            <w:szCs w:val="20"/>
          </w:rPr>
          <w:t xml:space="preserve"> e</w:t>
        </w:r>
        <w:r w:rsidR="00227D3A" w:rsidRPr="00227D3A">
          <w:rPr>
            <w:rFonts w:ascii="Arial" w:hAnsi="Arial" w:cs="Arial"/>
            <w:sz w:val="20"/>
            <w:szCs w:val="20"/>
          </w:rPr>
          <w:t xml:space="preserve"> </w:t>
        </w:r>
      </w:ins>
      <w:ins w:id="243" w:author="Matheus Gomes Faria" w:date="2022-04-19T12:18:00Z">
        <w:r w:rsidR="00227D3A">
          <w:rPr>
            <w:rFonts w:ascii="Arial" w:hAnsi="Arial" w:cs="Arial"/>
            <w:sz w:val="20"/>
            <w:szCs w:val="20"/>
          </w:rPr>
          <w:t xml:space="preserve">(b) </w:t>
        </w:r>
      </w:ins>
      <w:ins w:id="244" w:author="Matheus Gomes Faria" w:date="2022-04-19T12:17:00Z">
        <w:r w:rsidR="00227D3A" w:rsidRPr="00421855">
          <w:rPr>
            <w:rFonts w:ascii="Arial" w:hAnsi="Arial" w:cs="Arial"/>
            <w:sz w:val="20"/>
            <w:szCs w:val="20"/>
          </w:rPr>
          <w:t xml:space="preserve">no mínimo, </w:t>
        </w:r>
      </w:ins>
      <w:ins w:id="245" w:author="Matheus Gomes Faria" w:date="2022-04-19T12:18:00Z">
        <w:r w:rsidR="00227D3A">
          <w:rPr>
            <w:rFonts w:ascii="Arial" w:hAnsi="Arial" w:cs="Arial"/>
            <w:sz w:val="20"/>
            <w:szCs w:val="20"/>
          </w:rPr>
          <w:t>50</w:t>
        </w:r>
      </w:ins>
      <w:ins w:id="246" w:author="Matheus Gomes Faria" w:date="2022-04-19T12:17:00Z">
        <w:r w:rsidR="00227D3A" w:rsidRPr="00421855">
          <w:rPr>
            <w:rFonts w:ascii="Arial" w:hAnsi="Arial" w:cs="Arial"/>
            <w:sz w:val="20"/>
            <w:szCs w:val="20"/>
          </w:rPr>
          <w:t>% (</w:t>
        </w:r>
      </w:ins>
      <w:ins w:id="247" w:author="Matheus Gomes Faria" w:date="2022-04-19T12:18:00Z">
        <w:r w:rsidR="00227D3A">
          <w:rPr>
            <w:rFonts w:ascii="Arial" w:hAnsi="Arial" w:cs="Arial"/>
            <w:sz w:val="20"/>
            <w:szCs w:val="20"/>
          </w:rPr>
          <w:t>cinquenta por cento</w:t>
        </w:r>
      </w:ins>
      <w:ins w:id="248" w:author="Matheus Gomes Faria" w:date="2022-04-19T12:17:00Z">
        <w:r w:rsidR="00227D3A" w:rsidRPr="00421855">
          <w:rPr>
            <w:rFonts w:ascii="Arial" w:hAnsi="Arial" w:cs="Arial"/>
            <w:sz w:val="20"/>
            <w:szCs w:val="20"/>
          </w:rPr>
          <w:t>)</w:t>
        </w:r>
      </w:ins>
      <w:ins w:id="249" w:author="Matheus Gomes Faria" w:date="2022-04-19T12:18:00Z">
        <w:r w:rsidR="00227D3A">
          <w:rPr>
            <w:rFonts w:ascii="Arial" w:hAnsi="Arial" w:cs="Arial"/>
            <w:sz w:val="20"/>
            <w:szCs w:val="20"/>
          </w:rPr>
          <w:t xml:space="preserve"> mais um </w:t>
        </w:r>
      </w:ins>
      <w:ins w:id="250" w:author="Matheus Gomes Faria" w:date="2022-04-19T12:17:00Z">
        <w:r w:rsidR="00227D3A" w:rsidRPr="00421855">
          <w:rPr>
            <w:rFonts w:ascii="Arial" w:hAnsi="Arial" w:cs="Arial"/>
            <w:sz w:val="20"/>
            <w:szCs w:val="20"/>
          </w:rPr>
          <w:t xml:space="preserve">dos Titulares de CRI </w:t>
        </w:r>
      </w:ins>
      <w:ins w:id="251" w:author="Matheus Gomes Faria" w:date="2022-04-19T12:18:00Z">
        <w:r w:rsidR="00227D3A">
          <w:rPr>
            <w:rFonts w:ascii="Arial" w:hAnsi="Arial" w:cs="Arial"/>
            <w:sz w:val="20"/>
            <w:szCs w:val="20"/>
          </w:rPr>
          <w:t>em circulação para</w:t>
        </w:r>
      </w:ins>
      <w:ins w:id="252" w:author="Matheus Gomes Faria" w:date="2022-04-19T12:17:00Z">
        <w:r w:rsidR="00227D3A" w:rsidRPr="00421855">
          <w:rPr>
            <w:rFonts w:ascii="Arial" w:hAnsi="Arial" w:cs="Arial"/>
            <w:sz w:val="20"/>
            <w:szCs w:val="20"/>
          </w:rPr>
          <w:t xml:space="preserve"> </w:t>
        </w:r>
      </w:ins>
      <w:r w:rsidR="00B45220" w:rsidRPr="00421855">
        <w:rPr>
          <w:rFonts w:ascii="Arial" w:hAnsi="Arial" w:cs="Arial"/>
          <w:sz w:val="20"/>
          <w:szCs w:val="20"/>
        </w:rPr>
        <w:t>(</w:t>
      </w:r>
      <w:del w:id="253" w:author="Matheus Gomes Faria" w:date="2022-04-19T12:18:00Z">
        <w:r w:rsidR="00B45220" w:rsidDel="00227D3A">
          <w:rPr>
            <w:rFonts w:ascii="Arial" w:hAnsi="Arial" w:cs="Arial"/>
            <w:sz w:val="20"/>
            <w:szCs w:val="20"/>
          </w:rPr>
          <w:delText>v</w:delText>
        </w:r>
      </w:del>
      <w:ins w:id="254" w:author="Matheus Gomes Faria" w:date="2022-04-19T12:18:00Z">
        <w:r w:rsidR="00227D3A">
          <w:rPr>
            <w:rFonts w:ascii="Arial" w:hAnsi="Arial" w:cs="Arial"/>
            <w:sz w:val="20"/>
            <w:szCs w:val="20"/>
          </w:rPr>
          <w:t>i</w:t>
        </w:r>
      </w:ins>
      <w:r w:rsidR="00B45220" w:rsidRPr="00421855">
        <w:rPr>
          <w:rFonts w:ascii="Arial" w:hAnsi="Arial" w:cs="Arial"/>
          <w:sz w:val="20"/>
          <w:szCs w:val="20"/>
        </w:rPr>
        <w:t>) celebração de aditamentos, (</w:t>
      </w:r>
      <w:proofErr w:type="spellStart"/>
      <w:del w:id="255" w:author="Matheus Gomes Faria" w:date="2022-04-19T12:18:00Z">
        <w:r w:rsidR="00B45220" w:rsidDel="00227D3A">
          <w:rPr>
            <w:rFonts w:ascii="Arial" w:hAnsi="Arial" w:cs="Arial"/>
            <w:sz w:val="20"/>
            <w:szCs w:val="20"/>
          </w:rPr>
          <w:delText>v</w:delText>
        </w:r>
      </w:del>
      <w:ins w:id="256" w:author="Matheus Gomes Faria" w:date="2022-04-19T12:18:00Z">
        <w:r w:rsidR="00227D3A">
          <w:rPr>
            <w:rFonts w:ascii="Arial" w:hAnsi="Arial" w:cs="Arial"/>
            <w:sz w:val="20"/>
            <w:szCs w:val="20"/>
          </w:rPr>
          <w:t>i</w:t>
        </w:r>
      </w:ins>
      <w:r w:rsidR="00B45220">
        <w:rPr>
          <w:rFonts w:ascii="Arial" w:hAnsi="Arial" w:cs="Arial"/>
          <w:sz w:val="20"/>
          <w:szCs w:val="20"/>
        </w:rPr>
        <w:t>i</w:t>
      </w:r>
      <w:proofErr w:type="spellEnd"/>
      <w:r w:rsidR="00B45220" w:rsidRPr="00421855">
        <w:rPr>
          <w:rFonts w:ascii="Arial" w:hAnsi="Arial" w:cs="Arial"/>
          <w:sz w:val="20"/>
          <w:szCs w:val="20"/>
        </w:rPr>
        <w:t>) aprovação de eventuais garantias adicionais, (</w:t>
      </w:r>
      <w:proofErr w:type="spellStart"/>
      <w:del w:id="257" w:author="Matheus Gomes Faria" w:date="2022-04-19T12:18:00Z">
        <w:r w:rsidR="00B45220" w:rsidDel="00227D3A">
          <w:rPr>
            <w:rFonts w:ascii="Arial" w:hAnsi="Arial" w:cs="Arial"/>
            <w:sz w:val="20"/>
            <w:szCs w:val="20"/>
          </w:rPr>
          <w:delText>v</w:delText>
        </w:r>
      </w:del>
      <w:ins w:id="258" w:author="Matheus Gomes Faria" w:date="2022-04-19T12:18:00Z">
        <w:r w:rsidR="00227D3A">
          <w:rPr>
            <w:rFonts w:ascii="Arial" w:hAnsi="Arial" w:cs="Arial"/>
            <w:sz w:val="20"/>
            <w:szCs w:val="20"/>
          </w:rPr>
          <w:t>i</w:t>
        </w:r>
      </w:ins>
      <w:r w:rsidR="00B45220">
        <w:rPr>
          <w:rFonts w:ascii="Arial" w:hAnsi="Arial" w:cs="Arial"/>
          <w:sz w:val="20"/>
          <w:szCs w:val="20"/>
        </w:rPr>
        <w:t>ii</w:t>
      </w:r>
      <w:proofErr w:type="spellEnd"/>
      <w:r w:rsidR="00B45220" w:rsidRPr="00421855">
        <w:rPr>
          <w:rFonts w:ascii="Arial" w:hAnsi="Arial" w:cs="Arial"/>
          <w:sz w:val="20"/>
          <w:szCs w:val="20"/>
        </w:rPr>
        <w:t>) alteração de quaisquer características dos CRI, (</w:t>
      </w:r>
      <w:proofErr w:type="spellStart"/>
      <w:del w:id="259" w:author="Matheus Gomes Faria" w:date="2022-04-19T12:19:00Z">
        <w:r w:rsidR="00B45220" w:rsidRPr="00421855" w:rsidDel="00227D3A">
          <w:rPr>
            <w:rFonts w:ascii="Arial" w:hAnsi="Arial" w:cs="Arial"/>
            <w:sz w:val="20"/>
            <w:szCs w:val="20"/>
          </w:rPr>
          <w:delText>v</w:delText>
        </w:r>
      </w:del>
      <w:ins w:id="260" w:author="Matheus Gomes Faria" w:date="2022-04-19T12:19:00Z">
        <w:r w:rsidR="00227D3A">
          <w:rPr>
            <w:rFonts w:ascii="Arial" w:hAnsi="Arial" w:cs="Arial"/>
            <w:sz w:val="20"/>
            <w:szCs w:val="20"/>
          </w:rPr>
          <w:t>i</w:t>
        </w:r>
      </w:ins>
      <w:r w:rsidR="00B45220">
        <w:rPr>
          <w:rFonts w:ascii="Arial" w:hAnsi="Arial" w:cs="Arial"/>
          <w:sz w:val="20"/>
          <w:szCs w:val="20"/>
        </w:rPr>
        <w:t>ii</w:t>
      </w:r>
      <w:proofErr w:type="spellEnd"/>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w:t>
      </w:r>
      <w:proofErr w:type="gramStart"/>
      <w:r w:rsidRPr="00D37CD2">
        <w:rPr>
          <w:rFonts w:ascii="Arial" w:hAnsi="Arial" w:cs="Arial"/>
          <w:bCs/>
          <w:w w:val="0"/>
          <w:sz w:val="20"/>
          <w:szCs w:val="20"/>
        </w:rPr>
        <w:t>qualquer</w:t>
      </w:r>
      <w:proofErr w:type="gramEnd"/>
      <w:r w:rsidRPr="00D37CD2">
        <w:rPr>
          <w:rFonts w:ascii="Arial" w:hAnsi="Arial" w:cs="Arial"/>
          <w:bCs/>
          <w:w w:val="0"/>
          <w:sz w:val="20"/>
          <w:szCs w:val="20"/>
        </w:rPr>
        <w:t xml:space="preserve">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houver</w:t>
      </w:r>
      <w:proofErr w:type="gramEnd"/>
      <w:r w:rsidRPr="00D37CD2">
        <w:rPr>
          <w:rFonts w:ascii="Arial" w:hAnsi="Arial" w:cs="Arial"/>
          <w:bCs/>
          <w:w w:val="0"/>
          <w:sz w:val="20"/>
          <w:szCs w:val="20"/>
        </w:rPr>
        <w:t xml:space="preserve">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261"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261"/>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262"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262"/>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263" w:name="_DV_M309"/>
      <w:bookmarkEnd w:id="263"/>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233"/>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64"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234"/>
      <w:bookmarkEnd w:id="235"/>
      <w:bookmarkEnd w:id="236"/>
      <w:bookmarkEnd w:id="264"/>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65" w:name="_DV_M264"/>
      <w:bookmarkStart w:id="266" w:name="_Toc457548825"/>
      <w:bookmarkStart w:id="267" w:name="_Toc497236276"/>
      <w:bookmarkEnd w:id="265"/>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266"/>
      <w:bookmarkEnd w:id="267"/>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w:t>
      </w:r>
      <w:proofErr w:type="gramStart"/>
      <w:r w:rsidR="00213E5C" w:rsidRPr="00421855">
        <w:rPr>
          <w:rFonts w:ascii="Arial" w:hAnsi="Arial" w:cs="Arial"/>
          <w:sz w:val="20"/>
          <w:szCs w:val="20"/>
        </w:rPr>
        <w:t>as referentes</w:t>
      </w:r>
      <w:proofErr w:type="gramEnd"/>
      <w:r w:rsidR="00213E5C" w:rsidRPr="00421855">
        <w:rPr>
          <w:rFonts w:ascii="Arial" w:hAnsi="Arial" w:cs="Arial"/>
          <w:sz w:val="20"/>
          <w:szCs w:val="20"/>
        </w:rPr>
        <w:t xml:space="preserve"> à sua transferência</w:t>
      </w:r>
      <w:r w:rsidR="004250D9" w:rsidRPr="00421855">
        <w:rPr>
          <w:rFonts w:ascii="Arial" w:hAnsi="Arial" w:cs="Arial"/>
          <w:sz w:val="20"/>
          <w:szCs w:val="20"/>
        </w:rPr>
        <w:t xml:space="preserve"> para outra companhia </w:t>
      </w:r>
      <w:proofErr w:type="spellStart"/>
      <w:r w:rsidR="004250D9" w:rsidRPr="00421855">
        <w:rPr>
          <w:rFonts w:ascii="Arial" w:hAnsi="Arial" w:cs="Arial"/>
          <w:sz w:val="20"/>
          <w:szCs w:val="20"/>
        </w:rPr>
        <w:t>securitizadora</w:t>
      </w:r>
      <w:proofErr w:type="spellEnd"/>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 xml:space="preserve">dos prestadores de serviço do CRI (custodiante, </w:t>
      </w:r>
      <w:proofErr w:type="spellStart"/>
      <w:r w:rsidR="00CC2767" w:rsidRPr="00421855">
        <w:rPr>
          <w:rFonts w:ascii="Arial" w:hAnsi="Arial" w:cs="Arial"/>
          <w:sz w:val="20"/>
          <w:szCs w:val="20"/>
        </w:rPr>
        <w:t>escriturador</w:t>
      </w:r>
      <w:proofErr w:type="spellEnd"/>
      <w:r w:rsidR="00CC2767" w:rsidRPr="00421855">
        <w:rPr>
          <w:rFonts w:ascii="Arial" w:hAnsi="Arial" w:cs="Arial"/>
          <w:sz w:val="20"/>
          <w:szCs w:val="20"/>
        </w:rPr>
        <w:t>,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68" w:name="_DV_M388"/>
      <w:bookmarkStart w:id="269" w:name="_DV_M389"/>
      <w:bookmarkStart w:id="270" w:name="_DV_M390"/>
      <w:bookmarkStart w:id="271" w:name="_DV_M391"/>
      <w:bookmarkStart w:id="272" w:name="_DV_M392"/>
      <w:bookmarkStart w:id="273" w:name="_DV_M393"/>
      <w:bookmarkStart w:id="274" w:name="_DV_M394"/>
      <w:bookmarkEnd w:id="268"/>
      <w:bookmarkEnd w:id="269"/>
      <w:bookmarkEnd w:id="270"/>
      <w:bookmarkEnd w:id="271"/>
      <w:bookmarkEnd w:id="272"/>
      <w:bookmarkEnd w:id="273"/>
      <w:bookmarkEnd w:id="274"/>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proofErr w:type="spellStart"/>
      <w:r w:rsidR="00591626" w:rsidRPr="00421855">
        <w:rPr>
          <w:rFonts w:ascii="Arial" w:eastAsia="Arial Unicode MS" w:hAnsi="Arial" w:cs="Arial"/>
          <w:sz w:val="20"/>
          <w:szCs w:val="20"/>
        </w:rPr>
        <w:t>ii</w:t>
      </w:r>
      <w:proofErr w:type="spellEnd"/>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xml:space="preserve">) as despesas com contratação de </w:t>
      </w:r>
      <w:r w:rsidRPr="00421855">
        <w:rPr>
          <w:rFonts w:ascii="Arial" w:eastAsia="Arial Unicode MS" w:hAnsi="Arial" w:cs="Arial"/>
          <w:sz w:val="20"/>
          <w:szCs w:val="20"/>
        </w:rPr>
        <w:lastRenderedPageBreak/>
        <w:t>serviços de auditoria, assessoria legal, fiscal, contábil e de outros especialistas; (</w:t>
      </w:r>
      <w:proofErr w:type="spellStart"/>
      <w:r w:rsidR="00591626" w:rsidRPr="00421855">
        <w:rPr>
          <w:rFonts w:ascii="Arial" w:eastAsia="Arial Unicode MS" w:hAnsi="Arial" w:cs="Arial"/>
          <w:sz w:val="20"/>
          <w:szCs w:val="20"/>
        </w:rPr>
        <w:t>ii</w:t>
      </w:r>
      <w:proofErr w:type="spellEnd"/>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iii</w:t>
      </w:r>
      <w:proofErr w:type="spellEnd"/>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iv</w:t>
      </w:r>
      <w:proofErr w:type="spellEnd"/>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5" w:name="_DV_M273"/>
      <w:bookmarkStart w:id="276" w:name="_Toc168723735"/>
      <w:bookmarkStart w:id="277" w:name="_Toc497236280"/>
      <w:bookmarkEnd w:id="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78" w:name="_DV_M274"/>
      <w:bookmarkEnd w:id="276"/>
      <w:bookmarkEnd w:id="278"/>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277"/>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279" w:name="_DV_M275"/>
      <w:bookmarkStart w:id="280" w:name="_Toc457548830"/>
      <w:bookmarkStart w:id="281" w:name="_Toc497236281"/>
      <w:bookmarkEnd w:id="279"/>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282" w:name="_DV_M213"/>
      <w:bookmarkStart w:id="283" w:name="_DV_M214"/>
      <w:bookmarkStart w:id="284" w:name="_DV_M215"/>
      <w:bookmarkStart w:id="285" w:name="_DV_M216"/>
      <w:bookmarkStart w:id="286" w:name="_DV_M217"/>
      <w:bookmarkStart w:id="287" w:name="_DV_M218"/>
      <w:bookmarkStart w:id="288" w:name="_DV_M342"/>
      <w:bookmarkStart w:id="289" w:name="_DV_M343"/>
      <w:bookmarkStart w:id="290" w:name="_DV_M344"/>
      <w:bookmarkStart w:id="291" w:name="_DV_M281"/>
      <w:bookmarkStart w:id="292" w:name="_Toc110076272"/>
      <w:bookmarkStart w:id="293" w:name="_Toc497236282"/>
      <w:bookmarkStart w:id="294" w:name="_Toc165713877"/>
      <w:bookmarkStart w:id="295" w:name="_Toc168723736"/>
      <w:bookmarkEnd w:id="280"/>
      <w:bookmarkEnd w:id="281"/>
      <w:bookmarkEnd w:id="282"/>
      <w:bookmarkEnd w:id="283"/>
      <w:bookmarkEnd w:id="284"/>
      <w:bookmarkEnd w:id="285"/>
      <w:bookmarkEnd w:id="286"/>
      <w:bookmarkEnd w:id="287"/>
      <w:bookmarkEnd w:id="288"/>
      <w:bookmarkEnd w:id="289"/>
      <w:bookmarkEnd w:id="290"/>
      <w:bookmarkEnd w:id="291"/>
      <w:r w:rsidRPr="00421855">
        <w:rPr>
          <w:rFonts w:ascii="Arial" w:eastAsia="Times New Roman" w:hAnsi="Arial" w:cs="Arial"/>
          <w:sz w:val="20"/>
          <w:szCs w:val="20"/>
          <w:lang w:eastAsia="pt-BR"/>
        </w:rPr>
        <w:t xml:space="preserve">CLÁUSULA </w:t>
      </w:r>
      <w:bookmarkStart w:id="296" w:name="_DV_M282"/>
      <w:bookmarkEnd w:id="292"/>
      <w:bookmarkEnd w:id="296"/>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293"/>
      <w:bookmarkEnd w:id="294"/>
      <w:bookmarkEnd w:id="295"/>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97" w:name="_DV_M283"/>
      <w:bookmarkStart w:id="298" w:name="_DV_M284"/>
      <w:bookmarkStart w:id="299" w:name="_Toc457548832"/>
      <w:bookmarkStart w:id="300" w:name="_Toc497236283"/>
      <w:bookmarkStart w:id="301" w:name="_Toc457548834"/>
      <w:bookmarkStart w:id="302" w:name="_Toc497236285"/>
      <w:bookmarkEnd w:id="297"/>
      <w:bookmarkEnd w:id="298"/>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299"/>
      <w:bookmarkEnd w:id="300"/>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303" w:name="_Toc457548833"/>
      <w:bookmarkStart w:id="304"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303"/>
      <w:bookmarkEnd w:id="304"/>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301"/>
      <w:bookmarkEnd w:id="302"/>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05" w:name="_DV_M285"/>
      <w:bookmarkStart w:id="306" w:name="_Toc165713878"/>
      <w:bookmarkStart w:id="307" w:name="_Toc110076273"/>
      <w:bookmarkStart w:id="308" w:name="_Toc168723737"/>
      <w:bookmarkStart w:id="309" w:name="_Toc497236286"/>
      <w:bookmarkEnd w:id="305"/>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306"/>
      <w:bookmarkEnd w:id="307"/>
      <w:bookmarkEnd w:id="308"/>
      <w:r w:rsidR="00F230D9" w:rsidRPr="00421855">
        <w:rPr>
          <w:rFonts w:ascii="Arial" w:eastAsia="Times New Roman" w:hAnsi="Arial" w:cs="Arial"/>
          <w:sz w:val="20"/>
          <w:szCs w:val="20"/>
          <w:lang w:eastAsia="pt-BR"/>
        </w:rPr>
        <w:t xml:space="preserve"> DE SECURITIZAÇÃO</w:t>
      </w:r>
      <w:bookmarkEnd w:id="309"/>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10" w:name="_DV_M286"/>
      <w:bookmarkStart w:id="311" w:name="_Toc457548836"/>
      <w:bookmarkStart w:id="312" w:name="_Toc497236287"/>
      <w:bookmarkEnd w:id="310"/>
      <w:r w:rsidRPr="00421855">
        <w:rPr>
          <w:rFonts w:ascii="Arial" w:hAnsi="Arial" w:cs="Arial"/>
          <w:sz w:val="20"/>
          <w:szCs w:val="20"/>
          <w:u w:val="single"/>
        </w:rPr>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311"/>
      <w:bookmarkEnd w:id="312"/>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13" w:name="_DV_M287"/>
      <w:bookmarkStart w:id="314" w:name="_DV_M291"/>
      <w:bookmarkStart w:id="315" w:name="_DV_M292"/>
      <w:bookmarkStart w:id="316" w:name="_DV_M219"/>
      <w:bookmarkStart w:id="317" w:name="_DV_M220"/>
      <w:bookmarkStart w:id="318" w:name="_DV_M221"/>
      <w:bookmarkStart w:id="319" w:name="_DV_M222"/>
      <w:bookmarkStart w:id="320" w:name="_DV_M223"/>
      <w:bookmarkStart w:id="321" w:name="_DV_M224"/>
      <w:bookmarkStart w:id="322" w:name="_DV_M225"/>
      <w:bookmarkStart w:id="323" w:name="_DV_M226"/>
      <w:bookmarkStart w:id="324" w:name="_DV_M227"/>
      <w:bookmarkStart w:id="325" w:name="_DV_M228"/>
      <w:bookmarkStart w:id="326" w:name="_DV_M229"/>
      <w:bookmarkStart w:id="327" w:name="_DV_M230"/>
      <w:bookmarkStart w:id="328" w:name="_DV_M231"/>
      <w:bookmarkStart w:id="329" w:name="_DV_M564"/>
      <w:bookmarkStart w:id="330" w:name="_DV_M312"/>
      <w:bookmarkStart w:id="331" w:name="_DV_M313"/>
      <w:bookmarkStart w:id="332" w:name="_DV_M314"/>
      <w:bookmarkStart w:id="333" w:name="_DV_M315"/>
      <w:bookmarkStart w:id="334" w:name="_DV_M316"/>
      <w:bookmarkStart w:id="335" w:name="_DV_M317"/>
      <w:bookmarkStart w:id="336" w:name="_Toc165713882"/>
      <w:bookmarkStart w:id="337" w:name="_Toc162083611"/>
      <w:bookmarkStart w:id="338" w:name="_Toc163043028"/>
      <w:bookmarkStart w:id="339" w:name="_Toc163311032"/>
      <w:bookmarkStart w:id="340" w:name="_Toc163380716"/>
      <w:bookmarkStart w:id="341" w:name="_Toc168723741"/>
      <w:bookmarkStart w:id="342" w:name="_Toc497236299"/>
      <w:bookmarkStart w:id="343" w:name="_Toc162079650"/>
      <w:bookmarkStart w:id="344" w:name="_Toc162083623"/>
      <w:bookmarkStart w:id="345" w:name="_Toc16304304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336"/>
      <w:bookmarkEnd w:id="337"/>
      <w:bookmarkEnd w:id="338"/>
      <w:bookmarkEnd w:id="339"/>
      <w:bookmarkEnd w:id="340"/>
      <w:bookmarkEnd w:id="341"/>
      <w:bookmarkEnd w:id="342"/>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46" w:name="_DV_M318"/>
      <w:bookmarkStart w:id="347" w:name="_Toc457548849"/>
      <w:bookmarkStart w:id="348" w:name="_Toc497236300"/>
      <w:bookmarkEnd w:id="346"/>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w:t>
      </w:r>
      <w:r w:rsidR="007A6803" w:rsidRPr="00421855">
        <w:rPr>
          <w:rFonts w:ascii="Arial" w:hAnsi="Arial" w:cs="Arial"/>
          <w:sz w:val="20"/>
          <w:szCs w:val="20"/>
        </w:rPr>
        <w:lastRenderedPageBreak/>
        <w:t>recebimento, remetidos aos endereços abaixo, ou a qualquer outro endereço posteriormente comunicado, por escrito, pela destinatária a outra parte</w:t>
      </w:r>
      <w:bookmarkEnd w:id="347"/>
      <w:bookmarkEnd w:id="348"/>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349" w:name="_DV_M319"/>
      <w:bookmarkStart w:id="350" w:name="_DV_M320"/>
      <w:bookmarkStart w:id="351" w:name="_Hlk52200621"/>
      <w:bookmarkStart w:id="352" w:name="_Hlk21941481"/>
      <w:bookmarkStart w:id="353" w:name="_Hlk77240626"/>
      <w:bookmarkEnd w:id="349"/>
      <w:bookmarkEnd w:id="350"/>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354"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355" w:name="_Hlk12485974"/>
      <w:bookmarkEnd w:id="351"/>
      <w:bookmarkEnd w:id="352"/>
      <w:bookmarkEnd w:id="354"/>
    </w:p>
    <w:bookmarkEnd w:id="353"/>
    <w:p w14:paraId="0862F996" w14:textId="612E1D9E" w:rsidR="00AD1AFA" w:rsidRPr="004F5774" w:rsidRDefault="00AD1AFA" w:rsidP="004F5774">
      <w:pPr>
        <w:pStyle w:val="PargrafodaLista"/>
        <w:tabs>
          <w:tab w:val="left" w:pos="851"/>
        </w:tabs>
        <w:spacing w:before="240" w:after="240"/>
        <w:ind w:left="851"/>
        <w:rPr>
          <w:rFonts w:ascii="Arial" w:hAnsi="Arial" w:cs="Arial"/>
          <w:sz w:val="20"/>
        </w:rPr>
      </w:pPr>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r w:rsidRPr="00AD1AFA">
        <w:rPr>
          <w:rFonts w:ascii="Arial" w:hAnsi="Arial" w:cs="Arial"/>
          <w:sz w:val="20"/>
        </w:rPr>
        <w:t>Rua Joaquim Floriano 466, sala 1401 - Itaim Bibi</w:t>
      </w:r>
      <w:r>
        <w:rPr>
          <w:rFonts w:ascii="Arial" w:hAnsi="Arial" w:cs="Arial"/>
          <w:sz w:val="20"/>
        </w:rPr>
        <w:br/>
      </w:r>
      <w:r w:rsidRPr="004F5774">
        <w:rPr>
          <w:rFonts w:ascii="Arial" w:hAnsi="Arial" w:cs="Arial"/>
          <w:sz w:val="20"/>
        </w:rPr>
        <w:t>04534-002 – São Paulo - SP – Brasil</w:t>
      </w:r>
      <w:r>
        <w:rPr>
          <w:rFonts w:ascii="Arial" w:hAnsi="Arial" w:cs="Arial"/>
          <w:sz w:val="20"/>
        </w:rPr>
        <w:br/>
      </w:r>
      <w:r w:rsidRPr="004F5774">
        <w:rPr>
          <w:rFonts w:ascii="Arial" w:hAnsi="Arial" w:cs="Arial"/>
          <w:iCs/>
          <w:sz w:val="20"/>
        </w:rPr>
        <w:t>A/C:</w:t>
      </w:r>
      <w:r w:rsidRPr="004F5774">
        <w:rPr>
          <w:rFonts w:ascii="Arial" w:hAnsi="Arial" w:cs="Arial"/>
          <w:sz w:val="20"/>
        </w:rPr>
        <w:t xml:space="preserve"> Matheus Gomes Faria </w:t>
      </w:r>
      <w:r w:rsidRPr="004F5774">
        <w:rPr>
          <w:rFonts w:ascii="Arial" w:hAnsi="Arial" w:cs="Arial"/>
          <w:iCs/>
          <w:sz w:val="20"/>
        </w:rPr>
        <w:t>/</w:t>
      </w:r>
      <w:r w:rsidRPr="004F5774">
        <w:rPr>
          <w:rFonts w:ascii="Arial" w:hAnsi="Arial" w:cs="Arial"/>
          <w:sz w:val="20"/>
        </w:rPr>
        <w:t xml:space="preserve"> Pedro Paulo Oliveira</w:t>
      </w:r>
      <w:r w:rsidR="00B14C69">
        <w:rPr>
          <w:rFonts w:ascii="Arial" w:hAnsi="Arial" w:cs="Arial"/>
          <w:sz w:val="20"/>
        </w:rPr>
        <w:br/>
      </w:r>
      <w:r w:rsidRPr="004F5774">
        <w:rPr>
          <w:rFonts w:ascii="Arial" w:hAnsi="Arial" w:cs="Arial"/>
          <w:iCs/>
          <w:sz w:val="20"/>
        </w:rPr>
        <w:t>Telefone:</w:t>
      </w:r>
      <w:r w:rsidRPr="004F5774">
        <w:rPr>
          <w:rFonts w:ascii="Arial" w:hAnsi="Arial" w:cs="Arial"/>
          <w:sz w:val="20"/>
        </w:rPr>
        <w:t xml:space="preserve"> (11) 3090-0447</w:t>
      </w:r>
      <w:r w:rsidR="00B14C69" w:rsidRPr="004F5774">
        <w:rPr>
          <w:rFonts w:ascii="Arial" w:hAnsi="Arial" w:cs="Arial"/>
          <w:sz w:val="20"/>
        </w:rPr>
        <w:br/>
      </w:r>
      <w:r w:rsidRPr="004F5774">
        <w:rPr>
          <w:rFonts w:ascii="Arial" w:hAnsi="Arial" w:cs="Arial"/>
          <w:iCs/>
          <w:sz w:val="20"/>
        </w:rPr>
        <w:t>E-mail:</w:t>
      </w:r>
      <w:r w:rsidRPr="004F5774">
        <w:rPr>
          <w:rFonts w:ascii="Arial" w:hAnsi="Arial" w:cs="Arial"/>
          <w:sz w:val="20"/>
        </w:rPr>
        <w:t xml:space="preserve"> spestruturacao@simplificpavarini.com.br</w:t>
      </w:r>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356" w:name="_DV_M333"/>
      <w:bookmarkStart w:id="357" w:name="_Toc457548850"/>
      <w:bookmarkStart w:id="358" w:name="_Toc497236301"/>
      <w:bookmarkEnd w:id="355"/>
      <w:bookmarkEnd w:id="356"/>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357"/>
      <w:bookmarkEnd w:id="358"/>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59"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60" w:name="_Hlk529545762"/>
      <w:bookmarkEnd w:id="359"/>
      <w:r w:rsidRPr="00421855">
        <w:rPr>
          <w:rFonts w:ascii="Arial" w:hAnsi="Arial" w:cs="Arial"/>
          <w:sz w:val="20"/>
          <w:szCs w:val="20"/>
          <w:u w:val="single"/>
        </w:rPr>
        <w:t>Ausência de Renúncia de Direitos</w:t>
      </w:r>
      <w:r w:rsidRPr="00421855">
        <w:rPr>
          <w:rFonts w:ascii="Arial" w:hAnsi="Arial" w:cs="Arial"/>
          <w:sz w:val="20"/>
          <w:szCs w:val="20"/>
        </w:rPr>
        <w:t>. Os direitos de cada Parte previstos neste instrumento (i) são cumulativos com outros direitos previstos em lei, a menos que expressamente excluídos;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lastRenderedPageBreak/>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61" w:name="_Hlk529545812"/>
      <w:bookmarkEnd w:id="360"/>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62" w:name="_Hlk3979066"/>
      <w:bookmarkStart w:id="363"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12AF210B"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lastRenderedPageBreak/>
        <w:t xml:space="preserve">Se envolver </w:t>
      </w:r>
      <w:r w:rsidR="00AD1AFA">
        <w:rPr>
          <w:rFonts w:ascii="Arial" w:hAnsi="Arial" w:cs="Arial"/>
          <w:sz w:val="20"/>
        </w:rPr>
        <w:t xml:space="preserve">a redução </w:t>
      </w:r>
      <w:r w:rsidRPr="00421855">
        <w:rPr>
          <w:rFonts w:ascii="Arial" w:hAnsi="Arial" w:cs="Arial"/>
          <w:sz w:val="20"/>
        </w:rPr>
        <w:t>da remuneração dos prestadores de serviço descritos neste instrumento</w:t>
      </w:r>
      <w:r w:rsidR="00AD1AFA">
        <w:rPr>
          <w:rFonts w:ascii="Arial" w:hAnsi="Arial" w:cs="Arial"/>
          <w:sz w:val="20"/>
        </w:rPr>
        <w:t>.</w:t>
      </w:r>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362"/>
    <w:bookmarkEnd w:id="363"/>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64"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365" w:name="_Hlk502775797"/>
      <w:bookmarkStart w:id="366" w:name="_Hlk529546998"/>
      <w:bookmarkEnd w:id="361"/>
      <w:bookmarkEnd w:id="364"/>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365"/>
    <w:bookmarkEnd w:id="366"/>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7F1094C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367" w:name="_Hlk70938100"/>
      <w:bookmarkStart w:id="368"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 xml:space="preserve">13.874, </w:t>
      </w:r>
      <w:r w:rsidRPr="00421855">
        <w:rPr>
          <w:rFonts w:ascii="Arial" w:hAnsi="Arial" w:cs="Arial"/>
          <w:sz w:val="20"/>
          <w:szCs w:val="20"/>
        </w:rPr>
        <w:lastRenderedPageBreak/>
        <w:t xml:space="preserve">bem como na </w:t>
      </w:r>
      <w:r w:rsidR="00B807F2">
        <w:rPr>
          <w:rFonts w:ascii="Arial" w:hAnsi="Arial" w:cs="Arial"/>
          <w:sz w:val="20"/>
          <w:szCs w:val="20"/>
        </w:rPr>
        <w:t>Lei 14.063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367"/>
    <w:bookmarkEnd w:id="368"/>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69" w:name="_DV_M334"/>
      <w:bookmarkStart w:id="370" w:name="_DV_M335"/>
      <w:bookmarkStart w:id="371" w:name="_DV_C148"/>
      <w:bookmarkStart w:id="372" w:name="_Toc457548852"/>
      <w:bookmarkStart w:id="373" w:name="_Toc497236303"/>
      <w:bookmarkEnd w:id="343"/>
      <w:bookmarkEnd w:id="344"/>
      <w:bookmarkEnd w:id="345"/>
      <w:bookmarkEnd w:id="369"/>
      <w:bookmarkEnd w:id="370"/>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371"/>
      <w:bookmarkEnd w:id="372"/>
      <w:bookmarkEnd w:id="373"/>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374" w:name="_DV_M336"/>
      <w:bookmarkStart w:id="375" w:name="_DV_M340"/>
      <w:bookmarkEnd w:id="374"/>
      <w:bookmarkEnd w:id="375"/>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lastRenderedPageBreak/>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376" w:name="_Hlk93497881"/>
            <w:bookmarkStart w:id="377" w:name="_Hlk72147034"/>
            <w:r w:rsidRPr="00421855">
              <w:rPr>
                <w:rFonts w:ascii="Arial" w:hAnsi="Arial" w:cs="Arial"/>
                <w:b/>
                <w:sz w:val="20"/>
                <w:szCs w:val="20"/>
              </w:rPr>
              <w:t>BLUM Companhia de Securitização de Créditos S.A.</w:t>
            </w:r>
            <w:bookmarkEnd w:id="376"/>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Cargo: </w:t>
            </w:r>
            <w:proofErr w:type="spellStart"/>
            <w:r>
              <w:rPr>
                <w:rFonts w:ascii="Arial" w:hAnsi="Arial" w:cs="Arial"/>
                <w:bCs/>
                <w:color w:val="000000"/>
                <w:sz w:val="20"/>
                <w:szCs w:val="20"/>
                <w:lang w:val="en-US" w:eastAsia="en-US"/>
              </w:rPr>
              <w:t>Diretor</w:t>
            </w:r>
            <w:proofErr w:type="spellEnd"/>
            <w:r>
              <w:rPr>
                <w:rFonts w:ascii="Arial" w:hAnsi="Arial" w:cs="Arial"/>
                <w:bCs/>
                <w:color w:val="000000"/>
                <w:sz w:val="20"/>
                <w:szCs w:val="20"/>
                <w:lang w:val="en-US" w:eastAsia="en-US"/>
              </w:rPr>
              <w:t xml:space="preserve">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CPF </w:t>
            </w:r>
            <w:proofErr w:type="gramStart"/>
            <w:r>
              <w:rPr>
                <w:rFonts w:ascii="Arial" w:hAnsi="Arial" w:cs="Arial"/>
                <w:bCs/>
                <w:color w:val="000000"/>
                <w:sz w:val="20"/>
                <w:szCs w:val="20"/>
                <w:lang w:val="en-US" w:eastAsia="en-US"/>
              </w:rPr>
              <w:t>n.º</w:t>
            </w:r>
            <w:proofErr w:type="gramEnd"/>
            <w:r>
              <w:rPr>
                <w:rFonts w:ascii="Arial" w:hAnsi="Arial" w:cs="Arial"/>
                <w:bCs/>
                <w:color w:val="000000"/>
                <w:sz w:val="20"/>
                <w:szCs w:val="20"/>
                <w:lang w:val="en-US" w:eastAsia="en-US"/>
              </w:rPr>
              <w:t>: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377"/>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A2981C5" w:rsidR="001E2A69" w:rsidRPr="009A7E2B" w:rsidRDefault="00B14C69" w:rsidP="007D7F52">
            <w:pPr>
              <w:jc w:val="center"/>
              <w:rPr>
                <w:rFonts w:ascii="Arial" w:eastAsia="Arial" w:hAnsi="Arial" w:cs="Arial"/>
                <w:b/>
                <w:bCs/>
                <w:sz w:val="20"/>
                <w:szCs w:val="20"/>
              </w:rPr>
            </w:pPr>
            <w:r>
              <w:rPr>
                <w:rFonts w:ascii="Arial" w:hAnsi="Arial" w:cs="Arial"/>
                <w:b/>
                <w:bCs/>
                <w:sz w:val="20"/>
                <w:szCs w:val="20"/>
              </w:rPr>
              <w:t>Simplific Pavarini Distribuidora de Títulos e Valores Mobiliários LTDA.</w:t>
            </w:r>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56441CC"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523D2A24"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0F868AA9"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378" w:name="Texto319"/>
    </w:p>
    <w:bookmarkEnd w:id="378"/>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 xml:space="preserve">Nome: Talita Medeiros Pita </w:t>
            </w:r>
            <w:proofErr w:type="spellStart"/>
            <w:r>
              <w:rPr>
                <w:rFonts w:ascii="Arial" w:hAnsi="Arial" w:cs="Arial"/>
                <w:sz w:val="20"/>
                <w:szCs w:val="20"/>
              </w:rPr>
              <w:t>Crestana</w:t>
            </w:r>
            <w:proofErr w:type="spellEnd"/>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379" w:name="_Toc497236304"/>
      <w:r w:rsidRPr="00421855">
        <w:rPr>
          <w:rFonts w:ascii="Arial" w:hAnsi="Arial" w:cs="Arial"/>
          <w:bCs/>
          <w:i/>
          <w:sz w:val="16"/>
          <w:szCs w:val="16"/>
        </w:rPr>
        <w:lastRenderedPageBreak/>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379"/>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583715AF" w:rsidR="00E82FF6" w:rsidRPr="00421855" w:rsidRDefault="003C48C5" w:rsidP="00406515">
      <w:pPr>
        <w:spacing w:before="240" w:after="240" w:line="300" w:lineRule="auto"/>
        <w:rPr>
          <w:rFonts w:ascii="Arial" w:hAnsi="Arial" w:cs="Arial"/>
          <w:i/>
          <w:sz w:val="16"/>
          <w:szCs w:val="16"/>
        </w:rPr>
      </w:pPr>
      <w:bookmarkStart w:id="380" w:name="_Hlk499289536"/>
      <w:r w:rsidRPr="00421855">
        <w:rPr>
          <w:rFonts w:ascii="Arial" w:hAnsi="Arial" w:cs="Arial"/>
          <w:bCs/>
          <w:i/>
          <w:sz w:val="16"/>
          <w:szCs w:val="16"/>
        </w:rPr>
        <w:lastRenderedPageBreak/>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381"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5447D1E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0FB03A7C"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561D32">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624DA539" w:rsidR="00083F86" w:rsidRPr="00153AA9" w:rsidRDefault="00B14C69" w:rsidP="00B422D7">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57C86F05"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B14C69">
              <w:rPr>
                <w:rFonts w:ascii="Arial" w:hAnsi="Arial" w:cs="Arial"/>
                <w:sz w:val="18"/>
                <w:szCs w:val="18"/>
              </w:rPr>
              <w:t>15.227.994/0004-01</w:t>
            </w:r>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3F58019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B14C69" w:rsidRPr="004F5774">
              <w:rPr>
                <w:rFonts w:ascii="Arial" w:hAnsi="Arial" w:cs="Arial"/>
                <w:sz w:val="20"/>
                <w:szCs w:val="20"/>
              </w:rPr>
              <w:t>Rua Joaquim Floriano, nº 466, bloco B, Conj. 140</w:t>
            </w:r>
            <w:r w:rsidR="00B14C69">
              <w:rPr>
                <w:rFonts w:ascii="Arial" w:hAnsi="Arial" w:cs="Arial"/>
                <w:sz w:val="20"/>
                <w:szCs w:val="20"/>
              </w:rPr>
              <w:t>.</w:t>
            </w:r>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2E40B69F" w:rsidR="00083F86" w:rsidRPr="00421855" w:rsidRDefault="00B14C69" w:rsidP="00B422D7">
            <w:pPr>
              <w:suppressAutoHyphens/>
              <w:spacing w:before="40" w:after="40" w:line="276" w:lineRule="auto"/>
              <w:rPr>
                <w:rFonts w:ascii="Arial" w:hAnsi="Arial" w:cs="Arial"/>
                <w:sz w:val="18"/>
                <w:szCs w:val="18"/>
              </w:rPr>
            </w:pPr>
            <w:r w:rsidRPr="004F5774">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03AACC47"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4A6B8374"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199ED3CE"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25FC1A77"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1</w:t>
            </w:r>
            <w:r w:rsidRPr="00D20D42">
              <w:rPr>
                <w:rFonts w:ascii="Arial" w:hAnsi="Arial" w:cs="Arial"/>
                <w:sz w:val="18"/>
                <w:szCs w:val="18"/>
              </w:rPr>
              <w:t>”)</w:t>
            </w:r>
            <w:r w:rsidRPr="00D20D42">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30AF127E" w:rsidR="0093001F" w:rsidRPr="00D20D42" w:rsidRDefault="0093001F" w:rsidP="00AD54F4">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9D609C" w:rsidRPr="00D20D42">
              <w:rPr>
                <w:rFonts w:ascii="Arial" w:hAnsi="Arial" w:cs="Arial"/>
                <w:sz w:val="18"/>
                <w:szCs w:val="18"/>
              </w:rPr>
              <w:t xml:space="preserve">78,65% (setenta e oito inteiros e </w:t>
            </w:r>
            <w:r w:rsidR="000A6C8F" w:rsidRPr="00D20D42">
              <w:rPr>
                <w:rFonts w:ascii="Arial" w:hAnsi="Arial" w:cs="Arial"/>
                <w:sz w:val="18"/>
                <w:szCs w:val="18"/>
              </w:rPr>
              <w:t>sessenta</w:t>
            </w:r>
            <w:r w:rsidR="009D609C" w:rsidRPr="00D20D42">
              <w:rPr>
                <w:rFonts w:ascii="Arial" w:hAnsi="Arial" w:cs="Arial"/>
                <w:sz w:val="18"/>
                <w:szCs w:val="18"/>
              </w:rPr>
              <w:t xml:space="preserve"> e cinco </w:t>
            </w:r>
            <w:r w:rsidR="00A751EA" w:rsidRPr="00D20D42">
              <w:rPr>
                <w:rFonts w:ascii="Arial" w:hAnsi="Arial" w:cs="Arial"/>
                <w:sz w:val="18"/>
                <w:szCs w:val="18"/>
              </w:rPr>
              <w:t>centésimos</w:t>
            </w:r>
            <w:r w:rsidR="009D609C" w:rsidRPr="00D20D42">
              <w:rPr>
                <w:rFonts w:ascii="Arial" w:hAnsi="Arial" w:cs="Arial"/>
                <w:sz w:val="18"/>
                <w:szCs w:val="18"/>
              </w:rPr>
              <w:t xml:space="preserve"> por cento) das parcelas com vencimento em 25/05/2023 e 25/06/2023, e 90,16% (noventa inteiros e dezesseis </w:t>
            </w:r>
            <w:r w:rsidR="00A751EA" w:rsidRPr="00D20D42">
              <w:rPr>
                <w:rFonts w:ascii="Arial" w:hAnsi="Arial" w:cs="Arial"/>
                <w:sz w:val="18"/>
                <w:szCs w:val="18"/>
              </w:rPr>
              <w:t xml:space="preserve">centésimos </w:t>
            </w:r>
            <w:r w:rsidR="009D609C" w:rsidRPr="00D20D42">
              <w:rPr>
                <w:rFonts w:ascii="Arial" w:hAnsi="Arial" w:cs="Arial"/>
                <w:sz w:val="18"/>
                <w:szCs w:val="18"/>
              </w:rPr>
              <w:t>por cento) das demais parcelas dos Créditos Imobiliários Totais</w:t>
            </w:r>
            <w:r w:rsidR="00A83510" w:rsidRPr="004F5774">
              <w:rPr>
                <w:rFonts w:ascii="Arial" w:hAnsi="Arial" w:cs="Arial"/>
                <w:sz w:val="18"/>
                <w:szCs w:val="18"/>
              </w:rPr>
              <w:t xml:space="preserve"> oriundos do Contrato de Locação 1 até 25/08/2034</w:t>
            </w:r>
            <w:r w:rsidR="009D609C" w:rsidRPr="00D20D42">
              <w:rPr>
                <w:rFonts w:ascii="Arial" w:hAnsi="Arial" w:cs="Arial"/>
                <w:sz w:val="18"/>
                <w:szCs w:val="18"/>
              </w:rPr>
              <w:t>.</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lastRenderedPageBreak/>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7D30576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5B62042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9D609C">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2F65579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ACD1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27E4E22"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5115E643"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em 31 de janeiro de 2022 e em </w:t>
            </w:r>
            <w:r w:rsidR="001C77C7"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2</w:t>
            </w:r>
            <w:r w:rsidRPr="00D20D42">
              <w:rPr>
                <w:rFonts w:ascii="Arial" w:hAnsi="Arial" w:cs="Arial"/>
                <w:sz w:val="18"/>
                <w:szCs w:val="18"/>
              </w:rPr>
              <w:t>”)</w:t>
            </w:r>
            <w:r w:rsidRPr="00D20D42">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4765367A"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B2520C"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B2520C"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2 até </w:t>
            </w:r>
            <w:r w:rsidR="00A83510" w:rsidRPr="004F5774">
              <w:rPr>
                <w:rFonts w:ascii="Arial" w:hAnsi="Arial" w:cs="Arial"/>
                <w:sz w:val="18"/>
                <w:szCs w:val="18"/>
              </w:rPr>
              <w:lastRenderedPageBreak/>
              <w:t>25/08/2034</w:t>
            </w:r>
            <w:r w:rsidR="00B2520C" w:rsidRPr="00D20D42">
              <w:rPr>
                <w:rFonts w:ascii="Arial" w:hAnsi="Arial" w:cs="Arial"/>
                <w:sz w:val="18"/>
                <w:szCs w:val="18"/>
              </w:rPr>
              <w:t>.</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lastRenderedPageBreak/>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42970FB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DFE407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650F41">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6D723D7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8E18FC9"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E0783E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10E7C3D6"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3</w:t>
            </w:r>
            <w:r w:rsidRPr="00D20D42">
              <w:rPr>
                <w:rFonts w:ascii="Arial" w:hAnsi="Arial" w:cs="Arial"/>
                <w:sz w:val="18"/>
                <w:szCs w:val="18"/>
              </w:rPr>
              <w:t>”)</w:t>
            </w:r>
            <w:r w:rsidRPr="00D20D42">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2650903B" w:rsidR="0093001F" w:rsidRPr="00D20D42" w:rsidRDefault="0093001F" w:rsidP="00B422D7">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262507"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262507"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3 até 25/08/2034</w:t>
            </w:r>
            <w:r w:rsidR="00262507" w:rsidRPr="00D20D42">
              <w:rPr>
                <w:rFonts w:ascii="Arial" w:hAnsi="Arial" w:cs="Arial"/>
                <w:sz w:val="18"/>
                <w:szCs w:val="18"/>
              </w:rPr>
              <w:t>.</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3843E4BC"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684FE432"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1E2487">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2FB9D1F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2A93B8F"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C6C1850"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39983CD5"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4</w:t>
            </w:r>
            <w:r w:rsidRPr="00D20D42">
              <w:rPr>
                <w:rFonts w:ascii="Arial" w:hAnsi="Arial" w:cs="Arial"/>
                <w:sz w:val="18"/>
                <w:szCs w:val="18"/>
              </w:rPr>
              <w:t>”)</w:t>
            </w:r>
            <w:r w:rsidRPr="00D20D42">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7BB9F6B4"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1E2487"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1E2487"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4 até 25/08/2034</w:t>
            </w:r>
            <w:r w:rsidR="001E2487" w:rsidRPr="00D20D42">
              <w:rPr>
                <w:rFonts w:ascii="Arial" w:hAnsi="Arial" w:cs="Arial"/>
                <w:sz w:val="18"/>
                <w:szCs w:val="18"/>
              </w:rPr>
              <w:t>.</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 xml:space="preserve">Data, Forma e Periodicidade de </w:t>
            </w:r>
            <w:r w:rsidRPr="00421855">
              <w:rPr>
                <w:rFonts w:ascii="Arial" w:hAnsi="Arial" w:cs="Arial"/>
                <w:sz w:val="18"/>
                <w:szCs w:val="18"/>
              </w:rPr>
              <w:lastRenderedPageBreak/>
              <w:t>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1FAACBAD"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2EDFEB6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B56881">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1EB81BD8"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5CF3DA2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DB13C4F"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23488484"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B56881"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5</w:t>
            </w:r>
            <w:r w:rsidRPr="00D20D42">
              <w:rPr>
                <w:rFonts w:ascii="Arial" w:hAnsi="Arial" w:cs="Arial"/>
                <w:sz w:val="18"/>
                <w:szCs w:val="18"/>
              </w:rPr>
              <w:t>”)</w:t>
            </w:r>
            <w:r w:rsidRPr="00D20D42">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283A5E57" w:rsidR="0093001F" w:rsidRPr="00D20D42" w:rsidRDefault="0093001F" w:rsidP="00B422D7">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B56881"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B56881"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5 até 25/08/2034</w:t>
            </w:r>
            <w:r w:rsidR="00B56881" w:rsidRPr="00D20D42">
              <w:rPr>
                <w:rFonts w:ascii="Arial" w:hAnsi="Arial" w:cs="Arial"/>
                <w:sz w:val="18"/>
                <w:szCs w:val="18"/>
              </w:rPr>
              <w:t>.</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5D3A8F"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4F5774" w:rsidRDefault="00083F86" w:rsidP="00B422D7">
            <w:pPr>
              <w:suppressAutoHyphens/>
              <w:spacing w:before="40" w:after="40" w:line="276" w:lineRule="auto"/>
              <w:jc w:val="center"/>
              <w:rPr>
                <w:rFonts w:ascii="Arial" w:hAnsi="Arial" w:cs="Arial"/>
                <w:sz w:val="18"/>
                <w:szCs w:val="18"/>
                <w:highlight w:val="yellow"/>
                <w:lang w:val="it-IT"/>
              </w:rPr>
            </w:pPr>
            <w:proofErr w:type="spellStart"/>
            <w:r w:rsidRPr="004F5774">
              <w:rPr>
                <w:rFonts w:ascii="Arial" w:hAnsi="Arial" w:cs="Arial"/>
                <w:sz w:val="18"/>
                <w:szCs w:val="18"/>
                <w:lang w:val="it-IT"/>
              </w:rPr>
              <w:t>Rodovia</w:t>
            </w:r>
            <w:proofErr w:type="spellEnd"/>
            <w:r w:rsidRPr="004F5774">
              <w:rPr>
                <w:rFonts w:ascii="Arial" w:hAnsi="Arial" w:cs="Arial"/>
                <w:sz w:val="18"/>
                <w:szCs w:val="18"/>
                <w:lang w:val="it-IT"/>
              </w:rPr>
              <w:t xml:space="preserve"> </w:t>
            </w:r>
            <w:proofErr w:type="spellStart"/>
            <w:r w:rsidRPr="004F5774">
              <w:rPr>
                <w:rFonts w:ascii="Arial" w:hAnsi="Arial" w:cs="Arial"/>
                <w:sz w:val="18"/>
                <w:szCs w:val="18"/>
                <w:lang w:val="it-IT"/>
              </w:rPr>
              <w:t>Coromandel</w:t>
            </w:r>
            <w:proofErr w:type="spellEnd"/>
            <w:r w:rsidRPr="004F5774">
              <w:rPr>
                <w:rFonts w:ascii="Arial" w:hAnsi="Arial" w:cs="Arial"/>
                <w:sz w:val="18"/>
                <w:szCs w:val="18"/>
                <w:lang w:val="it-IT"/>
              </w:rPr>
              <w:t xml:space="preserve">/MG – Santa Rosa/MG, Km 25, CEP 38550-000, </w:t>
            </w:r>
            <w:proofErr w:type="spellStart"/>
            <w:r w:rsidRPr="004F5774">
              <w:rPr>
                <w:rFonts w:ascii="Arial" w:hAnsi="Arial" w:cs="Arial"/>
                <w:sz w:val="18"/>
                <w:szCs w:val="18"/>
                <w:lang w:val="it-IT"/>
              </w:rPr>
              <w:t>Coromandel</w:t>
            </w:r>
            <w:proofErr w:type="spellEnd"/>
            <w:r w:rsidRPr="004F5774">
              <w:rPr>
                <w:rFonts w:ascii="Arial" w:hAnsi="Arial" w:cs="Arial"/>
                <w:sz w:val="18"/>
                <w:szCs w:val="18"/>
                <w:lang w:val="it-IT"/>
              </w:rPr>
              <w:t>/MG.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 xml:space="preserve">quarenta e oito milhões e trezentos e setenta e sete mil e cento e sessenta </w:t>
            </w:r>
            <w:r w:rsidR="00B56881">
              <w:rPr>
                <w:rFonts w:ascii="Arial" w:hAnsi="Arial" w:cs="Arial"/>
                <w:sz w:val="18"/>
                <w:szCs w:val="18"/>
              </w:rPr>
              <w:lastRenderedPageBreak/>
              <w:t>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76547B5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09BF341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D90DA0">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0ED95B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3256AE"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BF99BD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FAB9118"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6</w:t>
            </w:r>
            <w:r w:rsidRPr="00D20D42">
              <w:rPr>
                <w:rFonts w:ascii="Arial" w:hAnsi="Arial" w:cs="Arial"/>
                <w:sz w:val="18"/>
                <w:szCs w:val="18"/>
              </w:rPr>
              <w:t>”)</w:t>
            </w:r>
            <w:r w:rsidRPr="00D20D42">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241E853"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D90DA0"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D90DA0"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6 até </w:t>
            </w:r>
            <w:r w:rsidR="00A83510" w:rsidRPr="004F5774">
              <w:rPr>
                <w:rFonts w:ascii="Arial" w:hAnsi="Arial" w:cs="Arial"/>
                <w:sz w:val="18"/>
                <w:szCs w:val="18"/>
              </w:rPr>
              <w:lastRenderedPageBreak/>
              <w:t>25/08/2034</w:t>
            </w:r>
            <w:r w:rsidR="00D90DA0" w:rsidRPr="00D20D42">
              <w:rPr>
                <w:rFonts w:ascii="Arial" w:hAnsi="Arial" w:cs="Arial"/>
                <w:sz w:val="18"/>
                <w:szCs w:val="18"/>
              </w:rPr>
              <w:t>.</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lastRenderedPageBreak/>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27.278.594,</w:t>
            </w:r>
            <w:proofErr w:type="gramStart"/>
            <w:r w:rsidR="00D90DA0" w:rsidRPr="00D90DA0">
              <w:rPr>
                <w:rFonts w:ascii="Arial" w:hAnsi="Arial" w:cs="Arial"/>
                <w:sz w:val="18"/>
                <w:szCs w:val="18"/>
              </w:rPr>
              <w:t xml:space="preserve">01 </w:t>
            </w:r>
            <w:r w:rsidR="00083F86" w:rsidRPr="00421855">
              <w:rPr>
                <w:rFonts w:ascii="Arial" w:hAnsi="Arial" w:cs="Arial"/>
                <w:bCs/>
                <w:sz w:val="18"/>
                <w:szCs w:val="18"/>
              </w:rPr>
              <w:t xml:space="preserve"> (</w:t>
            </w:r>
            <w:proofErr w:type="gramEnd"/>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20CD475"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4D0B93E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AB1DCD">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1CB515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653F24A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164F33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1F65C253"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7</w:t>
            </w:r>
            <w:r w:rsidRPr="00D20D42">
              <w:rPr>
                <w:rFonts w:ascii="Arial" w:hAnsi="Arial" w:cs="Arial"/>
                <w:sz w:val="18"/>
                <w:szCs w:val="18"/>
              </w:rPr>
              <w:t>”)</w:t>
            </w:r>
            <w:r w:rsidRPr="00D20D42">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157AA540"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AB1DCD"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AB1DCD"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7 até 25/08/2034</w:t>
            </w:r>
            <w:r w:rsidR="00AB1DCD" w:rsidRPr="00D20D42">
              <w:rPr>
                <w:rFonts w:ascii="Arial" w:hAnsi="Arial" w:cs="Arial"/>
                <w:sz w:val="18"/>
                <w:szCs w:val="18"/>
              </w:rPr>
              <w:t>.</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613F5F2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51FE0A4"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EB0EB6">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777F555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699FCB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74CCB8FB"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249F2730"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ED1FEB" w:rsidRPr="00D20D42">
              <w:rPr>
                <w:rFonts w:ascii="Arial" w:hAnsi="Arial" w:cs="Arial"/>
                <w:sz w:val="18"/>
                <w:szCs w:val="18"/>
              </w:rPr>
              <w:t>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8</w:t>
            </w:r>
            <w:r w:rsidRPr="00D20D42">
              <w:rPr>
                <w:rFonts w:ascii="Arial" w:hAnsi="Arial" w:cs="Arial"/>
                <w:sz w:val="18"/>
                <w:szCs w:val="18"/>
              </w:rPr>
              <w:t>”)</w:t>
            </w:r>
            <w:r w:rsidRPr="00D20D42">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1D224DB6"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ED1FEB"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ED1FEB" w:rsidRPr="00D20D42">
              <w:rPr>
                <w:rFonts w:ascii="Arial" w:hAnsi="Arial" w:cs="Arial"/>
                <w:sz w:val="18"/>
                <w:szCs w:val="18"/>
              </w:rPr>
              <w:t>por cento) das parcelas dos Créditos Imobiliários Totais</w:t>
            </w:r>
            <w:r w:rsidR="00A83510" w:rsidRPr="00D20D42">
              <w:rPr>
                <w:rFonts w:ascii="Arial" w:hAnsi="Arial" w:cs="Arial"/>
                <w:sz w:val="18"/>
                <w:szCs w:val="18"/>
              </w:rPr>
              <w:t xml:space="preserve"> </w:t>
            </w:r>
            <w:r w:rsidR="00A83510" w:rsidRPr="004F5774">
              <w:rPr>
                <w:rFonts w:ascii="Arial" w:hAnsi="Arial" w:cs="Arial"/>
                <w:sz w:val="18"/>
                <w:szCs w:val="18"/>
              </w:rPr>
              <w:t>oriundos do Contrato de Locação 8 até 25/08/2034</w:t>
            </w:r>
            <w:r w:rsidR="00ED1FEB" w:rsidRPr="00D20D42">
              <w:rPr>
                <w:rFonts w:ascii="Arial" w:hAnsi="Arial" w:cs="Arial"/>
                <w:sz w:val="18"/>
                <w:szCs w:val="18"/>
              </w:rPr>
              <w:t>.</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 xml:space="preserve">Data, Forma e Periodicidade de </w:t>
            </w:r>
            <w:r w:rsidRPr="00421855">
              <w:rPr>
                <w:rFonts w:ascii="Arial" w:hAnsi="Arial" w:cs="Arial"/>
                <w:sz w:val="18"/>
                <w:szCs w:val="18"/>
              </w:rPr>
              <w:lastRenderedPageBreak/>
              <w:t>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lastRenderedPageBreak/>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7321C0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6AB093B1" w:rsidR="00083F86" w:rsidRPr="00421855" w:rsidRDefault="007F372D" w:rsidP="00B422D7">
            <w:pPr>
              <w:suppressAutoHyphens/>
              <w:spacing w:before="40" w:after="40" w:line="276" w:lineRule="auto"/>
              <w:jc w:val="center"/>
              <w:rPr>
                <w:rFonts w:ascii="Arial" w:hAnsi="Arial" w:cs="Arial"/>
                <w:sz w:val="18"/>
                <w:szCs w:val="18"/>
              </w:rPr>
            </w:pPr>
            <w:bookmarkStart w:id="382" w:name="_Hlk100579841"/>
            <w:r>
              <w:rPr>
                <w:rFonts w:ascii="Arial" w:hAnsi="Arial" w:cs="Arial"/>
                <w:sz w:val="18"/>
                <w:szCs w:val="18"/>
              </w:rPr>
              <w:t>FGREEN</w:t>
            </w:r>
            <w:bookmarkEnd w:id="382"/>
            <w:r w:rsidR="00080A5D">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4F5774">
              <w:rPr>
                <w:rFonts w:ascii="Arial" w:hAnsi="Arial" w:cs="Arial"/>
                <w:sz w:val="20"/>
                <w:szCs w:val="20"/>
              </w:rPr>
              <w:t>í</w:t>
            </w:r>
            <w:r w:rsidRPr="00153AA9">
              <w:rPr>
                <w:rFonts w:ascii="Arial" w:hAnsi="Arial" w:cs="Arial"/>
                <w:sz w:val="20"/>
                <w:szCs w:val="20"/>
              </w:rPr>
              <w:t>tulos e Valores Mobili</w:t>
            </w:r>
            <w:r w:rsidRPr="004F5774">
              <w:rPr>
                <w:rFonts w:ascii="Arial" w:hAnsi="Arial" w:cs="Arial"/>
                <w:sz w:val="20"/>
                <w:szCs w:val="20"/>
              </w:rPr>
              <w:t>á</w:t>
            </w:r>
            <w:r w:rsidRPr="00153AA9">
              <w:rPr>
                <w:rFonts w:ascii="Arial" w:hAnsi="Arial" w:cs="Arial"/>
                <w:sz w:val="20"/>
                <w:szCs w:val="20"/>
              </w:rPr>
              <w:t>rios LTDA</w:t>
            </w:r>
          </w:p>
        </w:tc>
      </w:tr>
      <w:tr w:rsidR="00B14C69" w:rsidRPr="00421855" w14:paraId="0AD488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61DBC8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6728034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2BA84FE" w:rsidR="00083F86" w:rsidRPr="00D20D42" w:rsidRDefault="00083F86" w:rsidP="00B422D7">
            <w:pPr>
              <w:suppressAutoHyphens/>
              <w:spacing w:before="40" w:after="40" w:line="276" w:lineRule="auto"/>
              <w:jc w:val="both"/>
              <w:rPr>
                <w:rFonts w:ascii="Arial" w:hAnsi="Arial" w:cs="Arial"/>
                <w:sz w:val="18"/>
                <w:szCs w:val="18"/>
              </w:rPr>
            </w:pPr>
            <w:r w:rsidRPr="00D20D42">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D20D42">
              <w:rPr>
                <w:rFonts w:ascii="Arial" w:hAnsi="Arial" w:cs="Arial"/>
                <w:sz w:val="18"/>
                <w:szCs w:val="18"/>
              </w:rPr>
              <w:t>Forgreen</w:t>
            </w:r>
            <w:proofErr w:type="spellEnd"/>
            <w:r w:rsidRPr="00D20D42">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sidRPr="00D20D42">
              <w:rPr>
                <w:rFonts w:ascii="Arial" w:hAnsi="Arial" w:cs="Arial"/>
                <w:sz w:val="18"/>
                <w:szCs w:val="18"/>
              </w:rPr>
              <w:t xml:space="preserve"> 25 de março de 2022</w:t>
            </w:r>
            <w:r w:rsidRPr="00D20D42">
              <w:rPr>
                <w:rFonts w:ascii="Arial" w:hAnsi="Arial" w:cs="Arial"/>
                <w:sz w:val="18"/>
                <w:szCs w:val="18"/>
              </w:rPr>
              <w:t xml:space="preserve"> (“</w:t>
            </w:r>
            <w:r w:rsidRPr="00D20D42">
              <w:rPr>
                <w:rFonts w:ascii="Arial" w:hAnsi="Arial" w:cs="Arial"/>
                <w:b/>
                <w:bCs/>
                <w:sz w:val="18"/>
                <w:szCs w:val="18"/>
              </w:rPr>
              <w:t>Contrato de Locação</w:t>
            </w:r>
            <w:r w:rsidR="00A83510" w:rsidRPr="00D20D42">
              <w:rPr>
                <w:rFonts w:ascii="Arial" w:hAnsi="Arial" w:cs="Arial"/>
                <w:b/>
                <w:bCs/>
                <w:sz w:val="18"/>
                <w:szCs w:val="18"/>
              </w:rPr>
              <w:t xml:space="preserve"> 9</w:t>
            </w:r>
            <w:r w:rsidRPr="00D20D42">
              <w:rPr>
                <w:rFonts w:ascii="Arial" w:hAnsi="Arial" w:cs="Arial"/>
                <w:sz w:val="18"/>
                <w:szCs w:val="18"/>
              </w:rPr>
              <w:t>”)</w:t>
            </w:r>
            <w:r w:rsidRPr="00D20D42">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480C0134" w:rsidR="0093001F" w:rsidRPr="00D20D42" w:rsidRDefault="0093001F" w:rsidP="0093001F">
            <w:pPr>
              <w:suppressAutoHyphens/>
              <w:spacing w:before="40" w:after="40" w:line="276" w:lineRule="auto"/>
              <w:rPr>
                <w:rFonts w:ascii="Arial" w:hAnsi="Arial" w:cs="Arial"/>
                <w:b/>
                <w:sz w:val="18"/>
                <w:szCs w:val="18"/>
              </w:rPr>
            </w:pPr>
            <w:r w:rsidRPr="00D20D42">
              <w:rPr>
                <w:rFonts w:ascii="Arial" w:hAnsi="Arial" w:cs="Arial"/>
                <w:b/>
                <w:bCs/>
                <w:sz w:val="18"/>
                <w:szCs w:val="18"/>
              </w:rPr>
              <w:t>5. FRAÇÃO</w:t>
            </w:r>
            <w:r w:rsidR="008D2A96" w:rsidRPr="00D20D42">
              <w:rPr>
                <w:rFonts w:ascii="Arial" w:hAnsi="Arial" w:cs="Arial"/>
                <w:b/>
                <w:bCs/>
                <w:sz w:val="18"/>
                <w:szCs w:val="18"/>
              </w:rPr>
              <w:t xml:space="preserve"> DOS CRÉDITOS IMOBILIÁRIOS TOTAIS REPRESENTADOS PELA CCI</w:t>
            </w:r>
            <w:r w:rsidRPr="00D20D42">
              <w:rPr>
                <w:rFonts w:ascii="Arial" w:hAnsi="Arial" w:cs="Arial"/>
                <w:b/>
                <w:bCs/>
                <w:sz w:val="18"/>
                <w:szCs w:val="18"/>
              </w:rPr>
              <w:t>:</w:t>
            </w:r>
            <w:r w:rsidRPr="00D20D42">
              <w:rPr>
                <w:rFonts w:ascii="Arial" w:hAnsi="Arial" w:cs="Arial"/>
                <w:sz w:val="18"/>
                <w:szCs w:val="18"/>
              </w:rPr>
              <w:t xml:space="preserve"> </w:t>
            </w:r>
            <w:r w:rsidR="00F177B3" w:rsidRPr="00D20D42">
              <w:rPr>
                <w:rFonts w:ascii="Arial" w:hAnsi="Arial" w:cs="Arial"/>
                <w:sz w:val="18"/>
                <w:szCs w:val="18"/>
              </w:rPr>
              <w:t xml:space="preserve">90,16% (noventa inteiros e dezesseis </w:t>
            </w:r>
            <w:r w:rsidR="00A751EA" w:rsidRPr="00D20D42">
              <w:rPr>
                <w:rFonts w:ascii="Arial" w:hAnsi="Arial" w:cs="Arial"/>
                <w:sz w:val="18"/>
                <w:szCs w:val="18"/>
              </w:rPr>
              <w:t xml:space="preserve">centésimos </w:t>
            </w:r>
            <w:r w:rsidR="00F177B3" w:rsidRPr="00D20D42">
              <w:rPr>
                <w:rFonts w:ascii="Arial" w:hAnsi="Arial" w:cs="Arial"/>
                <w:sz w:val="18"/>
                <w:szCs w:val="18"/>
              </w:rPr>
              <w:t>por cento) das parcelas dos Créditos Imobiliários Totais</w:t>
            </w:r>
            <w:r w:rsidR="00A83510" w:rsidRPr="004F5774">
              <w:rPr>
                <w:rFonts w:ascii="Arial" w:hAnsi="Arial" w:cs="Arial"/>
                <w:sz w:val="18"/>
                <w:szCs w:val="18"/>
              </w:rPr>
              <w:t xml:space="preserve"> oriundos do Contrato de Locação 9 até 25/08/2034</w:t>
            </w:r>
            <w:r w:rsidR="00F177B3" w:rsidRPr="00D20D42">
              <w:rPr>
                <w:rFonts w:ascii="Arial" w:hAnsi="Arial" w:cs="Arial"/>
                <w:sz w:val="18"/>
                <w:szCs w:val="18"/>
              </w:rPr>
              <w:t>.</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 xml:space="preserve">oitenta e sete milhões e setecentos e trinta e três mil e quatrocentos e </w:t>
            </w:r>
            <w:r w:rsidR="00F177B3">
              <w:rPr>
                <w:rFonts w:ascii="Arial" w:hAnsi="Arial" w:cs="Arial"/>
                <w:bCs/>
                <w:sz w:val="18"/>
                <w:szCs w:val="18"/>
              </w:rPr>
              <w:lastRenderedPageBreak/>
              <w:t>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381"/>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lastRenderedPageBreak/>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9AAB2B2"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383"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383"/>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384" w:name="_DV_C2"/>
      <w:r w:rsidR="0034188F" w:rsidRPr="00421855">
        <w:t>, de 16 de janeiro de 2009, conforme alterada, em que</w:t>
      </w:r>
      <w:r w:rsidR="006D1255" w:rsidRPr="00421855">
        <w:t xml:space="preserve"> </w:t>
      </w:r>
      <w:proofErr w:type="spellStart"/>
      <w:r w:rsidR="00F50B47" w:rsidRPr="00421855">
        <w:rPr>
          <w:b/>
          <w:bCs/>
        </w:rPr>
        <w:t>Reag</w:t>
      </w:r>
      <w:proofErr w:type="spellEnd"/>
      <w:r w:rsidR="00F50B47" w:rsidRPr="00421855">
        <w:rPr>
          <w:b/>
          <w:bCs/>
        </w:rPr>
        <w:t xml:space="preserve">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981CF2" w:rsidRPr="00A07FC5">
        <w:rPr>
          <w:b/>
          <w:bCs/>
          <w:color w:val="000000" w:themeColor="text1"/>
        </w:rPr>
        <w:t>SIMPLIFIC PAVARINI DISTRIBUIDORA DE TÍTULOS E VALORES MOBILIÁRIOS LTDA</w:t>
      </w:r>
      <w:r w:rsidR="00981CF2" w:rsidRPr="00A07FC5">
        <w:rPr>
          <w:b/>
          <w:color w:val="000000" w:themeColor="text1"/>
        </w:rPr>
        <w:t>.</w:t>
      </w:r>
      <w:r w:rsidR="00981CF2" w:rsidRPr="00A07FC5">
        <w:rPr>
          <w:color w:val="000000" w:themeColor="text1"/>
        </w:rPr>
        <w:t>, instituição financeira, atuando por sua filial na Cidade de São Paulo, Estado de São Paulo, na Rua Joaquim Floriano, nº 466, bloco B, Conj. 1401, CEP 04534-002, inscrita no CNPJ/ME sob o nº 15.227.994.0004-01</w:t>
      </w:r>
      <w:r w:rsidR="00981CF2">
        <w:rPr>
          <w:color w:val="000000" w:themeColor="text1"/>
        </w:rPr>
        <w:t xml:space="preserve"> </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385" w:name="_DV_M3"/>
      <w:bookmarkStart w:id="386" w:name="_DV_M5"/>
      <w:bookmarkStart w:id="387" w:name="_DV_M6"/>
      <w:bookmarkStart w:id="388" w:name="_DV_M8"/>
      <w:bookmarkStart w:id="389" w:name="_DV_M9"/>
      <w:bookmarkEnd w:id="384"/>
      <w:bookmarkEnd w:id="385"/>
      <w:bookmarkEnd w:id="386"/>
      <w:bookmarkEnd w:id="387"/>
      <w:bookmarkEnd w:id="388"/>
      <w:bookmarkEnd w:id="389"/>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380"/>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390" w:name="_Hlk93497995"/>
            <w:r w:rsidRPr="00421855">
              <w:rPr>
                <w:rFonts w:ascii="Arial" w:hAnsi="Arial" w:cs="Arial"/>
                <w:b/>
                <w:sz w:val="20"/>
                <w:szCs w:val="20"/>
              </w:rPr>
              <w:t>BLUM Companhia de Securitização de Créditos S.A.</w:t>
            </w:r>
            <w:bookmarkEnd w:id="390"/>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Cargo: </w:t>
            </w:r>
            <w:proofErr w:type="spellStart"/>
            <w:r w:rsidRPr="00D37CD2">
              <w:rPr>
                <w:rFonts w:ascii="Arial" w:hAnsi="Arial" w:cs="Arial"/>
                <w:bCs/>
                <w:color w:val="000000"/>
                <w:sz w:val="20"/>
                <w:szCs w:val="20"/>
                <w:lang w:val="en-US"/>
              </w:rPr>
              <w:t>Diretor</w:t>
            </w:r>
            <w:proofErr w:type="spellEnd"/>
            <w:r w:rsidRPr="00D37CD2">
              <w:rPr>
                <w:rFonts w:ascii="Arial" w:hAnsi="Arial" w:cs="Arial"/>
                <w:bCs/>
                <w:color w:val="000000"/>
                <w:sz w:val="20"/>
                <w:szCs w:val="20"/>
                <w:lang w:val="en-US"/>
              </w:rPr>
              <w:t xml:space="preserve">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CPF </w:t>
            </w:r>
            <w:proofErr w:type="gramStart"/>
            <w:r w:rsidRPr="00D37CD2">
              <w:rPr>
                <w:rFonts w:ascii="Arial" w:hAnsi="Arial" w:cs="Arial"/>
                <w:bCs/>
                <w:color w:val="000000"/>
                <w:sz w:val="20"/>
                <w:szCs w:val="20"/>
                <w:lang w:val="en-US"/>
              </w:rPr>
              <w:t>n.º</w:t>
            </w:r>
            <w:proofErr w:type="gramEnd"/>
            <w:r w:rsidRPr="00D37CD2">
              <w:rPr>
                <w:rFonts w:ascii="Arial" w:hAnsi="Arial" w:cs="Arial"/>
                <w:bCs/>
                <w:color w:val="000000"/>
                <w:sz w:val="20"/>
                <w:szCs w:val="20"/>
                <w:lang w:val="en-US"/>
              </w:rPr>
              <w:t>: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91" w:name="_Hlk499220196"/>
      <w:bookmarkStart w:id="392" w:name="_Hlk499289595"/>
      <w:r w:rsidRPr="00421855">
        <w:rPr>
          <w:rFonts w:ascii="Arial" w:hAnsi="Arial" w:cs="Arial"/>
          <w:b/>
          <w:sz w:val="20"/>
          <w:szCs w:val="20"/>
        </w:rPr>
        <w:t xml:space="preserve">Declarações do Agente Fiduciário </w:t>
      </w:r>
      <w:bookmarkEnd w:id="391"/>
    </w:p>
    <w:p w14:paraId="71EC615C" w14:textId="543D940A" w:rsidR="0034188F" w:rsidRPr="00421855" w:rsidRDefault="002E5B8B" w:rsidP="00B047AB">
      <w:pPr>
        <w:pStyle w:val="Recuodecorpodetexto"/>
        <w:tabs>
          <w:tab w:val="left" w:pos="-1985"/>
        </w:tabs>
        <w:suppressAutoHyphens/>
        <w:spacing w:before="240" w:after="240" w:line="300" w:lineRule="auto"/>
      </w:pPr>
      <w:r w:rsidRPr="004F5774">
        <w:rPr>
          <w:rFonts w:eastAsia="Times New Roman"/>
          <w:bCs/>
          <w:color w:val="000000"/>
          <w:lang w:eastAsia="pt-BR"/>
        </w:rPr>
        <w:t xml:space="preserve">A </w:t>
      </w:r>
      <w:r w:rsidRPr="004F5774">
        <w:rPr>
          <w:rFonts w:eastAsia="Times New Roman"/>
          <w:b/>
          <w:bCs/>
          <w:color w:val="000000"/>
          <w:lang w:eastAsia="pt-BR"/>
        </w:rPr>
        <w:t>SIMPLIFIC PAVARINI DISTRIBUIDORA DE TÍTULOS E VALORES MOBILIÁRIOS LTDA</w:t>
      </w:r>
      <w:r w:rsidRPr="004F5774">
        <w:rPr>
          <w:rFonts w:eastAsia="Times New Roman"/>
          <w:b/>
          <w:color w:val="000000"/>
          <w:lang w:eastAsia="pt-BR"/>
        </w:rPr>
        <w:t>.</w:t>
      </w:r>
      <w:r w:rsidRPr="004F5774">
        <w:rPr>
          <w:rFonts w:eastAsia="Times New Roman"/>
          <w:color w:val="000000"/>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r w:rsidR="006D1255" w:rsidRPr="00981CF2">
        <w:t>(“</w:t>
      </w:r>
      <w:r w:rsidR="006D1255" w:rsidRPr="00981CF2">
        <w:rPr>
          <w:b/>
        </w:rPr>
        <w:t>Agente Fiduciário</w:t>
      </w:r>
      <w:r w:rsidR="006D1255" w:rsidRPr="00981CF2">
        <w:t>”), na qualidade de agente fiduciário da oferta pública de distribuição dos Certificados de Recebíveis Imobiliários da</w:t>
      </w:r>
      <w:r w:rsidR="005175E9" w:rsidRPr="00981CF2">
        <w:t>s</w:t>
      </w:r>
      <w:r w:rsidR="006D1255" w:rsidRPr="00981CF2">
        <w:t xml:space="preserve"> </w:t>
      </w:r>
      <w:r w:rsidR="005175E9" w:rsidRPr="00981CF2">
        <w:t>7</w:t>
      </w:r>
      <w:r w:rsidR="00C45A20" w:rsidRPr="00981CF2">
        <w:t>ª</w:t>
      </w:r>
      <w:r w:rsidR="00F673C1" w:rsidRPr="00981CF2">
        <w:t xml:space="preserve"> </w:t>
      </w:r>
      <w:r w:rsidR="00336C6A" w:rsidRPr="00981CF2">
        <w:t xml:space="preserve">e </w:t>
      </w:r>
      <w:r w:rsidR="005175E9" w:rsidRPr="00981CF2">
        <w:t>8</w:t>
      </w:r>
      <w:r w:rsidR="00336C6A" w:rsidRPr="00981CF2">
        <w:t xml:space="preserve">ª </w:t>
      </w:r>
      <w:r w:rsidR="006D1255" w:rsidRPr="00981CF2">
        <w:t>Série</w:t>
      </w:r>
      <w:r w:rsidR="00336C6A" w:rsidRPr="00981CF2">
        <w:t>s</w:t>
      </w:r>
      <w:r w:rsidR="006D1255" w:rsidRPr="00981CF2">
        <w:t xml:space="preserve"> da </w:t>
      </w:r>
      <w:r w:rsidR="006568D4" w:rsidRPr="00981CF2">
        <w:t>1</w:t>
      </w:r>
      <w:r w:rsidR="006D1255" w:rsidRPr="00981CF2">
        <w:t>ª Emissão (“</w:t>
      </w:r>
      <w:r w:rsidR="006D1255" w:rsidRPr="00981CF2">
        <w:rPr>
          <w:b/>
        </w:rPr>
        <w:t>CRI</w:t>
      </w:r>
      <w:r w:rsidR="006D1255" w:rsidRPr="00981CF2">
        <w:t>” e “</w:t>
      </w:r>
      <w:r w:rsidR="006D1255" w:rsidRPr="00981CF2">
        <w:rPr>
          <w:b/>
        </w:rPr>
        <w:t>Emissão</w:t>
      </w:r>
      <w:r w:rsidR="006D1255" w:rsidRPr="00981CF2">
        <w:t xml:space="preserve">”, respectivamente) da </w:t>
      </w:r>
      <w:r w:rsidR="0068112D" w:rsidRPr="00981CF2">
        <w:rPr>
          <w:b/>
          <w:bCs/>
        </w:rPr>
        <w:t>BLUM Companhia de Securitização de Créditos S.A.</w:t>
      </w:r>
      <w:r w:rsidR="00F673C1" w:rsidRPr="00981CF2">
        <w:t xml:space="preserve">, </w:t>
      </w:r>
      <w:r w:rsidR="0038610D" w:rsidRPr="00981CF2">
        <w:t>sociedade</w:t>
      </w:r>
      <w:r w:rsidR="0038610D" w:rsidRPr="00421855">
        <w:t xml:space="preserv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proofErr w:type="spellStart"/>
      <w:r w:rsidR="00C7679C" w:rsidRPr="00421855">
        <w:rPr>
          <w:b/>
          <w:bCs/>
        </w:rPr>
        <w:t>Reag</w:t>
      </w:r>
      <w:proofErr w:type="spellEnd"/>
      <w:r w:rsidR="00C7679C" w:rsidRPr="00421855">
        <w:rPr>
          <w:b/>
          <w:bCs/>
        </w:rPr>
        <w:t xml:space="preserve">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5965390C"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proofErr w:type="gramStart"/>
      <w:r>
        <w:rPr>
          <w:rFonts w:ascii="Arial" w:hAnsi="Arial" w:cs="Arial"/>
          <w:sz w:val="20"/>
          <w:szCs w:val="20"/>
        </w:rPr>
        <w:t>,</w:t>
      </w:r>
      <w:r w:rsidRPr="00421855" w:rsidDel="002E5B8B">
        <w:rPr>
          <w:rFonts w:ascii="Arial" w:hAnsi="Arial" w:cs="Arial"/>
          <w:sz w:val="20"/>
          <w:szCs w:val="20"/>
        </w:rPr>
        <w:t xml:space="preserve"> </w:t>
      </w:r>
      <w:r w:rsidR="000F28FB" w:rsidRPr="00421855">
        <w:rPr>
          <w:rFonts w:ascii="Arial" w:hAnsi="Arial" w:cs="Arial"/>
          <w:sz w:val="20"/>
          <w:szCs w:val="20"/>
        </w:rPr>
        <w:t>,</w:t>
      </w:r>
      <w:proofErr w:type="gramEnd"/>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2B63AEAA" w14:textId="77777777" w:rsidTr="0006025F">
        <w:trPr>
          <w:gridAfter w:val="1"/>
          <w:wAfter w:w="2500" w:type="pct"/>
          <w:trHeight w:val="166"/>
          <w:jc w:val="center"/>
        </w:trPr>
        <w:tc>
          <w:tcPr>
            <w:tcW w:w="2500" w:type="pct"/>
            <w:tcBorders>
              <w:top w:val="nil"/>
              <w:left w:val="nil"/>
              <w:bottom w:val="nil"/>
              <w:right w:val="nil"/>
            </w:tcBorders>
          </w:tcPr>
          <w:p w14:paraId="41F44B04" w14:textId="77777777" w:rsidR="002E5B8B" w:rsidRDefault="002E5B8B" w:rsidP="0006025F">
            <w:pPr>
              <w:rPr>
                <w:rFonts w:ascii="Arial" w:hAnsi="Arial" w:cs="Arial"/>
                <w:sz w:val="20"/>
                <w:szCs w:val="20"/>
              </w:rPr>
            </w:pPr>
          </w:p>
          <w:p w14:paraId="73129825" w14:textId="0252EA54"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22B408E9" w14:textId="77777777" w:rsidTr="0006025F">
        <w:trPr>
          <w:gridAfter w:val="1"/>
          <w:wAfter w:w="2500" w:type="pct"/>
          <w:trHeight w:val="164"/>
          <w:jc w:val="center"/>
        </w:trPr>
        <w:tc>
          <w:tcPr>
            <w:tcW w:w="2500" w:type="pct"/>
            <w:tcBorders>
              <w:top w:val="nil"/>
              <w:left w:val="nil"/>
              <w:bottom w:val="nil"/>
              <w:right w:val="nil"/>
            </w:tcBorders>
          </w:tcPr>
          <w:p w14:paraId="2A3086E7"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32FF2C4A" w14:textId="77777777" w:rsidTr="0006025F">
        <w:trPr>
          <w:gridAfter w:val="1"/>
          <w:wAfter w:w="2500" w:type="pct"/>
          <w:trHeight w:val="164"/>
          <w:jc w:val="center"/>
        </w:trPr>
        <w:tc>
          <w:tcPr>
            <w:tcW w:w="2500" w:type="pct"/>
            <w:tcBorders>
              <w:top w:val="nil"/>
              <w:left w:val="nil"/>
              <w:right w:val="nil"/>
            </w:tcBorders>
          </w:tcPr>
          <w:p w14:paraId="6FC6A6F0"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392"/>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93" w:name="_Hlk499289614"/>
      <w:r w:rsidRPr="00421855">
        <w:rPr>
          <w:rFonts w:ascii="Arial" w:hAnsi="Arial" w:cs="Arial"/>
          <w:b/>
          <w:sz w:val="20"/>
          <w:szCs w:val="20"/>
          <w:lang w:eastAsia="en-US"/>
        </w:rPr>
        <w:t xml:space="preserve">Declaração do Coordenador Líder </w:t>
      </w:r>
    </w:p>
    <w:p w14:paraId="15BA71D6" w14:textId="068652E0" w:rsidR="0034188F" w:rsidRPr="00421855" w:rsidRDefault="00C7679C" w:rsidP="00B047AB">
      <w:pPr>
        <w:tabs>
          <w:tab w:val="left" w:pos="8647"/>
        </w:tabs>
        <w:suppressAutoHyphens/>
        <w:spacing w:before="240" w:after="240" w:line="300" w:lineRule="auto"/>
        <w:jc w:val="both"/>
        <w:rPr>
          <w:rFonts w:ascii="Arial" w:hAnsi="Arial" w:cs="Arial"/>
          <w:sz w:val="20"/>
          <w:szCs w:val="20"/>
        </w:rPr>
      </w:pPr>
      <w:proofErr w:type="spellStart"/>
      <w:r w:rsidRPr="00421855">
        <w:rPr>
          <w:rFonts w:ascii="Arial" w:hAnsi="Arial" w:cs="Arial"/>
          <w:b/>
          <w:bCs/>
          <w:sz w:val="20"/>
          <w:szCs w:val="20"/>
        </w:rPr>
        <w:t>Reag</w:t>
      </w:r>
      <w:proofErr w:type="spellEnd"/>
      <w:r w:rsidRPr="00421855">
        <w:rPr>
          <w:rFonts w:ascii="Arial" w:hAnsi="Arial" w:cs="Arial"/>
          <w:b/>
          <w:bCs/>
          <w:sz w:val="20"/>
          <w:szCs w:val="20"/>
        </w:rPr>
        <w:t xml:space="preserve">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394" w:name="_Hlk92198368"/>
      <w:r w:rsidR="009D79AA" w:rsidRPr="00421855">
        <w:rPr>
          <w:rFonts w:ascii="Arial" w:hAnsi="Arial" w:cs="Arial"/>
          <w:b/>
          <w:sz w:val="20"/>
          <w:szCs w:val="20"/>
        </w:rPr>
        <w:t>BLUM Companhia de Securitização de Créditos</w:t>
      </w:r>
      <w:bookmarkEnd w:id="394"/>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981CF2" w:rsidRPr="00A07FC5">
        <w:rPr>
          <w:rFonts w:ascii="Arial" w:hAnsi="Arial" w:cs="Arial"/>
          <w:b/>
          <w:bCs/>
          <w:color w:val="000000" w:themeColor="text1"/>
          <w:sz w:val="20"/>
          <w:szCs w:val="20"/>
        </w:rPr>
        <w:t>SIMPLIFIC PAVARINI DISTRIBUIDORA DE TÍTULOS E VALORES MOBILIÁRIOS LTDA</w:t>
      </w:r>
      <w:r w:rsidR="00981CF2" w:rsidRPr="00A07FC5">
        <w:rPr>
          <w:rFonts w:ascii="Arial" w:hAnsi="Arial" w:cs="Arial"/>
          <w:b/>
          <w:color w:val="000000" w:themeColor="text1"/>
          <w:sz w:val="20"/>
          <w:szCs w:val="20"/>
        </w:rPr>
        <w:t>.</w:t>
      </w:r>
      <w:r w:rsidR="00981CF2" w:rsidRPr="00A07FC5">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proofErr w:type="spellStart"/>
                  <w:r w:rsidRPr="00421855">
                    <w:rPr>
                      <w:rFonts w:ascii="Arial" w:hAnsi="Arial" w:cs="Arial"/>
                      <w:b/>
                      <w:bCs/>
                      <w:sz w:val="20"/>
                      <w:szCs w:val="20"/>
                    </w:rPr>
                    <w:t>Reag</w:t>
                  </w:r>
                  <w:proofErr w:type="spellEnd"/>
                  <w:r w:rsidRPr="00421855">
                    <w:rPr>
                      <w:rFonts w:ascii="Arial" w:hAnsi="Arial" w:cs="Arial"/>
                      <w:b/>
                      <w:bCs/>
                      <w:sz w:val="20"/>
                      <w:szCs w:val="20"/>
                    </w:rPr>
                    <w:t xml:space="preserve">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 xml:space="preserve">Nome: Silvano </w:t>
                  </w:r>
                  <w:proofErr w:type="spellStart"/>
                  <w:r w:rsidRPr="00D37CD2">
                    <w:rPr>
                      <w:rFonts w:ascii="Arial" w:hAnsi="Arial" w:cs="Arial"/>
                      <w:sz w:val="20"/>
                      <w:szCs w:val="20"/>
                    </w:rPr>
                    <w:t>Gersztel</w:t>
                  </w:r>
                  <w:proofErr w:type="spellEnd"/>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393"/>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7F9C0D9F" w:rsidR="00EB5552" w:rsidRPr="00421855" w:rsidRDefault="002E5B8B" w:rsidP="00B047AB">
      <w:pPr>
        <w:tabs>
          <w:tab w:val="left" w:pos="8280"/>
        </w:tabs>
        <w:suppressAutoHyphens/>
        <w:spacing w:before="240" w:after="240" w:line="300" w:lineRule="auto"/>
        <w:jc w:val="both"/>
        <w:rPr>
          <w:rFonts w:ascii="Arial" w:hAnsi="Arial" w:cs="Arial"/>
          <w:sz w:val="20"/>
          <w:szCs w:val="20"/>
        </w:rPr>
      </w:pPr>
      <w:r w:rsidRPr="004F5774">
        <w:rPr>
          <w:rFonts w:ascii="Arial" w:eastAsia="Times New Roman" w:hAnsi="Arial" w:cs="Arial"/>
          <w:color w:val="000000"/>
          <w:sz w:val="20"/>
          <w:szCs w:val="20"/>
          <w:lang w:eastAsia="pt-BR"/>
        </w:rPr>
        <w:t xml:space="preserve">A </w:t>
      </w:r>
      <w:r w:rsidRPr="004F5774">
        <w:rPr>
          <w:rFonts w:ascii="Arial" w:eastAsia="Times New Roman" w:hAnsi="Arial" w:cs="Arial"/>
          <w:b/>
          <w:bCs/>
          <w:color w:val="000000"/>
          <w:sz w:val="20"/>
          <w:szCs w:val="20"/>
          <w:lang w:eastAsia="pt-BR"/>
        </w:rPr>
        <w:t>SIMPLIFIC PAVARINI DISTRIBUIDORA DE TÍTULOS E VALORES MOBILIÁRIOS LTDA</w:t>
      </w:r>
      <w:r w:rsidRPr="004F5774">
        <w:rPr>
          <w:rFonts w:ascii="Arial" w:eastAsia="Times New Roman" w:hAnsi="Arial" w:cs="Arial"/>
          <w:b/>
          <w:color w:val="000000"/>
          <w:sz w:val="20"/>
          <w:szCs w:val="20"/>
          <w:lang w:eastAsia="pt-BR"/>
        </w:rPr>
        <w:t>.</w:t>
      </w:r>
      <w:r w:rsidRPr="004F5774">
        <w:rPr>
          <w:rFonts w:ascii="Arial" w:eastAsia="Times New Roman" w:hAnsi="Arial" w:cs="Arial"/>
          <w:color w:val="000000"/>
          <w:sz w:val="20"/>
          <w:szCs w:val="20"/>
          <w:lang w:eastAsia="pt-BR"/>
        </w:rPr>
        <w:t xml:space="preserve">, instituição financeira, atuando por sua filiar na cidade de São Paulo, Estado de São Paulo, na Rua Joaquim Floriano 466, Bloco B, conjunto 1401, Itaim Bibi, CEP 04534-002 inscrita no </w:t>
      </w:r>
      <w:r w:rsidRPr="004F5774">
        <w:rPr>
          <w:rFonts w:ascii="Arial" w:eastAsia="Times New Roman" w:hAnsi="Arial" w:cs="Arial"/>
          <w:color w:val="000000"/>
          <w:sz w:val="20"/>
          <w:szCs w:val="20"/>
          <w:lang w:val="pt-PT" w:eastAsia="pt-PT" w:bidi="pt-PT"/>
        </w:rPr>
        <w:t>Cadastro Nacional das Pessoas Jurídicas do Ministério da Economia (“</w:t>
      </w:r>
      <w:r w:rsidRPr="004F5774">
        <w:rPr>
          <w:rFonts w:ascii="Arial" w:eastAsia="Times New Roman" w:hAnsi="Arial" w:cs="Arial"/>
          <w:color w:val="000000"/>
          <w:sz w:val="20"/>
          <w:szCs w:val="20"/>
          <w:u w:val="single"/>
          <w:lang w:val="pt-PT" w:eastAsia="pt-PT" w:bidi="pt-PT"/>
        </w:rPr>
        <w:t>CNPJ/ME</w:t>
      </w:r>
      <w:r w:rsidRPr="004F5774">
        <w:rPr>
          <w:rFonts w:ascii="Arial" w:eastAsia="Times New Roman" w:hAnsi="Arial" w:cs="Arial"/>
          <w:color w:val="000000"/>
          <w:sz w:val="20"/>
          <w:szCs w:val="20"/>
          <w:lang w:val="pt-PT" w:eastAsia="pt-PT" w:bidi="pt-PT"/>
        </w:rPr>
        <w:t xml:space="preserve">”) </w:t>
      </w:r>
      <w:r w:rsidRPr="004F5774">
        <w:rPr>
          <w:rFonts w:ascii="Arial" w:eastAsia="Times New Roman" w:hAnsi="Arial" w:cs="Arial"/>
          <w:bCs/>
          <w:color w:val="000000"/>
          <w:sz w:val="20"/>
          <w:szCs w:val="20"/>
          <w:lang w:eastAsia="pt-BR"/>
        </w:rPr>
        <w:t>sob o nº</w:t>
      </w:r>
      <w:r w:rsidRPr="004F5774">
        <w:rPr>
          <w:rFonts w:ascii="Arial" w:eastAsia="Times New Roman" w:hAnsi="Arial" w:cs="Arial"/>
          <w:color w:val="000000"/>
          <w:sz w:val="20"/>
          <w:szCs w:val="20"/>
          <w:lang w:eastAsia="pt-BR"/>
        </w:rPr>
        <w:t> 15.227.994/0004-01</w:t>
      </w:r>
      <w:r w:rsidRPr="004F5774">
        <w:rPr>
          <w:rFonts w:ascii="Arial" w:eastAsia="Times New Roman" w:hAnsi="Arial" w:cs="Arial"/>
          <w:bCs/>
          <w:color w:val="000000"/>
          <w:sz w:val="20"/>
          <w:szCs w:val="20"/>
          <w:lang w:eastAsia="pt-BR"/>
        </w:rPr>
        <w:t xml:space="preserve">, </w:t>
      </w:r>
      <w:r w:rsidRPr="004F5774">
        <w:rPr>
          <w:rFonts w:ascii="Arial" w:eastAsia="Times New Roman" w:hAnsi="Arial" w:cs="Arial"/>
          <w:color w:val="000000"/>
          <w:sz w:val="20"/>
          <w:szCs w:val="20"/>
          <w:lang w:eastAsia="pt-BR"/>
        </w:rPr>
        <w:t xml:space="preserve">neste ato representada na forma de seu Contrato Social </w:t>
      </w:r>
      <w:r w:rsidR="006D1255" w:rsidRPr="00465C48">
        <w:rPr>
          <w:rFonts w:ascii="Arial" w:hAnsi="Arial" w:cs="Arial"/>
          <w:sz w:val="20"/>
          <w:szCs w:val="20"/>
        </w:rPr>
        <w:t>(“</w:t>
      </w:r>
      <w:r w:rsidR="006D1255" w:rsidRPr="00465C48">
        <w:rPr>
          <w:rFonts w:ascii="Arial" w:hAnsi="Arial" w:cs="Arial"/>
          <w:b/>
          <w:sz w:val="20"/>
          <w:szCs w:val="20"/>
        </w:rPr>
        <w:t>Instituição Custodiante</w:t>
      </w:r>
      <w:r w:rsidR="006D1255" w:rsidRPr="00465C48">
        <w:rPr>
          <w:rFonts w:ascii="Arial" w:hAnsi="Arial" w:cs="Arial"/>
          <w:sz w:val="20"/>
          <w:szCs w:val="20"/>
        </w:rPr>
        <w:t xml:space="preserve">”), na qualidade de instituição custodiante do </w:t>
      </w:r>
      <w:r w:rsidR="006D1255" w:rsidRPr="00465C48">
        <w:rPr>
          <w:rFonts w:ascii="Arial" w:hAnsi="Arial" w:cs="Arial"/>
          <w:i/>
          <w:sz w:val="20"/>
          <w:szCs w:val="20"/>
        </w:rPr>
        <w:t>Instrumento Particular de Emissão de Cédula</w:t>
      </w:r>
      <w:r w:rsidR="00691836" w:rsidRPr="00465C48">
        <w:rPr>
          <w:rFonts w:ascii="Arial" w:hAnsi="Arial" w:cs="Arial"/>
          <w:i/>
          <w:sz w:val="20"/>
          <w:szCs w:val="20"/>
        </w:rPr>
        <w:t>s</w:t>
      </w:r>
      <w:r w:rsidR="006D1255" w:rsidRPr="00465C48">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proofErr w:type="spellStart"/>
      <w:r w:rsidR="00C646C4" w:rsidRPr="00421855">
        <w:rPr>
          <w:rFonts w:ascii="Arial" w:hAnsi="Arial" w:cs="Arial"/>
          <w:sz w:val="20"/>
          <w:szCs w:val="20"/>
        </w:rPr>
        <w:t>n.º</w:t>
      </w:r>
      <w:r w:rsidR="003A10FA" w:rsidRPr="00421855">
        <w:rPr>
          <w:rFonts w:ascii="Arial" w:hAnsi="Arial" w:cs="Arial"/>
          <w:sz w:val="20"/>
          <w:szCs w:val="20"/>
        </w:rPr>
        <w:t>s</w:t>
      </w:r>
      <w:proofErr w:type="spellEnd"/>
      <w:r w:rsidR="00E93B71" w:rsidRPr="00421855">
        <w:rPr>
          <w:rFonts w:ascii="Arial" w:hAnsi="Arial" w:cs="Arial"/>
          <w:sz w:val="20"/>
          <w:szCs w:val="20"/>
        </w:rPr>
        <w:t xml:space="preserve"> </w:t>
      </w:r>
      <w:r w:rsidR="007F372D" w:rsidRPr="007F372D">
        <w:rPr>
          <w:rFonts w:ascii="Arial" w:hAnsi="Arial" w:cs="Arial"/>
          <w:sz w:val="20"/>
          <w:szCs w:val="20"/>
        </w:rPr>
        <w:t>FGREEN</w:t>
      </w:r>
      <w:r w:rsidR="00A208BA">
        <w:rPr>
          <w:rFonts w:ascii="Arial" w:hAnsi="Arial" w:cs="Arial"/>
          <w:sz w:val="20"/>
          <w:szCs w:val="20"/>
        </w:rPr>
        <w:t xml:space="preserve">001. </w:t>
      </w:r>
      <w:r w:rsidR="007F372D" w:rsidRPr="007F372D">
        <w:rPr>
          <w:rFonts w:ascii="Arial" w:hAnsi="Arial" w:cs="Arial"/>
          <w:sz w:val="20"/>
          <w:szCs w:val="20"/>
        </w:rPr>
        <w:t>FGREEN</w:t>
      </w:r>
      <w:r w:rsidR="00A208BA">
        <w:rPr>
          <w:rFonts w:ascii="Arial" w:hAnsi="Arial" w:cs="Arial"/>
          <w:sz w:val="20"/>
          <w:szCs w:val="20"/>
        </w:rPr>
        <w:t xml:space="preserve">002, </w:t>
      </w:r>
      <w:r w:rsidR="007F372D" w:rsidRPr="007F372D">
        <w:rPr>
          <w:rFonts w:ascii="Arial" w:hAnsi="Arial" w:cs="Arial"/>
          <w:sz w:val="20"/>
          <w:szCs w:val="20"/>
        </w:rPr>
        <w:t>FGREEN</w:t>
      </w:r>
      <w:r w:rsidR="00A208BA">
        <w:rPr>
          <w:rFonts w:ascii="Arial" w:hAnsi="Arial" w:cs="Arial"/>
          <w:sz w:val="20"/>
          <w:szCs w:val="20"/>
        </w:rPr>
        <w:t xml:space="preserve">003, </w:t>
      </w:r>
      <w:r w:rsidR="007F372D" w:rsidRPr="007F372D">
        <w:rPr>
          <w:rFonts w:ascii="Arial" w:hAnsi="Arial" w:cs="Arial"/>
          <w:sz w:val="20"/>
          <w:szCs w:val="20"/>
        </w:rPr>
        <w:t>FGREEN</w:t>
      </w:r>
      <w:r w:rsidR="00A208BA">
        <w:rPr>
          <w:rFonts w:ascii="Arial" w:hAnsi="Arial" w:cs="Arial"/>
          <w:sz w:val="20"/>
          <w:szCs w:val="20"/>
        </w:rPr>
        <w:t xml:space="preserve">004, </w:t>
      </w:r>
      <w:r w:rsidR="007F372D" w:rsidRPr="007F372D">
        <w:rPr>
          <w:rFonts w:ascii="Arial" w:hAnsi="Arial" w:cs="Arial"/>
          <w:sz w:val="20"/>
          <w:szCs w:val="20"/>
        </w:rPr>
        <w:t>FGREEN</w:t>
      </w:r>
      <w:r w:rsidR="00A208BA">
        <w:rPr>
          <w:rFonts w:ascii="Arial" w:hAnsi="Arial" w:cs="Arial"/>
          <w:sz w:val="20"/>
          <w:szCs w:val="20"/>
        </w:rPr>
        <w:t xml:space="preserve">005, </w:t>
      </w:r>
      <w:r w:rsidR="007F372D" w:rsidRPr="007F372D">
        <w:rPr>
          <w:rFonts w:ascii="Arial" w:hAnsi="Arial" w:cs="Arial"/>
          <w:sz w:val="20"/>
          <w:szCs w:val="20"/>
        </w:rPr>
        <w:t>FGREEN</w:t>
      </w:r>
      <w:r w:rsidR="00A208BA">
        <w:rPr>
          <w:rFonts w:ascii="Arial" w:hAnsi="Arial" w:cs="Arial"/>
          <w:sz w:val="20"/>
          <w:szCs w:val="20"/>
        </w:rPr>
        <w:t xml:space="preserve">006, </w:t>
      </w:r>
      <w:r w:rsidR="007F372D" w:rsidRPr="007F372D">
        <w:rPr>
          <w:rFonts w:ascii="Arial" w:hAnsi="Arial" w:cs="Arial"/>
          <w:sz w:val="20"/>
          <w:szCs w:val="20"/>
        </w:rPr>
        <w:t>FGREEN</w:t>
      </w:r>
      <w:r w:rsidR="00A208BA">
        <w:rPr>
          <w:rFonts w:ascii="Arial" w:hAnsi="Arial" w:cs="Arial"/>
          <w:sz w:val="20"/>
          <w:szCs w:val="20"/>
        </w:rPr>
        <w:t xml:space="preserve">007, </w:t>
      </w:r>
      <w:r w:rsidR="007F372D" w:rsidRPr="007F372D">
        <w:rPr>
          <w:rFonts w:ascii="Arial" w:hAnsi="Arial" w:cs="Arial"/>
          <w:sz w:val="20"/>
          <w:szCs w:val="20"/>
        </w:rPr>
        <w:t>FGREEN</w:t>
      </w:r>
      <w:r w:rsidR="00A208BA">
        <w:rPr>
          <w:rFonts w:ascii="Arial" w:hAnsi="Arial" w:cs="Arial"/>
          <w:sz w:val="20"/>
          <w:szCs w:val="20"/>
        </w:rPr>
        <w:t xml:space="preserve">008 e </w:t>
      </w:r>
      <w:r w:rsidR="007F372D" w:rsidRPr="007F372D">
        <w:rPr>
          <w:rFonts w:ascii="Arial" w:hAnsi="Arial" w:cs="Arial"/>
          <w:sz w:val="20"/>
          <w:szCs w:val="20"/>
        </w:rPr>
        <w:t>FGREEN</w:t>
      </w:r>
      <w:r w:rsidR="00A208BA">
        <w:rPr>
          <w:rFonts w:ascii="Arial" w:hAnsi="Arial" w:cs="Arial"/>
          <w:sz w:val="20"/>
          <w:szCs w:val="20"/>
        </w:rPr>
        <w:t>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w:t>
      </w:r>
      <w:proofErr w:type="spellStart"/>
      <w:r w:rsidR="006D1255" w:rsidRPr="00421855">
        <w:rPr>
          <w:rFonts w:ascii="Arial" w:hAnsi="Arial" w:cs="Arial"/>
          <w:sz w:val="20"/>
          <w:szCs w:val="20"/>
        </w:rPr>
        <w:t>ii</w:t>
      </w:r>
      <w:proofErr w:type="spellEnd"/>
      <w:r w:rsidR="006D1255" w:rsidRPr="00421855">
        <w:rPr>
          <w:rFonts w:ascii="Arial" w:hAnsi="Arial" w:cs="Arial"/>
          <w:sz w:val="20"/>
          <w:szCs w:val="20"/>
        </w:rPr>
        <w:t>)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395"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5409F7FE" w:rsidR="0034188F" w:rsidRDefault="002E5B8B" w:rsidP="00B047AB">
      <w:pPr>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trPr>
        <w:tc>
          <w:tcPr>
            <w:tcW w:w="5000" w:type="pct"/>
            <w:gridSpan w:val="2"/>
            <w:tcBorders>
              <w:top w:val="single" w:sz="4" w:space="0" w:color="auto"/>
              <w:left w:val="nil"/>
              <w:bottom w:val="nil"/>
              <w:right w:val="nil"/>
            </w:tcBorders>
            <w:hideMark/>
          </w:tcPr>
          <w:bookmarkEnd w:id="395"/>
          <w:p w14:paraId="40C7047E"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52F90A37" w14:textId="77777777" w:rsidTr="0006025F">
        <w:trPr>
          <w:gridAfter w:val="1"/>
          <w:wAfter w:w="2500" w:type="pct"/>
          <w:trHeight w:val="166"/>
          <w:jc w:val="center"/>
        </w:trPr>
        <w:tc>
          <w:tcPr>
            <w:tcW w:w="2500" w:type="pct"/>
            <w:tcBorders>
              <w:top w:val="nil"/>
              <w:left w:val="nil"/>
              <w:bottom w:val="nil"/>
              <w:right w:val="nil"/>
            </w:tcBorders>
          </w:tcPr>
          <w:p w14:paraId="6FFCDEB7"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0CB16D60" w14:textId="77777777" w:rsidTr="0006025F">
        <w:trPr>
          <w:gridAfter w:val="1"/>
          <w:wAfter w:w="2500" w:type="pct"/>
          <w:trHeight w:val="164"/>
          <w:jc w:val="center"/>
        </w:trPr>
        <w:tc>
          <w:tcPr>
            <w:tcW w:w="2500" w:type="pct"/>
            <w:tcBorders>
              <w:top w:val="nil"/>
              <w:left w:val="nil"/>
              <w:bottom w:val="nil"/>
              <w:right w:val="nil"/>
            </w:tcBorders>
          </w:tcPr>
          <w:p w14:paraId="3709C403"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432A8847" w14:textId="77777777" w:rsidTr="0006025F">
        <w:trPr>
          <w:gridAfter w:val="1"/>
          <w:wAfter w:w="2500" w:type="pct"/>
          <w:trHeight w:val="164"/>
          <w:jc w:val="center"/>
        </w:trPr>
        <w:tc>
          <w:tcPr>
            <w:tcW w:w="2500" w:type="pct"/>
            <w:tcBorders>
              <w:top w:val="nil"/>
              <w:left w:val="nil"/>
              <w:right w:val="nil"/>
            </w:tcBorders>
          </w:tcPr>
          <w:p w14:paraId="0DBDBDE4"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396"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981CF2" w14:paraId="4DF58A5B" w14:textId="77777777" w:rsidTr="003B678C">
        <w:trPr>
          <w:trHeight w:val="2164"/>
        </w:trPr>
        <w:tc>
          <w:tcPr>
            <w:tcW w:w="9634" w:type="dxa"/>
          </w:tcPr>
          <w:p w14:paraId="1294A773" w14:textId="2C09D4BE" w:rsidR="003537F9" w:rsidRPr="00465C48" w:rsidRDefault="003537F9" w:rsidP="00D53956">
            <w:pPr>
              <w:spacing w:line="300" w:lineRule="exact"/>
              <w:rPr>
                <w:rFonts w:ascii="Arial" w:hAnsi="Arial" w:cs="Arial"/>
                <w:sz w:val="20"/>
                <w:szCs w:val="20"/>
              </w:rPr>
            </w:pPr>
            <w:r w:rsidRPr="00981CF2">
              <w:rPr>
                <w:rFonts w:ascii="Arial" w:hAnsi="Arial" w:cs="Arial"/>
                <w:sz w:val="20"/>
                <w:szCs w:val="20"/>
              </w:rPr>
              <w:t xml:space="preserve">Razão Social: </w:t>
            </w:r>
            <w:r w:rsidR="006C1033" w:rsidRPr="004F5774">
              <w:rPr>
                <w:rFonts w:ascii="Arial" w:hAnsi="Arial" w:cs="Arial"/>
                <w:b/>
                <w:bCs/>
                <w:color w:val="000000"/>
                <w:sz w:val="20"/>
                <w:szCs w:val="20"/>
                <w:lang w:eastAsia="pt-BR"/>
              </w:rPr>
              <w:t>SIMPLIFIC PAVARINI DISTRIBUIDORA DE TÍTULOS E VALORES MOBILIÁRIOS LTDA</w:t>
            </w:r>
          </w:p>
          <w:p w14:paraId="6BE8A38B" w14:textId="1033482E"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Endereço: </w:t>
            </w:r>
            <w:r w:rsidR="006C1033" w:rsidRPr="004F5774">
              <w:rPr>
                <w:rFonts w:ascii="Arial" w:hAnsi="Arial" w:cs="Arial"/>
                <w:color w:val="000000"/>
                <w:sz w:val="20"/>
                <w:szCs w:val="20"/>
                <w:lang w:eastAsia="pt-BR"/>
              </w:rPr>
              <w:t>Rua Joaquim Floriano 466, Bloco B, conjunto 1401, Itaim Bibi, CEP 04534-002</w:t>
            </w:r>
            <w:r w:rsidRPr="00465C48">
              <w:rPr>
                <w:rFonts w:ascii="Arial" w:hAnsi="Arial" w:cs="Arial"/>
                <w:sz w:val="20"/>
                <w:szCs w:val="20"/>
              </w:rPr>
              <w:t>.</w:t>
            </w:r>
          </w:p>
          <w:p w14:paraId="56D6F13F" w14:textId="1A64C74F"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Cidade / Estado: </w:t>
            </w:r>
            <w:r w:rsidR="006C1033" w:rsidRPr="00465C48">
              <w:rPr>
                <w:rFonts w:ascii="Arial" w:hAnsi="Arial" w:cs="Arial"/>
                <w:sz w:val="20"/>
                <w:szCs w:val="20"/>
              </w:rPr>
              <w:t>São Paulo / SP</w:t>
            </w:r>
            <w:r w:rsidRPr="00465C48">
              <w:rPr>
                <w:rFonts w:ascii="Arial" w:hAnsi="Arial" w:cs="Arial"/>
                <w:sz w:val="20"/>
                <w:szCs w:val="20"/>
              </w:rPr>
              <w:t>.</w:t>
            </w:r>
          </w:p>
          <w:p w14:paraId="0EF1F181" w14:textId="273ED6D3"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CNPJ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15.227.994/0004-01</w:t>
            </w:r>
            <w:r w:rsidRPr="00465C48">
              <w:rPr>
                <w:rFonts w:ascii="Arial" w:hAnsi="Arial" w:cs="Arial"/>
                <w:sz w:val="20"/>
                <w:szCs w:val="20"/>
              </w:rPr>
              <w:t>.</w:t>
            </w:r>
          </w:p>
          <w:p w14:paraId="72CA9FC0" w14:textId="30C42E2D"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Representado neste ato por seu(sua) diretor(a) estatutário(a): </w:t>
            </w:r>
            <w:r w:rsidR="006C1033" w:rsidRPr="00465C48">
              <w:rPr>
                <w:rFonts w:ascii="Arial" w:hAnsi="Arial" w:cs="Arial"/>
                <w:sz w:val="20"/>
                <w:szCs w:val="20"/>
              </w:rPr>
              <w:t>Matheus Gomes Faria</w:t>
            </w:r>
          </w:p>
          <w:p w14:paraId="625F8A4D" w14:textId="712C3FCC"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Número do Documento de Identidade: </w:t>
            </w:r>
            <w:r w:rsidR="006C1033" w:rsidRPr="00465C48">
              <w:rPr>
                <w:rFonts w:ascii="Arial" w:hAnsi="Arial" w:cs="Arial"/>
                <w:sz w:val="20"/>
                <w:szCs w:val="20"/>
              </w:rPr>
              <w:t>0115418741</w:t>
            </w:r>
          </w:p>
          <w:p w14:paraId="06498810" w14:textId="499871F1"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CPF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05813311769</w:t>
            </w:r>
          </w:p>
        </w:tc>
      </w:tr>
    </w:tbl>
    <w:p w14:paraId="5FC995E8" w14:textId="77777777" w:rsidR="003537F9" w:rsidRPr="00981CF2"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proofErr w:type="gramStart"/>
            <w:r w:rsidR="002312B8" w:rsidRPr="00421855">
              <w:rPr>
                <w:rFonts w:ascii="Arial" w:hAnsi="Arial" w:cs="Arial"/>
                <w:sz w:val="20"/>
                <w:szCs w:val="20"/>
              </w:rPr>
              <w:t>(”</w:t>
            </w:r>
            <w:r w:rsidRPr="00421855">
              <w:rPr>
                <w:rFonts w:ascii="Arial" w:hAnsi="Arial" w:cs="Arial"/>
                <w:b/>
                <w:bCs/>
                <w:sz w:val="20"/>
                <w:szCs w:val="20"/>
              </w:rPr>
              <w:t>CRI</w:t>
            </w:r>
            <w:proofErr w:type="gramEnd"/>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397" w:name="_Hlk93498101"/>
            <w:r w:rsidR="002B3DB9" w:rsidRPr="00421855">
              <w:rPr>
                <w:rFonts w:ascii="Arial" w:hAnsi="Arial" w:cs="Arial"/>
                <w:b/>
                <w:sz w:val="20"/>
              </w:rPr>
              <w:t>BLUM Companhia de Securitização de Créditos S.A.</w:t>
            </w:r>
            <w:bookmarkEnd w:id="397"/>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179DB59"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396"/>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AE0C0F9" w:rsidR="00940A25" w:rsidRPr="009A7E2B" w:rsidRDefault="006C1033" w:rsidP="0065718D">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3B57C98E"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31DC0FCC"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6256DC53"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lastRenderedPageBreak/>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394F467A"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r w:rsidR="006C1033">
        <w:rPr>
          <w:rFonts w:ascii="Arial" w:hAnsi="Arial" w:cs="Arial"/>
          <w:sz w:val="20"/>
          <w:szCs w:val="20"/>
        </w:rPr>
        <w:t xml:space="preserve">não </w:t>
      </w:r>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3BF5B33B" w14:textId="77777777" w:rsidR="006D336E" w:rsidRPr="00421855" w:rsidRDefault="006D336E" w:rsidP="004F5774">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398" w:name="_Hlk72754214"/>
      <w:commentRangeStart w:id="399"/>
      <w:r w:rsidRPr="00D37CD2">
        <w:rPr>
          <w:rFonts w:ascii="Arial" w:hAnsi="Arial" w:cs="Arial"/>
          <w:b/>
          <w:sz w:val="18"/>
          <w:szCs w:val="18"/>
        </w:rPr>
        <w:t>Remuneração</w:t>
      </w:r>
      <w:commentRangeEnd w:id="399"/>
      <w:r w:rsidR="006C1033">
        <w:rPr>
          <w:rStyle w:val="Refdecomentrio"/>
          <w:lang w:val="en-US"/>
        </w:rPr>
        <w:commentReference w:id="399"/>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400"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400"/>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proofErr w:type="spellStart"/>
      <w:r w:rsidRPr="00D37CD2">
        <w:rPr>
          <w:rFonts w:ascii="Arial" w:eastAsia="Garamond,Calibri" w:hAnsi="Arial" w:cs="Arial"/>
          <w:sz w:val="18"/>
          <w:szCs w:val="18"/>
        </w:rPr>
        <w:t>VNa</w:t>
      </w:r>
      <w:proofErr w:type="spellEnd"/>
      <w:r w:rsidRPr="00D37CD2">
        <w:rPr>
          <w:rFonts w:ascii="Arial" w:eastAsia="Garamond,Calibri" w:hAnsi="Arial" w:cs="Arial"/>
          <w:sz w:val="18"/>
          <w:szCs w:val="18"/>
        </w:rPr>
        <w:t xml:space="preserve"> = </w:t>
      </w:r>
      <w:proofErr w:type="spellStart"/>
      <w:r w:rsidRPr="00D37CD2">
        <w:rPr>
          <w:rFonts w:ascii="Arial" w:eastAsia="Garamond,Calibri" w:hAnsi="Arial" w:cs="Arial"/>
          <w:sz w:val="18"/>
          <w:szCs w:val="18"/>
        </w:rPr>
        <w:t>VNe</w:t>
      </w:r>
      <w:proofErr w:type="spellEnd"/>
      <w:r w:rsidRPr="00D37CD2">
        <w:rPr>
          <w:rFonts w:ascii="Arial" w:eastAsia="Garamond,Calibri" w:hAnsi="Arial" w:cs="Arial"/>
          <w:sz w:val="18"/>
          <w:szCs w:val="18"/>
        </w:rPr>
        <w:t xml:space="preserv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VNe</w:t>
      </w:r>
      <w:proofErr w:type="spellEnd"/>
      <w:r w:rsidRPr="00D37CD2">
        <w:rPr>
          <w:rFonts w:ascii="Arial" w:hAnsi="Arial" w:cs="Arial"/>
          <w:sz w:val="18"/>
          <w:szCs w:val="18"/>
        </w:rPr>
        <w:t xml:space="preserv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NIn</w:t>
      </w:r>
      <w:proofErr w:type="spellEnd"/>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w:t>
      </w:r>
      <w:proofErr w:type="spellStart"/>
      <w:r w:rsidRPr="00D37CD2">
        <w:rPr>
          <w:rFonts w:ascii="Arial" w:hAnsi="Arial" w:cs="Arial"/>
          <w:sz w:val="18"/>
          <w:szCs w:val="18"/>
        </w:rPr>
        <w:t>NIn</w:t>
      </w:r>
      <w:proofErr w:type="spellEnd"/>
      <w:r w:rsidRPr="00D37CD2">
        <w:rPr>
          <w:rFonts w:ascii="Arial" w:hAnsi="Arial" w:cs="Arial"/>
          <w:sz w:val="18"/>
          <w:szCs w:val="18"/>
        </w:rPr>
        <w:t xml:space="preserve">.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w:t>
      </w:r>
      <w:proofErr w:type="spellStart"/>
      <w:r w:rsidRPr="00D37CD2">
        <w:rPr>
          <w:rFonts w:ascii="Arial" w:hAnsi="Arial" w:cs="Arial"/>
          <w:sz w:val="18"/>
          <w:szCs w:val="18"/>
        </w:rPr>
        <w:t>NIn</w:t>
      </w:r>
      <w:proofErr w:type="spellEnd"/>
      <w:r w:rsidRPr="00D37CD2">
        <w:rPr>
          <w:rFonts w:ascii="Arial" w:hAnsi="Arial" w:cs="Arial"/>
          <w:sz w:val="18"/>
          <w:szCs w:val="18"/>
        </w:rPr>
        <w:t xml:space="preserve">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lastRenderedPageBreak/>
        <w:t>Os CRI serão amortizados, conforme respectivo cronograma de pagamento de cada série indicado no Anexo I a este Termo de Securitização, e calculados da seguinte forma:</w:t>
      </w:r>
    </w:p>
    <w:p w14:paraId="1D1F0FCC" w14:textId="77777777" w:rsidR="00FC5E1E" w:rsidRPr="00D37CD2" w:rsidRDefault="006E3D27"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TAn</w:t>
      </w:r>
      <w:proofErr w:type="spellEnd"/>
      <w:r w:rsidRPr="00D37CD2">
        <w:rPr>
          <w:rFonts w:ascii="Arial" w:hAnsi="Arial" w:cs="Arial"/>
          <w:sz w:val="18"/>
          <w:szCs w:val="18"/>
        </w:rPr>
        <w:t xml:space="preserve"> = Taxa de Amortização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6E3D27"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PMTn</w:t>
      </w:r>
      <w:proofErr w:type="spellEnd"/>
      <w:r w:rsidRPr="00D37CD2">
        <w:rPr>
          <w:rFonts w:ascii="Arial" w:hAnsi="Arial" w:cs="Arial"/>
          <w:sz w:val="18"/>
          <w:szCs w:val="18"/>
        </w:rPr>
        <w:t xml:space="preserve"> = Valor unitário do </w:t>
      </w:r>
      <w:proofErr w:type="spellStart"/>
      <w:r w:rsidRPr="00D37CD2">
        <w:rPr>
          <w:rFonts w:ascii="Arial" w:hAnsi="Arial" w:cs="Arial"/>
          <w:sz w:val="18"/>
          <w:szCs w:val="18"/>
        </w:rPr>
        <w:t>n-ésimo</w:t>
      </w:r>
      <w:proofErr w:type="spellEnd"/>
      <w:r w:rsidRPr="00D37CD2">
        <w:rPr>
          <w:rFonts w:ascii="Arial" w:hAnsi="Arial" w:cs="Arial"/>
          <w:sz w:val="18"/>
          <w:szCs w:val="18"/>
        </w:rPr>
        <w:t xml:space="preserve">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VNr</w:t>
      </w:r>
      <w:proofErr w:type="spellEnd"/>
      <w:r w:rsidRPr="00D37CD2">
        <w:rPr>
          <w:rFonts w:ascii="Arial" w:hAnsi="Arial" w:cs="Arial"/>
          <w:sz w:val="18"/>
          <w:szCs w:val="18"/>
        </w:rPr>
        <w:t xml:space="preserve"> = Valor Nominal Unitário Remanescente após a i-</w:t>
      </w:r>
      <w:proofErr w:type="spellStart"/>
      <w:r w:rsidRPr="00D37CD2">
        <w:rPr>
          <w:rFonts w:ascii="Arial" w:hAnsi="Arial" w:cs="Arial"/>
          <w:sz w:val="18"/>
          <w:szCs w:val="18"/>
        </w:rPr>
        <w:t>ésima</w:t>
      </w:r>
      <w:proofErr w:type="spellEnd"/>
      <w:r w:rsidRPr="00D37CD2">
        <w:rPr>
          <w:rFonts w:ascii="Arial" w:hAnsi="Arial" w:cs="Arial"/>
          <w:sz w:val="18"/>
          <w:szCs w:val="18"/>
        </w:rPr>
        <w:t xml:space="preserve">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Após o pagamento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w:t>
      </w:r>
      <w:proofErr w:type="spellStart"/>
      <w:r w:rsidRPr="00D37CD2">
        <w:rPr>
          <w:rFonts w:ascii="Arial" w:hAnsi="Arial" w:cs="Arial"/>
          <w:sz w:val="18"/>
          <w:szCs w:val="18"/>
        </w:rPr>
        <w:t>VNr</w:t>
      </w:r>
      <w:proofErr w:type="spellEnd"/>
      <w:r w:rsidRPr="00D37CD2">
        <w:rPr>
          <w:rFonts w:ascii="Arial" w:hAnsi="Arial" w:cs="Arial"/>
          <w:sz w:val="18"/>
          <w:szCs w:val="18"/>
        </w:rPr>
        <w:t xml:space="preserve"> assume o lugar de </w:t>
      </w:r>
      <w:proofErr w:type="spellStart"/>
      <w:r w:rsidRPr="00D37CD2">
        <w:rPr>
          <w:rFonts w:ascii="Arial" w:hAnsi="Arial" w:cs="Arial"/>
          <w:sz w:val="18"/>
          <w:szCs w:val="18"/>
        </w:rPr>
        <w:t>VNe</w:t>
      </w:r>
      <w:proofErr w:type="spellEnd"/>
      <w:r w:rsidRPr="00D37CD2">
        <w:rPr>
          <w:rFonts w:ascii="Arial" w:hAnsi="Arial" w:cs="Arial"/>
          <w:sz w:val="18"/>
          <w:szCs w:val="18"/>
        </w:rPr>
        <w:t xml:space="preserv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As datas de pagamento de quaisquer obrigações referentes aos CRI serão prorrogadas pelo número de dias necessários para assegurar que, entre o dia do recebimento dos Créditos Imobiliários Cedidos representados pela </w:t>
      </w:r>
      <w:r w:rsidRPr="00D37CD2">
        <w:rPr>
          <w:rFonts w:ascii="Arial" w:hAnsi="Arial" w:cs="Arial"/>
          <w:sz w:val="18"/>
          <w:szCs w:val="18"/>
        </w:rPr>
        <w:lastRenderedPageBreak/>
        <w:t>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401" w:name="_Ref315802993"/>
      <w:bookmarkEnd w:id="398"/>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401"/>
    </w:p>
    <w:p w14:paraId="43272075" w14:textId="77777777" w:rsidR="00FC5E1E" w:rsidRPr="00D37CD2" w:rsidRDefault="006E3D27"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proofErr w:type="spellStart"/>
      <w:r>
        <w:rPr>
          <w:rFonts w:ascii="Arial" w:hAnsi="Arial" w:cs="Arial"/>
          <w:sz w:val="18"/>
          <w:szCs w:val="18"/>
        </w:rPr>
        <w:t>du</w:t>
      </w:r>
      <w:proofErr w:type="spellEnd"/>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proofErr w:type="spellStart"/>
      <w:r>
        <w:rPr>
          <w:rFonts w:ascii="Arial" w:hAnsi="Arial" w:cs="Arial"/>
          <w:sz w:val="18"/>
          <w:szCs w:val="18"/>
        </w:rPr>
        <w:t>du</w:t>
      </w:r>
      <w:proofErr w:type="spellEnd"/>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Os investidores pessoas físicas estão </w:t>
      </w:r>
      <w:proofErr w:type="gramStart"/>
      <w:r w:rsidRPr="00421855">
        <w:rPr>
          <w:sz w:val="18"/>
          <w:szCs w:val="18"/>
        </w:rPr>
        <w:t>isentos</w:t>
      </w:r>
      <w:proofErr w:type="gramEnd"/>
      <w:r w:rsidRPr="00421855">
        <w:rPr>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 xml:space="preserve">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w:t>
      </w:r>
      <w:r w:rsidRPr="00421855">
        <w:rPr>
          <w:sz w:val="18"/>
          <w:szCs w:val="18"/>
        </w:rPr>
        <w:lastRenderedPageBreak/>
        <w:t xml:space="preserve">investimento em CRI por essas entidades, </w:t>
      </w:r>
      <w:proofErr w:type="gramStart"/>
      <w:r w:rsidRPr="00421855">
        <w:rPr>
          <w:sz w:val="18"/>
          <w:szCs w:val="18"/>
        </w:rPr>
        <w:t>via de regra</w:t>
      </w:r>
      <w:proofErr w:type="gramEnd"/>
      <w:r w:rsidRPr="00421855">
        <w:rPr>
          <w:sz w:val="18"/>
          <w:szCs w:val="18"/>
        </w:rPr>
        <w:t xml:space="preserve">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421855">
        <w:rPr>
          <w:sz w:val="18"/>
          <w:szCs w:val="18"/>
        </w:rPr>
        <w:t>ii</w:t>
      </w:r>
      <w:proofErr w:type="spellEnd"/>
      <w:r w:rsidRPr="00421855">
        <w:rPr>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421855">
        <w:rPr>
          <w:sz w:val="18"/>
          <w:szCs w:val="18"/>
        </w:rPr>
        <w:t>ii</w:t>
      </w:r>
      <w:proofErr w:type="spellEnd"/>
      <w:r w:rsidRPr="00421855">
        <w:rPr>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421855">
        <w:rPr>
          <w:sz w:val="18"/>
          <w:szCs w:val="18"/>
        </w:rPr>
        <w:t>ii</w:t>
      </w:r>
      <w:proofErr w:type="spellEnd"/>
      <w:r w:rsidRPr="00421855">
        <w:rPr>
          <w:sz w:val="18"/>
          <w:szCs w:val="18"/>
        </w:rPr>
        <w:t>)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w:t>
      </w:r>
      <w:proofErr w:type="spellStart"/>
      <w:r w:rsidRPr="00421855">
        <w:rPr>
          <w:sz w:val="18"/>
          <w:szCs w:val="18"/>
        </w:rPr>
        <w:t>ii</w:t>
      </w:r>
      <w:proofErr w:type="spellEnd"/>
      <w:r w:rsidRPr="00421855">
        <w:rPr>
          <w:sz w:val="18"/>
          <w:szCs w:val="18"/>
        </w:rPr>
        <w:t>) prazo médio ponderado superior a 4 (quatro) anos (fórmula a ser definida pelo Conselho Monetário Nacional); (</w:t>
      </w:r>
      <w:proofErr w:type="spellStart"/>
      <w:r w:rsidRPr="00421855">
        <w:rPr>
          <w:sz w:val="18"/>
          <w:szCs w:val="18"/>
        </w:rPr>
        <w:t>iii</w:t>
      </w:r>
      <w:proofErr w:type="spellEnd"/>
      <w:r w:rsidRPr="00421855">
        <w:rPr>
          <w:sz w:val="18"/>
          <w:szCs w:val="18"/>
        </w:rPr>
        <w:t xml:space="preserve">) vedação à recompra dos CRI pelo emissor (i.e., pela companhia </w:t>
      </w:r>
      <w:proofErr w:type="spellStart"/>
      <w:r w:rsidRPr="00421855">
        <w:rPr>
          <w:sz w:val="18"/>
          <w:szCs w:val="18"/>
        </w:rPr>
        <w:t>securitizadora</w:t>
      </w:r>
      <w:proofErr w:type="spellEnd"/>
      <w:r w:rsidRPr="00421855">
        <w:rPr>
          <w:sz w:val="18"/>
          <w:szCs w:val="18"/>
        </w:rPr>
        <w:t>) ou parte a ele relacionada e o cedente ou originador (p.ex., instituição financeira) nos 2 (dois) primeiros anos após a emissão (salvo conforme regulamentação do Conselho Monetário Nacional); (</w:t>
      </w:r>
      <w:proofErr w:type="spellStart"/>
      <w:r w:rsidRPr="00421855">
        <w:rPr>
          <w:sz w:val="18"/>
          <w:szCs w:val="18"/>
        </w:rPr>
        <w:t>iv</w:t>
      </w:r>
      <w:proofErr w:type="spellEnd"/>
      <w:r w:rsidRPr="00421855">
        <w:rPr>
          <w:sz w:val="18"/>
          <w:szCs w:val="18"/>
        </w:rPr>
        <w:t>)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421855">
        <w:rPr>
          <w:sz w:val="18"/>
          <w:szCs w:val="18"/>
        </w:rPr>
        <w:t>vii</w:t>
      </w:r>
      <w:proofErr w:type="spellEnd"/>
      <w:r w:rsidRPr="00421855">
        <w:rPr>
          <w:sz w:val="18"/>
          <w:szCs w:val="18"/>
        </w:rPr>
        <w:t>) comprovação de que os CRI estejam registrados em sistema de registro, devidamente autorizado pelo Banco Central do Brasil ou pela CVM, nas respectivas áreas de competência (</w:t>
      </w:r>
      <w:proofErr w:type="spellStart"/>
      <w:r w:rsidRPr="00421855">
        <w:rPr>
          <w:sz w:val="18"/>
          <w:szCs w:val="18"/>
        </w:rPr>
        <w:t>viii</w:t>
      </w:r>
      <w:proofErr w:type="spellEnd"/>
      <w:r w:rsidRPr="00421855">
        <w:rPr>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421855">
        <w:rPr>
          <w:sz w:val="18"/>
          <w:szCs w:val="18"/>
        </w:rPr>
        <w:t>ix</w:t>
      </w:r>
      <w:proofErr w:type="spellEnd"/>
      <w:r w:rsidRPr="00421855">
        <w:rPr>
          <w:sz w:val="18"/>
          <w:szCs w:val="18"/>
        </w:rPr>
        <w:t>)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 xml:space="preserve">49, artigo 24 da Lei 9.430 e artigo 8º da Lei 9.779, artigo 1º, Lei 12.431 e artigo 17, Lei 12.844). Haverá também incidência do IRRF à alíquota de 0,005% </w:t>
      </w:r>
      <w:r w:rsidRPr="00421855">
        <w:rPr>
          <w:sz w:val="18"/>
          <w:szCs w:val="18"/>
        </w:rPr>
        <w:lastRenderedPageBreak/>
        <w:t>(cinco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w:t>
      </w:r>
      <w:proofErr w:type="spellStart"/>
      <w:r w:rsidRPr="00421855">
        <w:rPr>
          <w:sz w:val="18"/>
          <w:szCs w:val="18"/>
        </w:rPr>
        <w:t>ii</w:t>
      </w:r>
      <w:proofErr w:type="spellEnd"/>
      <w:r w:rsidRPr="00421855">
        <w:rPr>
          <w:sz w:val="18"/>
          <w:szCs w:val="18"/>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w:t>
      </w:r>
      <w:r w:rsidRPr="00421855">
        <w:rPr>
          <w:rFonts w:ascii="Arial" w:hAnsi="Arial" w:cs="Arial"/>
          <w:sz w:val="18"/>
          <w:szCs w:val="18"/>
        </w:rPr>
        <w:lastRenderedPageBreak/>
        <w:t>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w:t>
      </w:r>
      <w:proofErr w:type="spellStart"/>
      <w:r w:rsidRPr="00421855">
        <w:rPr>
          <w:rFonts w:ascii="Arial" w:eastAsia="ヒラギノ角ゴ Pro W3" w:hAnsi="Arial" w:cs="Arial"/>
          <w:sz w:val="18"/>
          <w:szCs w:val="18"/>
        </w:rPr>
        <w:t>ii</w:t>
      </w:r>
      <w:proofErr w:type="spellEnd"/>
      <w:r w:rsidRPr="00421855">
        <w:rPr>
          <w:rFonts w:ascii="Arial" w:eastAsia="ヒラギノ角ゴ Pro W3" w:hAnsi="Arial" w:cs="Arial"/>
          <w:sz w:val="18"/>
          <w:szCs w:val="18"/>
        </w:rPr>
        <w:t>) controle de câmbio; (</w:t>
      </w:r>
      <w:proofErr w:type="spellStart"/>
      <w:r w:rsidRPr="00421855">
        <w:rPr>
          <w:rFonts w:ascii="Arial" w:eastAsia="ヒラギノ角ゴ Pro W3" w:hAnsi="Arial" w:cs="Arial"/>
          <w:sz w:val="18"/>
          <w:szCs w:val="18"/>
        </w:rPr>
        <w:t>iii</w:t>
      </w:r>
      <w:proofErr w:type="spellEnd"/>
      <w:r w:rsidRPr="00421855">
        <w:rPr>
          <w:rFonts w:ascii="Arial" w:eastAsia="ヒラギノ角ゴ Pro W3" w:hAnsi="Arial" w:cs="Arial"/>
          <w:sz w:val="18"/>
          <w:szCs w:val="18"/>
        </w:rPr>
        <w:t>) índices de inflação; (</w:t>
      </w:r>
      <w:proofErr w:type="spellStart"/>
      <w:r w:rsidRPr="00421855">
        <w:rPr>
          <w:rFonts w:ascii="Arial" w:eastAsia="ヒラギノ角ゴ Pro W3" w:hAnsi="Arial" w:cs="Arial"/>
          <w:sz w:val="18"/>
          <w:szCs w:val="18"/>
        </w:rPr>
        <w:t>iv</w:t>
      </w:r>
      <w:proofErr w:type="spellEnd"/>
      <w:r w:rsidRPr="00421855">
        <w:rPr>
          <w:rFonts w:ascii="Arial" w:eastAsia="ヒラギノ角ゴ Pro W3" w:hAnsi="Arial" w:cs="Arial"/>
          <w:sz w:val="18"/>
          <w:szCs w:val="18"/>
        </w:rPr>
        <w:t>) flutuações nas taxas de juros; (v) falta de liquidez nos mercados doméstico, financeiro e de capitais; (vi) racionamento de energia elétrica;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instabilidade de preços; política fiscal e regime tributário; e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w:t>
      </w:r>
      <w:r w:rsidRPr="00421855">
        <w:rPr>
          <w:rFonts w:ascii="Arial" w:eastAsia="ヒラギノ角ゴ Pro W3" w:hAnsi="Arial" w:cs="Arial"/>
          <w:sz w:val="18"/>
          <w:szCs w:val="18"/>
        </w:rPr>
        <w:lastRenderedPageBreak/>
        <w:t xml:space="preserve">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propagação do coronavírus (COVID-19) no Brasil, com a consequente decretação de estado de calamidade pública pelo </w:t>
      </w:r>
      <w:r w:rsidRPr="00421855">
        <w:rPr>
          <w:rFonts w:ascii="Arial" w:hAnsi="Arial" w:cs="Arial"/>
          <w:sz w:val="18"/>
          <w:szCs w:val="18"/>
        </w:rPr>
        <w:lastRenderedPageBreak/>
        <w:t>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A Emissora é uma companhia </w:t>
      </w:r>
      <w:proofErr w:type="spellStart"/>
      <w:r w:rsidRPr="00421855">
        <w:rPr>
          <w:rFonts w:ascii="Arial" w:eastAsia="ヒラギノ角ゴ Pro W3" w:hAnsi="Arial" w:cs="Arial"/>
          <w:sz w:val="18"/>
          <w:szCs w:val="18"/>
        </w:rPr>
        <w:t>securitizadora</w:t>
      </w:r>
      <w:proofErr w:type="spellEnd"/>
      <w:r w:rsidRPr="00421855">
        <w:rPr>
          <w:rFonts w:ascii="Arial" w:eastAsia="ヒラギノ角ゴ Pro W3" w:hAnsi="Arial" w:cs="Arial"/>
          <w:sz w:val="18"/>
          <w:szCs w:val="18"/>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w:t>
      </w:r>
      <w:r w:rsidRPr="00421855">
        <w:rPr>
          <w:rFonts w:ascii="Arial" w:eastAsia="ヒラギノ角ゴ Pro W3" w:hAnsi="Arial" w:cs="Arial"/>
          <w:sz w:val="18"/>
          <w:szCs w:val="18"/>
        </w:rPr>
        <w:lastRenderedPageBreak/>
        <w:t xml:space="preserve">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proofErr w:type="gramStart"/>
      <w:r w:rsidRPr="00421855">
        <w:rPr>
          <w:rFonts w:ascii="Arial" w:eastAsia="ヒラギノ角ゴ Pro W3" w:hAnsi="Arial" w:cs="Arial"/>
          <w:sz w:val="18"/>
          <w:szCs w:val="18"/>
        </w:rPr>
        <w:t>, ,</w:t>
      </w:r>
      <w:proofErr w:type="gramEnd"/>
      <w:r w:rsidRPr="00421855">
        <w:rPr>
          <w:rFonts w:ascii="Arial" w:eastAsia="ヒラギノ角ゴ Pro W3" w:hAnsi="Arial" w:cs="Arial"/>
          <w:sz w:val="18"/>
          <w:szCs w:val="18"/>
        </w:rPr>
        <w:t xml:space="preserve">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 xml:space="preserve">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w:t>
      </w:r>
      <w:proofErr w:type="spellStart"/>
      <w:r w:rsidR="00D71840" w:rsidRPr="00421855">
        <w:rPr>
          <w:rFonts w:ascii="Arial" w:hAnsi="Arial" w:cs="Arial"/>
          <w:sz w:val="18"/>
          <w:szCs w:val="18"/>
        </w:rPr>
        <w:t>deprodutos</w:t>
      </w:r>
      <w:proofErr w:type="spellEnd"/>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w:t>
      </w:r>
      <w:r w:rsidRPr="00421855">
        <w:rPr>
          <w:rFonts w:ascii="Arial" w:hAnsi="Arial" w:cs="Arial"/>
          <w:sz w:val="18"/>
          <w:szCs w:val="18"/>
        </w:rPr>
        <w:lastRenderedPageBreak/>
        <w:t xml:space="preserve">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lastRenderedPageBreak/>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lastRenderedPageBreak/>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w:t>
      </w:r>
      <w:proofErr w:type="spellStart"/>
      <w:r w:rsidRPr="00421855">
        <w:rPr>
          <w:rFonts w:ascii="Arial" w:hAnsi="Arial" w:cs="Arial"/>
          <w:sz w:val="18"/>
          <w:szCs w:val="18"/>
        </w:rPr>
        <w:t>ii</w:t>
      </w:r>
      <w:proofErr w:type="spellEnd"/>
      <w:r w:rsidRPr="00421855">
        <w:rPr>
          <w:rFonts w:ascii="Arial" w:hAnsi="Arial" w:cs="Arial"/>
          <w:sz w:val="18"/>
          <w:szCs w:val="18"/>
        </w:rPr>
        <w:t>) risco de insuficiência de garantia por acúmulo de atrasos ou perdas; e (</w:t>
      </w:r>
      <w:proofErr w:type="spellStart"/>
      <w:r w:rsidRPr="00421855">
        <w:rPr>
          <w:rFonts w:ascii="Arial" w:hAnsi="Arial" w:cs="Arial"/>
          <w:sz w:val="18"/>
          <w:szCs w:val="18"/>
        </w:rPr>
        <w:t>iii</w:t>
      </w:r>
      <w:proofErr w:type="spellEnd"/>
      <w:r w:rsidRPr="00421855">
        <w:rPr>
          <w:rFonts w:ascii="Arial" w:hAnsi="Arial" w:cs="Arial"/>
          <w:sz w:val="18"/>
          <w:szCs w:val="18"/>
        </w:rPr>
        <w:t>)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 xml:space="preserve">que adquirir os CRI poderá encontrar </w:t>
      </w:r>
      <w:r w:rsidRPr="00421855">
        <w:rPr>
          <w:rFonts w:ascii="Arial" w:hAnsi="Arial" w:cs="Arial"/>
          <w:sz w:val="18"/>
          <w:szCs w:val="18"/>
        </w:rPr>
        <w:lastRenderedPageBreak/>
        <w:t>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xml:space="preserve">, da </w:t>
      </w:r>
      <w:proofErr w:type="spellStart"/>
      <w:r w:rsidR="00F948D9">
        <w:rPr>
          <w:rFonts w:ascii="Arial" w:hAnsi="Arial" w:cs="Arial"/>
          <w:sz w:val="18"/>
          <w:szCs w:val="18"/>
        </w:rPr>
        <w:t>Forgreen</w:t>
      </w:r>
      <w:proofErr w:type="spellEnd"/>
      <w:r w:rsidR="00F948D9">
        <w:rPr>
          <w:rFonts w:ascii="Arial" w:hAnsi="Arial" w:cs="Arial"/>
          <w:sz w:val="18"/>
          <w:szCs w:val="18"/>
        </w:rPr>
        <w:t xml:space="preserve">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402"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proofErr w:type="gramStart"/>
      <w:r w:rsidR="008A4313" w:rsidRPr="00421855">
        <w:rPr>
          <w:rFonts w:ascii="Arial" w:hAnsi="Arial" w:cs="Arial"/>
          <w:sz w:val="18"/>
          <w:szCs w:val="18"/>
          <w:highlight w:val="yellow"/>
        </w:rPr>
        <w:t>•]</w:t>
      </w:r>
      <w:r w:rsidRPr="00421855">
        <w:rPr>
          <w:rFonts w:ascii="Arial" w:hAnsi="Arial" w:cs="Arial"/>
          <w:sz w:val="18"/>
          <w:szCs w:val="18"/>
        </w:rPr>
        <w:t>%</w:t>
      </w:r>
      <w:proofErr w:type="gramEnd"/>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 xml:space="preserve">por cento) do total desta Emissão. Sendo assim, </w:t>
      </w:r>
      <w:r w:rsidRPr="00421855">
        <w:rPr>
          <w:rFonts w:ascii="Arial" w:hAnsi="Arial" w:cs="Arial"/>
          <w:sz w:val="18"/>
          <w:szCs w:val="18"/>
        </w:rPr>
        <w:lastRenderedPageBreak/>
        <w:t>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402"/>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xml:space="preserve">: (a) no caso da Alienação Fiduciária de Cotas, junto aos Cartórios de Registro de Títulos e Documentos da Cidade de São Paulo e Barueri, ambas no Estado de São Paulo, e, junto ao </w:t>
      </w:r>
      <w:proofErr w:type="spellStart"/>
      <w:r w:rsidR="00CD67C7" w:rsidRPr="00D37CD2">
        <w:rPr>
          <w:rFonts w:ascii="Arial" w:hAnsi="Arial" w:cs="Arial"/>
          <w:sz w:val="18"/>
          <w:szCs w:val="18"/>
        </w:rPr>
        <w:t>escriturador</w:t>
      </w:r>
      <w:proofErr w:type="spellEnd"/>
      <w:r w:rsidR="00CD67C7" w:rsidRPr="00D37CD2">
        <w:rPr>
          <w:rFonts w:ascii="Arial" w:hAnsi="Arial" w:cs="Arial"/>
          <w:sz w:val="18"/>
          <w:szCs w:val="18"/>
        </w:rPr>
        <w:t xml:space="preserve">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proofErr w:type="spellStart"/>
      <w:r w:rsidRPr="00421855">
        <w:rPr>
          <w:rFonts w:ascii="Arial" w:hAnsi="Arial" w:cs="Arial"/>
          <w:i/>
          <w:iCs/>
          <w:sz w:val="18"/>
          <w:szCs w:val="18"/>
        </w:rPr>
        <w:t>servicer</w:t>
      </w:r>
      <w:proofErr w:type="spellEnd"/>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w:t>
      </w:r>
      <w:proofErr w:type="spellStart"/>
      <w:r w:rsidRPr="00AD54F4">
        <w:rPr>
          <w:rFonts w:ascii="Arial" w:hAnsi="Arial" w:cs="Arial"/>
          <w:sz w:val="18"/>
          <w:szCs w:val="18"/>
        </w:rPr>
        <w:t>ii</w:t>
      </w:r>
      <w:proofErr w:type="spellEnd"/>
      <w:r w:rsidRPr="00AD54F4">
        <w:rPr>
          <w:rFonts w:ascii="Arial" w:hAnsi="Arial" w:cs="Arial"/>
          <w:sz w:val="18"/>
          <w:szCs w:val="18"/>
        </w:rPr>
        <w:t>) analisar seus respectivos documentos societários necessários para a celebração dos Documentos da Operação; (</w:t>
      </w:r>
      <w:proofErr w:type="spellStart"/>
      <w:r w:rsidRPr="00AD54F4">
        <w:rPr>
          <w:rFonts w:ascii="Arial" w:hAnsi="Arial" w:cs="Arial"/>
          <w:sz w:val="18"/>
          <w:szCs w:val="18"/>
        </w:rPr>
        <w:t>iii</w:t>
      </w:r>
      <w:proofErr w:type="spellEnd"/>
      <w:r w:rsidRPr="00AD54F4">
        <w:rPr>
          <w:rFonts w:ascii="Arial" w:hAnsi="Arial" w:cs="Arial"/>
          <w:sz w:val="18"/>
          <w:szCs w:val="18"/>
        </w:rPr>
        <w:t>)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proofErr w:type="spellStart"/>
      <w:r w:rsidR="00147D56" w:rsidRPr="00AD54F4">
        <w:rPr>
          <w:rFonts w:ascii="Arial" w:hAnsi="Arial" w:cs="Arial"/>
          <w:i/>
          <w:iCs/>
          <w:sz w:val="18"/>
          <w:szCs w:val="18"/>
        </w:rPr>
        <w:t>due</w:t>
      </w:r>
      <w:proofErr w:type="spellEnd"/>
      <w:r w:rsidR="00147D56" w:rsidRPr="00AD54F4">
        <w:rPr>
          <w:rFonts w:ascii="Arial" w:hAnsi="Arial" w:cs="Arial"/>
          <w:i/>
          <w:iCs/>
          <w:sz w:val="18"/>
          <w:szCs w:val="18"/>
        </w:rPr>
        <w:t xml:space="preserve"> </w:t>
      </w:r>
      <w:proofErr w:type="spellStart"/>
      <w:r w:rsidR="00147D56" w:rsidRPr="00AD54F4">
        <w:rPr>
          <w:rFonts w:ascii="Arial" w:hAnsi="Arial" w:cs="Arial"/>
          <w:i/>
          <w:iCs/>
          <w:sz w:val="18"/>
          <w:szCs w:val="18"/>
        </w:rPr>
        <w:t>diligence</w:t>
      </w:r>
      <w:proofErr w:type="spellEnd"/>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lastRenderedPageBreak/>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w:t>
      </w:r>
      <w:proofErr w:type="gramStart"/>
      <w:r>
        <w:rPr>
          <w:rFonts w:ascii="Arial" w:hAnsi="Arial" w:cs="Arial"/>
          <w:sz w:val="18"/>
          <w:szCs w:val="18"/>
        </w:rPr>
        <w:t>dos</w:t>
      </w:r>
      <w:proofErr w:type="gramEnd"/>
      <w:r>
        <w:rPr>
          <w:rFonts w:ascii="Arial" w:hAnsi="Arial" w:cs="Arial"/>
          <w:sz w:val="18"/>
          <w:szCs w:val="18"/>
        </w:rPr>
        <w:t xml:space="preserve">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lastRenderedPageBreak/>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Matheus Gomes Faria" w:date="2022-04-08T12:26:00Z" w:initials="MGF">
    <w:p w14:paraId="0331F661" w14:textId="77777777" w:rsidR="00BA0210" w:rsidRDefault="00BA0210" w:rsidP="00BA0210">
      <w:r>
        <w:rPr>
          <w:rStyle w:val="Refdecomentrio"/>
        </w:rPr>
        <w:annotationRef/>
      </w:r>
      <w:r>
        <w:rPr>
          <w:sz w:val="20"/>
          <w:szCs w:val="20"/>
          <w:lang w:val="en-US"/>
        </w:rPr>
        <w:t>Aguardando os documentos solicitados para ajuste de redação</w:t>
      </w:r>
    </w:p>
  </w:comment>
  <w:comment w:id="199" w:author="Pamella Mainente Angelo" w:date="2022-04-11T14:45:00Z" w:initials="PMA">
    <w:p w14:paraId="2EC598C4" w14:textId="77777777" w:rsidR="00BA0210" w:rsidRDefault="00BA0210" w:rsidP="00BA0210">
      <w:pPr>
        <w:pStyle w:val="Textodecomentrio"/>
      </w:pPr>
      <w:r>
        <w:rPr>
          <w:rStyle w:val="Refdecomentrio"/>
        </w:rPr>
        <w:annotationRef/>
      </w:r>
      <w:r>
        <w:t>Idem comentário acima.</w:t>
      </w:r>
    </w:p>
  </w:comment>
  <w:comment w:id="399" w:author="Matheus Gomes Faria" w:date="2022-04-06T16:53:00Z" w:initials="MGF">
    <w:p w14:paraId="0F24DA8F" w14:textId="45A4C9E9"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31F661" w15:done="1"/>
  <w15:commentEx w15:paraId="2EC598C4" w15:paraIdParent="0331F661" w15:done="1"/>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CD8B" w16cex:dateUtc="2022-04-08T15:26:00Z"/>
  <w16cex:commentExtensible w16cex:durableId="25FEBD8E" w16cex:dateUtc="2022-04-11T17:45: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31F661" w16cid:durableId="25FECD8B"/>
  <w16cid:commentId w16cid:paraId="2EC598C4" w16cid:durableId="25FEBD8E"/>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715A" w14:textId="77777777" w:rsidR="006E3D27" w:rsidRDefault="006E3D27">
      <w:pPr>
        <w:widowControl/>
      </w:pPr>
      <w:r>
        <w:separator/>
      </w:r>
    </w:p>
  </w:endnote>
  <w:endnote w:type="continuationSeparator" w:id="0">
    <w:p w14:paraId="0B0758E9" w14:textId="77777777" w:rsidR="006E3D27" w:rsidRDefault="006E3D27">
      <w:pPr>
        <w:widowControl/>
      </w:pPr>
      <w:r>
        <w:continuationSeparator/>
      </w:r>
    </w:p>
  </w:endnote>
  <w:endnote w:type="continuationNotice" w:id="1">
    <w:p w14:paraId="496E565B" w14:textId="77777777" w:rsidR="006E3D27" w:rsidRDefault="006E3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50000000002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rutiger Light">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20B0604020202020204"/>
    <w:charset w:val="00"/>
    <w:family w:val="swiss"/>
    <w:notTrueType/>
    <w:pitch w:val="variable"/>
    <w:sig w:usb0="00000003" w:usb1="00000000" w:usb2="00000000" w:usb3="00000000" w:csb0="00000001" w:csb1="00000000"/>
  </w:font>
  <w:font w:name="Frutiger-Light">
    <w:panose1 w:val="020B0604020202020204"/>
    <w:charset w:val="00"/>
    <w:family w:val="roman"/>
    <w:notTrueType/>
    <w:pitch w:val="default"/>
    <w:sig w:usb0="00000003" w:usb1="00000000" w:usb2="00000000" w:usb3="00000000" w:csb0="00000001" w:csb1="00000000"/>
  </w:font>
  <w:font w:name="Times New Roman Negrito">
    <w:altName w:val="Times New Roman Bold"/>
    <w:panose1 w:val="020B06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Arial">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Trebuchet MS,Arial">
    <w:altName w:val="Times New Roman"/>
    <w:panose1 w:val="020B0604020202020204"/>
    <w:charset w:val="00"/>
    <w:family w:val="roman"/>
    <w:notTrueType/>
    <w:pitch w:val="default"/>
  </w:font>
  <w:font w:name="Garamond,Calibri">
    <w:altName w:val="MS Mincho"/>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aramond,Garamond,Calibri">
    <w:altName w:val="Times New Roman"/>
    <w:panose1 w:val="020B0604020202020204"/>
    <w:charset w:val="00"/>
    <w:family w:val="roman"/>
    <w:notTrueType/>
    <w:pitch w:val="default"/>
  </w:font>
  <w:font w:name="ヒラギノ角ゴ Pro W3">
    <w:altName w:val="MS Gothic"/>
    <w:panose1 w:val="020B03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2554A257" w:rsidR="00F070E4" w:rsidRDefault="00F070E4">
    <w:r>
      <w:rPr>
        <w:sz w:val="16"/>
      </w:rPr>
      <w:fldChar w:fldCharType="begin"/>
    </w:r>
    <w:r>
      <w:rPr>
        <w:sz w:val="16"/>
      </w:rPr>
      <w:instrText xml:space="preserve"> DOCVARIABLE #DNDocID \* MERGEFORMAT </w:instrText>
    </w:r>
    <w:r>
      <w:rPr>
        <w:sz w:val="16"/>
      </w:rPr>
      <w:fldChar w:fldCharType="separate"/>
    </w:r>
    <w:r w:rsidR="00E97353">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7C79" w14:textId="77777777" w:rsidR="006E3D27" w:rsidRDefault="006E3D27">
      <w:pPr>
        <w:widowControl/>
      </w:pPr>
      <w:r>
        <w:separator/>
      </w:r>
    </w:p>
  </w:footnote>
  <w:footnote w:type="continuationSeparator" w:id="0">
    <w:p w14:paraId="3024F4FD" w14:textId="77777777" w:rsidR="006E3D27" w:rsidRDefault="006E3D27">
      <w:pPr>
        <w:widowControl/>
      </w:pPr>
      <w:r>
        <w:continuationSeparator/>
      </w:r>
    </w:p>
  </w:footnote>
  <w:footnote w:type="continuationNotice" w:id="1">
    <w:p w14:paraId="2788B8DB" w14:textId="77777777" w:rsidR="006E3D27" w:rsidRDefault="006E3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Pamella Mainente Angelo">
    <w15:presenceInfo w15:providerId="AD" w15:userId="S::pamella.mainente@reag.com.br::478b7e33-b1f4-446f-a9f5-eb87a1bb6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375"/>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AA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51"/>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1F766D"/>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3A"/>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654"/>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276"/>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49C"/>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48"/>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2F92"/>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97442"/>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77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9C9"/>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A8F"/>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2D3"/>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1A5"/>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9BE"/>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3D27"/>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3E0B"/>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5A9"/>
    <w:rsid w:val="007F26D4"/>
    <w:rsid w:val="007F372D"/>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6C9"/>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1CF2"/>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9F7EDB"/>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6D6"/>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510"/>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E25"/>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7F2"/>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8AE"/>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210"/>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C2C"/>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0D42"/>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A8"/>
    <w:rsid w:val="00DD43D1"/>
    <w:rsid w:val="00DD45D6"/>
    <w:rsid w:val="00DD4A9D"/>
    <w:rsid w:val="00DD51FE"/>
    <w:rsid w:val="00DD5640"/>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53"/>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1D82"/>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411"/>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0C2"/>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97947859">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65861194">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87293032">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9872628">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78299055">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08467898">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45977277">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ddlFundos$_ctl0$Linkbutton2','')" TargetMode="Externa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javascript:__doPostBack('ddlFundos$_ctl0$lnkbtn1','')" TargetMode="Externa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4.xml><?xml version="1.0" encoding="utf-8"?>
<ds:datastoreItem xmlns:ds="http://schemas.openxmlformats.org/officeDocument/2006/customXml" ds:itemID="{B8F46EC0-CDEC-406A-B38C-9A6019E0C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110</Pages>
  <Words>50445</Words>
  <Characters>272404</Characters>
  <Application>Microsoft Office Word</Application>
  <DocSecurity>0</DocSecurity>
  <Lines>2270</Lines>
  <Paragraphs>644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322205</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3</cp:revision>
  <cp:lastPrinted>2022-04-18T18:06:00Z</cp:lastPrinted>
  <dcterms:created xsi:type="dcterms:W3CDTF">2022-04-19T15:19:00Z</dcterms:created>
  <dcterms:modified xsi:type="dcterms:W3CDTF">2022-04-19T15:27:00Z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