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D316B"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CD316B">
        <w:rPr>
          <w:rFonts w:ascii="Calibri" w:hAnsi="Calibri"/>
          <w:b/>
          <w:bCs/>
          <w:color w:val="000000" w:themeColor="text1"/>
          <w:highlight w:val="yellow"/>
          <w:lang w:val="pt-BR"/>
        </w:rPr>
        <w:t>[=]</w:t>
      </w:r>
      <w:r w:rsidR="00CB5241" w:rsidRPr="00AA4C81">
        <w:rPr>
          <w:rFonts w:asciiTheme="minorHAnsi" w:hAnsiTheme="minorHAnsi" w:cstheme="minorHAnsi"/>
          <w:lang w:val="pt-BR"/>
        </w:rPr>
        <w:t>,</w:t>
      </w:r>
      <w:r w:rsidR="00E941AD" w:rsidRPr="00AA4C81">
        <w:rPr>
          <w:rFonts w:asciiTheme="minorHAnsi" w:hAnsiTheme="minorHAnsi" w:cstheme="minorHAnsi"/>
          <w:lang w:val="pt-BR"/>
        </w:rPr>
        <w:t xml:space="preserve"> </w:t>
      </w:r>
      <w:r w:rsidR="00E941AD" w:rsidRPr="00973E40">
        <w:rPr>
          <w:rFonts w:ascii="Calibri" w:eastAsia="SimSun" w:hAnsi="Calibri"/>
          <w:bCs/>
          <w:lang w:val="pt-BR"/>
        </w:rPr>
        <w:t xml:space="preserve">sociedade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com sede na cidade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Estado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na</w:t>
      </w:r>
      <w:r>
        <w:rPr>
          <w:rFonts w:ascii="Calibri" w:eastAsia="SimSun" w:hAnsi="Calibri"/>
          <w:bCs/>
          <w:lang w:val="pt-BR"/>
        </w:rPr>
        <w:t xml:space="preserve"> </w:t>
      </w:r>
      <w:r w:rsidRPr="0001414B">
        <w:rPr>
          <w:rFonts w:ascii="Calibri" w:hAnsi="Calibri"/>
          <w:bCs/>
          <w:color w:val="000000" w:themeColor="text1"/>
          <w:highlight w:val="yellow"/>
          <w:lang w:val="pt-BR"/>
        </w:rPr>
        <w:t>[=]</w:t>
      </w:r>
      <w:r w:rsidR="00CB5241" w:rsidRPr="00AA4C81">
        <w:rPr>
          <w:rFonts w:asciiTheme="minorHAnsi" w:hAnsiTheme="minorHAnsi" w:cstheme="minorHAnsi"/>
          <w:lang w:val="pt-BR"/>
        </w:rPr>
        <w:t xml:space="preserve">, </w:t>
      </w:r>
      <w:r w:rsidR="00D80E4C" w:rsidRPr="00AA4C81">
        <w:rPr>
          <w:rFonts w:asciiTheme="minorHAnsi" w:hAnsiTheme="minorHAnsi" w:cstheme="minorHAnsi"/>
          <w:lang w:val="pt-BR"/>
        </w:rPr>
        <w:t xml:space="preserve">inscrita </w:t>
      </w:r>
      <w:r w:rsidR="00CB5241" w:rsidRPr="00AA4C81">
        <w:rPr>
          <w:rFonts w:asciiTheme="minorHAnsi" w:hAnsiTheme="minorHAnsi" w:cstheme="minorHAnsi"/>
          <w:lang w:val="pt-BR"/>
        </w:rPr>
        <w:t xml:space="preserve">no Cadastro Nacional da Pessoa Jurídica do Ministério da </w:t>
      </w:r>
      <w:r w:rsidR="004056D9" w:rsidRPr="004056D9">
        <w:rPr>
          <w:rFonts w:asciiTheme="minorHAnsi" w:hAnsiTheme="minorHAnsi"/>
          <w:lang w:val="pt-BR"/>
        </w:rPr>
        <w:t>Economia, Fazenda e Planejamento (“</w:t>
      </w:r>
      <w:r w:rsidR="004056D9" w:rsidRPr="004056D9">
        <w:rPr>
          <w:rFonts w:asciiTheme="minorHAnsi" w:hAnsiTheme="minorHAnsi"/>
          <w:u w:val="single"/>
          <w:lang w:val="pt-BR"/>
        </w:rPr>
        <w:t>CNPJ/ME</w:t>
      </w:r>
      <w:r w:rsidR="004056D9" w:rsidRPr="004056D9">
        <w:rPr>
          <w:rFonts w:asciiTheme="minorHAnsi" w:hAnsiTheme="minorHAnsi"/>
          <w:lang w:val="pt-BR"/>
        </w:rPr>
        <w:t xml:space="preserve">”) </w:t>
      </w:r>
      <w:r w:rsidR="00CB5241" w:rsidRPr="004056D9">
        <w:rPr>
          <w:rFonts w:asciiTheme="minorHAnsi" w:hAnsiTheme="minorHAnsi" w:cstheme="minorHAnsi"/>
          <w:lang w:val="pt-BR"/>
        </w:rPr>
        <w:t xml:space="preserve">sob o nº </w:t>
      </w:r>
      <w:r w:rsidRPr="004056D9">
        <w:rPr>
          <w:rFonts w:ascii="Calibri" w:hAnsi="Calibri"/>
          <w:bCs/>
          <w:color w:val="000000" w:themeColor="text1"/>
          <w:highlight w:val="yellow"/>
          <w:lang w:val="pt-BR"/>
        </w:rPr>
        <w:t>[=]</w:t>
      </w:r>
      <w:r w:rsidR="00CB5241" w:rsidRPr="004056D9">
        <w:rPr>
          <w:rFonts w:asciiTheme="minorHAnsi" w:hAnsiTheme="minorHAnsi" w:cstheme="minorHAnsi"/>
          <w:lang w:val="pt-BR"/>
        </w:rPr>
        <w:t>,</w:t>
      </w:r>
      <w:r w:rsidR="004056D9">
        <w:rPr>
          <w:rFonts w:asciiTheme="minorHAnsi" w:hAnsiTheme="minorHAnsi" w:cstheme="minorHAnsi"/>
          <w:lang w:val="pt-BR"/>
        </w:rPr>
        <w:t xml:space="preserve"> </w:t>
      </w:r>
      <w:r w:rsidR="00CB5241" w:rsidRPr="00AA4C81">
        <w:rPr>
          <w:rFonts w:asciiTheme="minorHAnsi" w:hAnsiTheme="minorHAnsi" w:cstheme="minorHAnsi"/>
          <w:lang w:val="pt-BR"/>
        </w:rPr>
        <w:t xml:space="preserve">neste ato representado na forma de seu </w:t>
      </w:r>
      <w:r w:rsidR="00D80E4C" w:rsidRPr="00973E40">
        <w:rPr>
          <w:rFonts w:asciiTheme="minorHAnsi" w:hAnsiTheme="minorHAnsi" w:cstheme="minorHAnsi"/>
          <w:lang w:val="pt-BR"/>
        </w:rPr>
        <w:t>Contrato</w:t>
      </w:r>
      <w:r w:rsidR="00CB5241" w:rsidRPr="00AA4C81">
        <w:rPr>
          <w:rFonts w:asciiTheme="minorHAnsi" w:hAnsiTheme="minorHAnsi" w:cstheme="minorHAnsi"/>
          <w:lang w:val="pt-BR"/>
        </w:rPr>
        <w:t xml:space="preserve"> Social (adiante designado</w:t>
      </w:r>
      <w:r w:rsidR="00CB5241" w:rsidRPr="00AD50AD">
        <w:rPr>
          <w:rFonts w:asciiTheme="minorHAnsi" w:hAnsiTheme="minorHAnsi" w:cstheme="minorHAnsi"/>
          <w:lang w:val="pt-BR"/>
        </w:rPr>
        <w:t xml:space="preserve"> simplesmente como “</w:t>
      </w:r>
      <w:r w:rsidR="00CB5241" w:rsidRPr="00AD50AD">
        <w:rPr>
          <w:rFonts w:asciiTheme="minorHAnsi" w:hAnsiTheme="minorHAnsi" w:cstheme="minorHAnsi"/>
          <w:u w:val="single"/>
          <w:lang w:val="pt-BR"/>
        </w:rPr>
        <w:t>Cedente</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de outro lado, como cessionária:</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AD50AD" w:rsidRDefault="00CB5241" w:rsidP="0028590D">
      <w:pPr>
        <w:pStyle w:val="Corpodetexto"/>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e,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w:t>
      </w:r>
      <w:r w:rsidR="00CB5241" w:rsidRPr="00655D19">
        <w:rPr>
          <w:rFonts w:asciiTheme="minorHAnsi" w:hAnsiTheme="minorHAnsi" w:cstheme="minorHAnsi"/>
          <w:lang w:val="pt-BR"/>
        </w:rPr>
        <w:lastRenderedPageBreak/>
        <w:t xml:space="preserve">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rsidR="0052581C" w:rsidRPr="00655D19"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jc w:val="both"/>
        <w:rPr>
          <w:rFonts w:asciiTheme="minorHAnsi" w:hAnsiTheme="minorHAnsi" w:cstheme="minorHAnsi"/>
          <w:lang w:val="pt-BR"/>
        </w:rPr>
      </w:pPr>
      <w:r w:rsidRPr="00655D19">
        <w:rPr>
          <w:rFonts w:asciiTheme="minorHAnsi" w:hAnsiTheme="minorHAnsi" w:cstheme="minorHAnsi"/>
          <w:lang w:val="pt-BR"/>
        </w:rPr>
        <w:t>e,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p>
    <w:p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t>0</w:t>
      </w:r>
      <w:r w:rsidR="00CD31ED" w:rsidRPr="00836B36">
        <w:rPr>
          <w:rFonts w:asciiTheme="minorHAnsi" w:hAnsiTheme="minorHAnsi" w:cstheme="minorHAnsi"/>
          <w:lang w:val="pt-BR"/>
        </w:rPr>
        <w:t xml:space="preserve">5, neste ato representada 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lastRenderedPageBreak/>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Alphaville Sain’t Anna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lastRenderedPageBreak/>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Trad,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highlight w:val="yellow"/>
          <w:lang w:val="pt-BR"/>
        </w:rPr>
        <w:t>[=]</w:t>
      </w:r>
      <w:r w:rsidR="00327DC1">
        <w:rPr>
          <w:rFonts w:asciiTheme="minorHAnsi" w:hAnsiTheme="minorHAnsi" w:cstheme="minorHAnsi"/>
          <w:b/>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nº 8.501, 3º andar, CEP 05425-070, inscrita no CNPJ/ME sob o nº 15.315.412/0001-98, neste ato 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 xml:space="preserve">ALPHAVILLE JUIZ DE FORA EMPREENDIMENTOS IMOBILIÁRIOS </w:t>
      </w:r>
      <w:r w:rsidRPr="001A2703">
        <w:rPr>
          <w:rFonts w:asciiTheme="minorHAnsi" w:hAnsiTheme="minorHAnsi" w:cstheme="minorHAnsi"/>
          <w:b/>
          <w:lang w:val="pt-BR"/>
        </w:rPr>
        <w:lastRenderedPageBreak/>
        <w:t>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highlight w:val="yellow"/>
          <w:lang w:val="pt-BR"/>
        </w:rPr>
        <w:t>[=]</w:t>
      </w:r>
      <w:r w:rsidR="001A2703">
        <w:rPr>
          <w:rFonts w:asciiTheme="minorHAnsi" w:hAnsiTheme="minorHAnsi" w:cstheme="minorHAnsi"/>
          <w:b/>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lastRenderedPageBreak/>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highlight w:val="yellow"/>
          <w:lang w:val="pt-BR"/>
        </w:rPr>
        <w:t>[=]</w:t>
      </w:r>
      <w:r w:rsidR="001A2703"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highlight w:val="yellow"/>
          <w:lang w:val="pt-BR"/>
        </w:rPr>
        <w:t>[=]</w:t>
      </w:r>
      <w:r w:rsidR="001A2703"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highlight w:val="yellow"/>
          <w:lang w:val="pt-BR"/>
        </w:rPr>
        <w:t>[=]</w:t>
      </w:r>
      <w:r w:rsidR="001A2703"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lastRenderedPageBreak/>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sede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 xml:space="preserve">ALPHAVILLE LITORAL NORTE EMPREENDIMENTOS IMOBILIÁRIOS </w:t>
      </w:r>
      <w:r w:rsidRPr="001A2703">
        <w:rPr>
          <w:rFonts w:asciiTheme="minorHAnsi" w:hAnsiTheme="minorHAnsi" w:cstheme="minorHAnsi"/>
          <w:b/>
          <w:lang w:val="pt-BR"/>
        </w:rPr>
        <w:lastRenderedPageBreak/>
        <w:t>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highlight w:val="yellow"/>
          <w:lang w:val="pt-BR"/>
        </w:rPr>
        <w:t>[=]</w:t>
      </w:r>
      <w:r w:rsidR="001A2703">
        <w:rPr>
          <w:rFonts w:asciiTheme="minorHAnsi" w:hAnsiTheme="minorHAnsi" w:cstheme="minorHAnsi"/>
          <w:b/>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Sain’t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Pelotas</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Sergipe</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Juiz de Fora</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Nova Esplanada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Porto Alegre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D. Pedro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SPE 21 Linhares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Manaus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Belém</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Mossoró</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Ceará SPE 2</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Bauru Terras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 Anápolis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Litoral Norte</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Gravataí</w:t>
      </w:r>
      <w:r w:rsidR="00F8314F">
        <w:rPr>
          <w:rFonts w:asciiTheme="minorHAnsi" w:hAnsiTheme="minorHAnsi" w:cstheme="minorHAnsi"/>
          <w:lang w:val="pt-BR"/>
        </w:rPr>
        <w:t xml:space="preserve"> e </w:t>
      </w:r>
      <w:r w:rsidR="00F8314F" w:rsidRPr="00F8314F">
        <w:rPr>
          <w:rFonts w:asciiTheme="minorHAnsi" w:hAnsiTheme="minorHAnsi" w:cstheme="minorHAnsi"/>
          <w:highlight w:val="yellow"/>
          <w:lang w:val="pt-BR"/>
        </w:rPr>
        <w:t>[=]</w:t>
      </w:r>
      <w:r w:rsidR="00F8314F">
        <w:rPr>
          <w:rFonts w:asciiTheme="minorHAnsi" w:hAnsiTheme="minorHAnsi" w:cstheme="minorHAnsi"/>
          <w:lang w:val="pt-BR"/>
        </w:rPr>
        <w:t xml:space="preserve">, </w:t>
      </w:r>
      <w:r w:rsidR="00CB5241" w:rsidRPr="00F8314F">
        <w:rPr>
          <w:rFonts w:asciiTheme="minorHAnsi" w:hAnsiTheme="minorHAnsi" w:cstheme="minorHAnsi"/>
          <w:lang w:val="pt-BR"/>
        </w:rPr>
        <w:t>adiante designada</w:t>
      </w:r>
      <w:r w:rsidR="00F8314F">
        <w:rPr>
          <w:rFonts w:asciiTheme="minorHAnsi" w:hAnsiTheme="minorHAnsi" w:cstheme="minorHAnsi"/>
          <w:lang w:val="pt-BR"/>
        </w:rPr>
        <w:t>s</w:t>
      </w:r>
      <w:r w:rsidR="00CB5241" w:rsidRPr="00F8314F">
        <w:rPr>
          <w:rFonts w:asciiTheme="minorHAnsi" w:hAnsiTheme="minorHAnsi" w:cstheme="minorHAnsi"/>
          <w:lang w:val="pt-BR"/>
        </w:rPr>
        <w:t xml:space="preserve"> simplesmente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rsidR="0052581C" w:rsidRDefault="0052581C" w:rsidP="00AD50AD">
      <w:pPr>
        <w:pStyle w:val="Corpodetexto"/>
        <w:spacing w:line="320" w:lineRule="exact"/>
        <w:contextualSpacing/>
        <w:rPr>
          <w:rFonts w:asciiTheme="minorHAnsi" w:hAnsiTheme="minorHAnsi" w:cstheme="minorHAnsi"/>
          <w:lang w:val="pt-BR"/>
        </w:rPr>
      </w:pPr>
    </w:p>
    <w:p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rsidR="0052581C" w:rsidRPr="00655D19"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Pr="00AA4C81">
        <w:rPr>
          <w:rFonts w:asciiTheme="minorHAnsi" w:hAnsiTheme="minorHAnsi" w:cstheme="minorHAnsi"/>
          <w:lang w:val="pt-BR"/>
        </w:rPr>
        <w:t>, a Devedora emitiu</w:t>
      </w:r>
      <w:r w:rsidR="002D30C9" w:rsidRPr="00AA4C81">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00DA36C4">
        <w:rPr>
          <w:rFonts w:asciiTheme="minorHAnsi" w:hAnsiTheme="minorHAnsi" w:cstheme="minorHAnsi"/>
          <w:highlight w:val="yellow"/>
          <w:lang w:val="pt-BR"/>
        </w:rPr>
        <w:t>100.000</w:t>
      </w:r>
      <w:r w:rsidR="00DA36C4" w:rsidRPr="00DA36C4">
        <w:rPr>
          <w:rFonts w:asciiTheme="minorHAnsi" w:hAnsiTheme="minorHAnsi" w:cstheme="minorHAnsi"/>
          <w:highlight w:val="yellow"/>
          <w:lang w:val="pt-BR"/>
        </w:rPr>
        <w:t>]</w:t>
      </w:r>
      <w:r w:rsidR="002D30C9" w:rsidRPr="00AA4C81">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00DA36C4">
        <w:rPr>
          <w:rFonts w:asciiTheme="minorHAnsi" w:hAnsiTheme="minorHAnsi" w:cstheme="minorHAnsi"/>
          <w:highlight w:val="yellow"/>
          <w:lang w:val="pt-BR"/>
        </w:rPr>
        <w:t>cem</w:t>
      </w:r>
      <w:r w:rsidR="00DA36C4" w:rsidRPr="00DA36C4">
        <w:rPr>
          <w:rFonts w:asciiTheme="minorHAnsi" w:hAnsiTheme="minorHAnsi" w:cstheme="minorHAnsi"/>
          <w:highlight w:val="yellow"/>
          <w:lang w:val="pt-BR"/>
        </w:rPr>
        <w:t>]</w:t>
      </w:r>
      <w:r w:rsidR="00DA36C4">
        <w:rPr>
          <w:rFonts w:asciiTheme="minorHAnsi" w:hAnsiTheme="minorHAnsi" w:cstheme="minorHAnsi"/>
          <w:lang w:val="pt-BR"/>
        </w:rPr>
        <w:t xml:space="preserve"> </w:t>
      </w:r>
      <w:r w:rsidR="00AE1908" w:rsidRPr="00AA4C81">
        <w:rPr>
          <w:rFonts w:asciiTheme="minorHAnsi" w:hAnsiTheme="minorHAnsi" w:cstheme="minorHAnsi"/>
          <w:lang w:val="pt-BR"/>
        </w:rPr>
        <w:t>mil</w:t>
      </w:r>
      <w:r w:rsidR="002D30C9" w:rsidRPr="00AA4C81">
        <w:rPr>
          <w:rFonts w:asciiTheme="minorHAnsi" w:hAnsiTheme="minorHAnsi" w:cstheme="minorHAnsi"/>
          <w:lang w:val="pt-BR"/>
        </w:rPr>
        <w:t>) debêntures simples, não conversíveis em ações, da espécie quirografária, em série única, no valor total de R$</w:t>
      </w:r>
      <w:r w:rsidR="00DA36C4">
        <w:rPr>
          <w:rFonts w:asciiTheme="minorHAnsi" w:hAnsiTheme="minorHAnsi" w:cstheme="minorHAnsi"/>
          <w:lang w:val="pt-BR"/>
        </w:rPr>
        <w:t>10</w:t>
      </w:r>
      <w:r w:rsidR="008F45C5" w:rsidRPr="00AA4C81">
        <w:rPr>
          <w:rFonts w:asciiTheme="minorHAnsi" w:hAnsiTheme="minorHAnsi" w:cstheme="minorHAnsi"/>
          <w:lang w:val="pt-BR"/>
        </w:rPr>
        <w:t>0.000.000,00 (</w:t>
      </w:r>
      <w:r w:rsidR="00DA36C4">
        <w:rPr>
          <w:rFonts w:asciiTheme="minorHAnsi" w:hAnsiTheme="minorHAnsi" w:cstheme="minorHAnsi"/>
          <w:lang w:val="pt-BR"/>
        </w:rPr>
        <w:t xml:space="preserve">cem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E3724F" w:rsidRPr="00AA4C81">
        <w:rPr>
          <w:rFonts w:asciiTheme="minorHAnsi" w:hAnsiTheme="minorHAnsi" w:cstheme="minorHAnsi"/>
          <w:lang w:val="pt-BR"/>
        </w:rPr>
        <w:t xml:space="preserve"> </w:t>
      </w:r>
      <w:r w:rsidRPr="00AA4C81">
        <w:rPr>
          <w:rFonts w:asciiTheme="minorHAnsi" w:hAnsiTheme="minorHAnsi" w:cstheme="minorHAnsi"/>
          <w:lang w:val="pt-BR"/>
        </w:rPr>
        <w:t>residencia</w:t>
      </w:r>
      <w:r w:rsidR="00625D44" w:rsidRPr="00AA4C81">
        <w:rPr>
          <w:rFonts w:asciiTheme="minorHAnsi" w:hAnsiTheme="minorHAnsi" w:cstheme="minorHAnsi"/>
          <w:lang w:val="pt-BR"/>
        </w:rPr>
        <w:t>l</w:t>
      </w:r>
      <w:r w:rsidR="00911F36" w:rsidRPr="00AA4C81">
        <w:rPr>
          <w:rFonts w:asciiTheme="minorHAnsi" w:hAnsiTheme="minorHAnsi" w:cstheme="minorHAnsi"/>
          <w:lang w:val="pt-BR"/>
        </w:rPr>
        <w:t xml:space="preserve"> denominado </w:t>
      </w:r>
      <w:r w:rsidR="006F2F19" w:rsidRPr="00AA4C81">
        <w:rPr>
          <w:rFonts w:asciiTheme="minorHAnsi" w:hAnsiTheme="minorHAnsi" w:cstheme="minorHAnsi"/>
          <w:lang w:val="pt-BR"/>
        </w:rPr>
        <w:t>“</w:t>
      </w:r>
      <w:r w:rsidR="00DA36C4" w:rsidRPr="00DA36C4">
        <w:rPr>
          <w:rFonts w:asciiTheme="minorHAnsi" w:hAnsiTheme="minorHAnsi" w:cstheme="minorHAnsi"/>
          <w:highlight w:val="yellow"/>
          <w:lang w:val="pt-BR"/>
        </w:rPr>
        <w:t>[=]</w:t>
      </w:r>
      <w:r w:rsidR="006F2F19" w:rsidRPr="00AA4C81">
        <w:rPr>
          <w:rFonts w:asciiTheme="minorHAnsi" w:hAnsiTheme="minorHAnsi" w:cstheme="minorHAnsi"/>
          <w:lang w:val="pt-BR"/>
        </w:rPr>
        <w:t>”</w:t>
      </w:r>
      <w:r w:rsidR="00625D44" w:rsidRPr="00AA4C81" w:rsidDel="00625D44">
        <w:rPr>
          <w:rFonts w:asciiTheme="minorHAnsi" w:hAnsiTheme="minorHAnsi" w:cstheme="minorHAnsi"/>
          <w:lang w:val="pt-BR"/>
        </w:rPr>
        <w:t xml:space="preserv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 Alvo</w:t>
      </w:r>
      <w:r w:rsidRPr="00AA4C81">
        <w:rPr>
          <w:rFonts w:asciiTheme="minorHAnsi" w:hAnsiTheme="minorHAnsi" w:cstheme="minorHAnsi"/>
          <w:lang w:val="pt-BR"/>
        </w:rPr>
        <w:t>”); o Em</w:t>
      </w:r>
      <w:r w:rsidRPr="00AD50AD">
        <w:rPr>
          <w:rFonts w:asciiTheme="minorHAnsi" w:hAnsiTheme="minorHAnsi" w:cstheme="minorHAnsi"/>
          <w:lang w:val="pt-BR"/>
        </w:rPr>
        <w:t>preendimento Alvo est</w:t>
      </w:r>
      <w:r w:rsidR="00625D44">
        <w:rPr>
          <w:rFonts w:asciiTheme="minorHAnsi" w:hAnsiTheme="minorHAnsi" w:cstheme="minorHAnsi"/>
          <w:lang w:val="pt-BR"/>
        </w:rPr>
        <w:t>á</w:t>
      </w:r>
      <w:r w:rsidRPr="00AD50AD">
        <w:rPr>
          <w:rFonts w:asciiTheme="minorHAnsi" w:hAnsiTheme="minorHAnsi" w:cstheme="minorHAnsi"/>
          <w:lang w:val="pt-BR"/>
        </w:rPr>
        <w:t xml:space="preserve"> devidamente identificado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w:t>
      </w:r>
      <w:r w:rsidRPr="008F45C5">
        <w:rPr>
          <w:rFonts w:asciiTheme="minorHAnsi" w:hAnsiTheme="minorHAnsi" w:cstheme="minorHAnsi"/>
          <w:lang w:val="pt-BR"/>
        </w:rPr>
        <w:t>s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w:t>
      </w:r>
      <w:r w:rsidRPr="008F45C5">
        <w:rPr>
          <w:rFonts w:asciiTheme="minorHAnsi" w:hAnsiTheme="minorHAnsi" w:cstheme="minorHAnsi"/>
          <w:lang w:val="pt-BR"/>
        </w:rPr>
        <w:lastRenderedPageBreak/>
        <w:t>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F80A0A">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F80A0A">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os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A6A06" w:rsidRPr="00EA6A06"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Simplific Pavarini DTVM Ltda.</w:t>
      </w:r>
      <w:r w:rsidRPr="00EA6A06">
        <w:rPr>
          <w:rFonts w:asciiTheme="minorHAnsi" w:hAnsiTheme="minorHAnsi" w:cstheme="minorHAnsi"/>
          <w:lang w:val="pt-BR"/>
        </w:rPr>
        <w:t xml:space="preserve">, </w:t>
      </w:r>
      <w:r w:rsidR="00D168F1" w:rsidRPr="00D168F1">
        <w:rPr>
          <w:rFonts w:asciiTheme="minorHAnsi" w:hAnsiTheme="minorHAnsi" w:cstheme="minorHAnsi"/>
          <w:highlight w:val="yellow"/>
          <w:lang w:val="pt-BR"/>
        </w:rPr>
        <w:t>[qualificação completa]</w:t>
      </w:r>
      <w:r w:rsidRPr="00EA6A06">
        <w:rPr>
          <w:rFonts w:asciiTheme="minorHAnsi" w:hAnsiTheme="minorHAnsi" w:cstheme="minorHAnsi"/>
          <w:lang w:val="pt-BR"/>
        </w:rPr>
        <w:t xml:space="preserve">, </w:t>
      </w:r>
      <w:r w:rsidR="003351FD">
        <w:rPr>
          <w:rFonts w:asciiTheme="minorHAnsi" w:hAnsiTheme="minorHAnsi" w:cstheme="minorHAnsi"/>
          <w:lang w:val="pt-BR"/>
        </w:rPr>
        <w:t xml:space="preserve">foi nomeada como </w:t>
      </w:r>
      <w:r w:rsidRPr="00EA6A06">
        <w:rPr>
          <w:rFonts w:asciiTheme="minorHAnsi" w:hAnsiTheme="minorHAnsi" w:cstheme="minorHAnsi"/>
          <w:lang w:val="pt-BR"/>
        </w:rPr>
        <w:t>instituição custodiante da CCI (“</w:t>
      </w:r>
      <w:r w:rsidRPr="00EA6A06">
        <w:rPr>
          <w:rFonts w:asciiTheme="minorHAnsi" w:hAnsiTheme="minorHAnsi" w:cstheme="minorHAnsi"/>
          <w:u w:val="single"/>
          <w:lang w:val="pt-BR"/>
        </w:rPr>
        <w:t>Instituição Custodiante da</w:t>
      </w:r>
      <w:r w:rsidRPr="00EA6A06">
        <w:rPr>
          <w:rFonts w:asciiTheme="minorHAnsi" w:hAnsiTheme="minorHAnsi" w:cstheme="minorHAnsi"/>
          <w:spacing w:val="-17"/>
          <w:u w:val="single"/>
          <w:lang w:val="pt-BR"/>
        </w:rPr>
        <w:t xml:space="preserve"> </w:t>
      </w:r>
      <w:r w:rsidRPr="00EA6A06">
        <w:rPr>
          <w:rFonts w:asciiTheme="minorHAnsi" w:hAnsiTheme="minorHAnsi" w:cstheme="minorHAnsi"/>
          <w:u w:val="single"/>
          <w:lang w:val="pt-BR"/>
        </w:rPr>
        <w:t>CCI</w:t>
      </w:r>
      <w:r w:rsidRPr="00EA6A06">
        <w:rPr>
          <w:rFonts w:asciiTheme="minorHAnsi" w:hAnsiTheme="minorHAnsi" w:cstheme="minorHAnsi"/>
          <w:lang w:val="pt-BR"/>
        </w:rPr>
        <w:t>”);</w:t>
      </w:r>
    </w:p>
    <w:p w:rsidR="00EA6A06" w:rsidRPr="00EA6A06" w:rsidRDefault="00EA6A06" w:rsidP="00EA6A06">
      <w:pPr>
        <w:pStyle w:val="PargrafodaLista"/>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pretende vincular os Créditos Imobiliários, representados pela CCI, aos Certificados de Recebíveis Imobiliários </w:t>
      </w:r>
      <w:r w:rsidRPr="00645D0C">
        <w:rPr>
          <w:rFonts w:asciiTheme="minorHAnsi" w:hAnsiTheme="minorHAnsi" w:cstheme="minorHAnsi"/>
          <w:lang w:val="pt-BR"/>
        </w:rPr>
        <w:t xml:space="preserve">da </w:t>
      </w:r>
      <w:r w:rsidR="00D168F1" w:rsidRPr="00D168F1">
        <w:rPr>
          <w:rFonts w:asciiTheme="minorHAnsi" w:hAnsiTheme="minorHAnsi" w:cstheme="minorHAnsi"/>
          <w:highlight w:val="yellow"/>
          <w:lang w:val="pt-BR"/>
        </w:rPr>
        <w:t>[=]</w:t>
      </w:r>
      <w:r w:rsidR="00EA6A06" w:rsidRPr="00645D0C">
        <w:rPr>
          <w:rFonts w:asciiTheme="minorHAnsi" w:hAnsiTheme="minorHAnsi" w:cstheme="minorHAnsi"/>
          <w:lang w:val="pt-BR"/>
        </w:rPr>
        <w:t xml:space="preserve">ª </w:t>
      </w:r>
      <w:r w:rsidRPr="00645D0C">
        <w:rPr>
          <w:rFonts w:asciiTheme="minorHAnsi" w:hAnsiTheme="minorHAnsi" w:cstheme="minorHAnsi"/>
          <w:lang w:val="pt-BR"/>
        </w:rPr>
        <w:t>Série</w:t>
      </w:r>
      <w:r w:rsidRPr="00AD50AD">
        <w:rPr>
          <w:rFonts w:asciiTheme="minorHAnsi" w:hAnsiTheme="minorHAnsi" w:cstheme="minorHAnsi"/>
          <w:lang w:val="pt-BR"/>
        </w:rPr>
        <w:t xml:space="preserve"> da sua </w:t>
      </w:r>
      <w:r w:rsidR="00D168F1" w:rsidRPr="00D168F1">
        <w:rPr>
          <w:rFonts w:asciiTheme="minorHAnsi" w:hAnsiTheme="minorHAnsi" w:cstheme="minorHAnsi"/>
          <w:highlight w:val="yellow"/>
          <w:lang w:val="pt-BR"/>
        </w:rPr>
        <w:t>[=]</w:t>
      </w:r>
      <w:r w:rsidRPr="00AD50AD">
        <w:rPr>
          <w:rFonts w:asciiTheme="minorHAnsi" w:hAnsiTheme="minorHAnsi" w:cstheme="minorHAnsi"/>
          <w:lang w:val="pt-BR"/>
        </w:rPr>
        <w:t>ª Emissão (“</w:t>
      </w:r>
      <w:r w:rsidRPr="00AD50AD">
        <w:rPr>
          <w:rFonts w:asciiTheme="minorHAnsi" w:hAnsiTheme="minorHAnsi" w:cstheme="minorHAnsi"/>
          <w:u w:val="single"/>
          <w:lang w:val="pt-BR"/>
        </w:rPr>
        <w:t>CRI</w:t>
      </w:r>
      <w:r w:rsidRPr="00AD50AD">
        <w:rPr>
          <w:rFonts w:asciiTheme="minorHAnsi" w:hAnsiTheme="minorHAnsi" w:cstheme="minorHAnsi"/>
          <w:lang w:val="pt-BR"/>
        </w:rPr>
        <w:t>” e “</w:t>
      </w:r>
      <w:r w:rsidRPr="00AD50AD">
        <w:rPr>
          <w:rFonts w:asciiTheme="minorHAnsi" w:hAnsiTheme="minorHAnsi" w:cstheme="minorHAnsi"/>
          <w:u w:val="single"/>
          <w:lang w:val="pt-BR"/>
        </w:rPr>
        <w:t>Emissão dos CRI</w:t>
      </w:r>
      <w:r w:rsidRPr="00AD50AD">
        <w:rPr>
          <w:rFonts w:asciiTheme="minorHAnsi" w:hAnsiTheme="minorHAnsi" w:cstheme="minorHAnsi"/>
          <w:lang w:val="pt-BR"/>
        </w:rPr>
        <w:t xml:space="preserve">”, respectivamente), conforme </w:t>
      </w:r>
      <w:r w:rsidR="00EA6A06">
        <w:rPr>
          <w:rFonts w:asciiTheme="minorHAnsi" w:hAnsiTheme="minorHAnsi" w:cstheme="minorHAnsi"/>
          <w:lang w:val="pt-BR"/>
        </w:rPr>
        <w:t>“</w:t>
      </w:r>
      <w:r w:rsidRPr="00AD50AD">
        <w:rPr>
          <w:rFonts w:asciiTheme="minorHAnsi" w:hAnsiTheme="minorHAnsi" w:cstheme="minorHAnsi"/>
          <w:i/>
          <w:lang w:val="pt-BR"/>
        </w:rPr>
        <w:t>Termo de Securitização de Créditos Imobiliários</w:t>
      </w:r>
      <w:r w:rsidR="00EA6A06">
        <w:rPr>
          <w:rFonts w:asciiTheme="minorHAnsi" w:hAnsiTheme="minorHAnsi" w:cstheme="minorHAnsi"/>
          <w:i/>
          <w:lang w:val="pt-BR"/>
        </w:rPr>
        <w:t>”</w:t>
      </w:r>
      <w:r w:rsidRPr="00AD50AD">
        <w:rPr>
          <w:rFonts w:asciiTheme="minorHAnsi" w:hAnsiTheme="minorHAnsi" w:cstheme="minorHAnsi"/>
          <w:lang w:val="pt-BR"/>
        </w:rPr>
        <w:t xml:space="preserve">, celebrado, nesta data, entre a Cessionária, a </w:t>
      </w:r>
      <w:r w:rsidR="00D168F1">
        <w:rPr>
          <w:rFonts w:asciiTheme="minorHAnsi" w:hAnsiTheme="minorHAnsi" w:cstheme="minorHAnsi"/>
          <w:lang w:val="pt-BR"/>
        </w:rPr>
        <w:t>Simplific Pavarini DTVM Ltda</w:t>
      </w:r>
      <w:r w:rsidRPr="00AD50AD">
        <w:rPr>
          <w:rFonts w:asciiTheme="minorHAnsi" w:hAnsiTheme="minorHAnsi" w:cstheme="minorHAnsi"/>
          <w:lang w:val="pt-BR"/>
        </w:rPr>
        <w:t>. (já anteriormente qualificada)</w:t>
      </w:r>
      <w:r w:rsidR="00D168F1">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Agente Fiduciário</w:t>
      </w:r>
      <w:r w:rsidRPr="00AD50AD">
        <w:rPr>
          <w:rFonts w:asciiTheme="minorHAnsi" w:hAnsiTheme="minorHAnsi" w:cstheme="minorHAnsi"/>
          <w:lang w:val="pt-BR"/>
        </w:rPr>
        <w:t>”), na qualidade de agente fiduciário (“</w:t>
      </w:r>
      <w:r w:rsidRPr="00AD50AD">
        <w:rPr>
          <w:rFonts w:asciiTheme="minorHAnsi" w:hAnsiTheme="minorHAnsi" w:cstheme="minorHAnsi"/>
          <w:u w:val="single"/>
          <w:lang w:val="pt-BR"/>
        </w:rPr>
        <w:t>Termo de</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Securitização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os CRI serão objeto de oferta pública de distribuição, com esforços restritos de colocação, nos termos da Instrução CVM nº 476, de 16 de janeiro de 2009 (“</w:t>
      </w:r>
      <w:r w:rsidRPr="00AD50AD">
        <w:rPr>
          <w:rFonts w:asciiTheme="minorHAnsi" w:hAnsiTheme="minorHAnsi" w:cstheme="minorHAnsi"/>
          <w:u w:val="single"/>
          <w:lang w:val="pt-BR"/>
        </w:rPr>
        <w:t>Oferta Restrita</w:t>
      </w:r>
      <w:r w:rsidRPr="00AD50AD">
        <w:rPr>
          <w:rFonts w:asciiTheme="minorHAnsi" w:hAnsiTheme="minorHAnsi" w:cstheme="minorHAnsi"/>
          <w:lang w:val="pt-BR"/>
        </w:rPr>
        <w:t xml:space="preserve">”), a ser intermediada </w:t>
      </w:r>
      <w:r w:rsidR="00EA6A06">
        <w:rPr>
          <w:rFonts w:asciiTheme="minorHAnsi" w:hAnsiTheme="minorHAnsi" w:cstheme="minorHAnsi"/>
          <w:lang w:val="pt-BR"/>
        </w:rPr>
        <w:t>pela</w:t>
      </w:r>
      <w:r w:rsidR="00416299">
        <w:rPr>
          <w:rFonts w:asciiTheme="minorHAnsi" w:hAnsiTheme="minorHAnsi" w:cstheme="minorHAnsi"/>
          <w:lang w:val="pt-BR"/>
        </w:rPr>
        <w:t xml:space="preserve"> CM</w:t>
      </w:r>
      <w:r w:rsidR="00EA6A06">
        <w:rPr>
          <w:rFonts w:asciiTheme="minorHAnsi" w:hAnsiTheme="minorHAnsi" w:cstheme="minorHAnsi"/>
          <w:lang w:val="pt-BR"/>
        </w:rPr>
        <w:t xml:space="preserve"> </w:t>
      </w:r>
      <w:r w:rsidR="00D168F1">
        <w:rPr>
          <w:rFonts w:ascii="Calibri" w:hAnsi="Calibri"/>
          <w:lang w:val="pt-BR"/>
        </w:rPr>
        <w:t>Capital Markets DTVM Ltda</w:t>
      </w:r>
      <w:r w:rsidR="003351FD" w:rsidRPr="003351FD">
        <w:rPr>
          <w:rFonts w:ascii="Calibri" w:hAnsi="Calibri"/>
          <w:lang w:val="pt-BR"/>
        </w:rPr>
        <w:t>.</w:t>
      </w:r>
      <w:r w:rsidR="00EA6A06">
        <w:rPr>
          <w:rFonts w:asciiTheme="minorHAnsi" w:hAnsiTheme="minorHAnsi" w:cstheme="minorHAnsi"/>
          <w:lang w:val="pt-BR"/>
        </w:rPr>
        <w:t xml:space="preserve"> (“</w:t>
      </w:r>
      <w:r w:rsidR="00EA6A06">
        <w:rPr>
          <w:rFonts w:asciiTheme="minorHAnsi" w:hAnsiTheme="minorHAnsi" w:cstheme="minorHAnsi"/>
          <w:u w:val="single"/>
          <w:lang w:val="pt-BR"/>
        </w:rPr>
        <w:t>Coordenador Líder</w:t>
      </w:r>
      <w:r w:rsidR="00EA6A06">
        <w:rPr>
          <w:rFonts w:asciiTheme="minorHAnsi" w:hAnsiTheme="minorHAnsi" w:cstheme="minorHAnsi"/>
          <w:lang w:val="pt-BR"/>
        </w:rPr>
        <w:t>”)</w:t>
      </w:r>
      <w:r w:rsidRPr="00AD50AD">
        <w:rPr>
          <w:rFonts w:asciiTheme="minorHAnsi" w:hAnsiTheme="minorHAnsi" w:cstheme="minorHAnsi"/>
          <w:lang w:val="pt-BR"/>
        </w:rPr>
        <w:t xml:space="preserve">, nos termos do </w:t>
      </w:r>
      <w:r w:rsidR="00EA6A06">
        <w:rPr>
          <w:rFonts w:asciiTheme="minorHAnsi" w:hAnsiTheme="minorHAnsi" w:cstheme="minorHAnsi"/>
          <w:lang w:val="pt-BR"/>
        </w:rPr>
        <w:t>“</w:t>
      </w:r>
      <w:r w:rsidRPr="00AD50AD">
        <w:rPr>
          <w:rFonts w:asciiTheme="minorHAnsi" w:hAnsiTheme="minorHAnsi" w:cstheme="minorHAnsi"/>
          <w:i/>
          <w:lang w:val="pt-BR"/>
        </w:rPr>
        <w:t xml:space="preserve">Contrato de Distribuição Pública com Esforços Restritos, sob o Regime de </w:t>
      </w:r>
      <w:r w:rsidR="003D50B7">
        <w:rPr>
          <w:rFonts w:asciiTheme="minorHAnsi" w:hAnsiTheme="minorHAnsi" w:cstheme="minorHAnsi"/>
          <w:i/>
          <w:lang w:val="pt-BR"/>
        </w:rPr>
        <w:t>Garantia Firme de Colocação</w:t>
      </w:r>
      <w:r w:rsidRPr="00AD50AD">
        <w:rPr>
          <w:rFonts w:asciiTheme="minorHAnsi" w:hAnsiTheme="minorHAnsi" w:cstheme="minorHAnsi"/>
          <w:i/>
          <w:lang w:val="pt-BR"/>
        </w:rPr>
        <w:t xml:space="preserve">, de Certificados de Recebíveis Imobiliários </w:t>
      </w:r>
      <w:r w:rsidRPr="00645D0C">
        <w:rPr>
          <w:rFonts w:asciiTheme="minorHAnsi" w:hAnsiTheme="minorHAnsi" w:cstheme="minorHAnsi"/>
          <w:i/>
          <w:lang w:val="pt-BR"/>
        </w:rPr>
        <w:t xml:space="preserve">da </w:t>
      </w:r>
      <w:r w:rsidR="00D168F1" w:rsidRPr="00D168F1">
        <w:rPr>
          <w:rFonts w:asciiTheme="minorHAnsi" w:hAnsiTheme="minorHAnsi" w:cstheme="minorHAnsi"/>
          <w:i/>
          <w:highlight w:val="yellow"/>
          <w:lang w:val="pt-BR"/>
        </w:rPr>
        <w:t>[=]</w:t>
      </w:r>
      <w:r w:rsidRPr="00645D0C">
        <w:rPr>
          <w:rFonts w:asciiTheme="minorHAnsi" w:hAnsiTheme="minorHAnsi" w:cstheme="minorHAnsi"/>
          <w:i/>
          <w:lang w:val="pt-BR"/>
        </w:rPr>
        <w:t>ª Sér</w:t>
      </w:r>
      <w:r w:rsidRPr="00AD50AD">
        <w:rPr>
          <w:rFonts w:asciiTheme="minorHAnsi" w:hAnsiTheme="minorHAnsi" w:cstheme="minorHAnsi"/>
          <w:i/>
          <w:lang w:val="pt-BR"/>
        </w:rPr>
        <w:t xml:space="preserve">ie da </w:t>
      </w:r>
      <w:r w:rsidR="00D168F1" w:rsidRPr="00D168F1">
        <w:rPr>
          <w:rFonts w:asciiTheme="minorHAnsi" w:hAnsiTheme="minorHAnsi" w:cstheme="minorHAnsi"/>
          <w:i/>
          <w:highlight w:val="yellow"/>
          <w:lang w:val="pt-BR"/>
        </w:rPr>
        <w:t>[=]</w:t>
      </w:r>
      <w:r w:rsidRPr="00AD50AD">
        <w:rPr>
          <w:rFonts w:asciiTheme="minorHAnsi" w:hAnsiTheme="minorHAnsi" w:cstheme="minorHAnsi"/>
          <w:i/>
          <w:lang w:val="pt-BR"/>
        </w:rPr>
        <w:t xml:space="preserve">ª Emissão da </w:t>
      </w:r>
      <w:r w:rsidR="00D168F1">
        <w:rPr>
          <w:rFonts w:asciiTheme="minorHAnsi" w:hAnsiTheme="minorHAnsi" w:cstheme="minorHAnsi"/>
          <w:i/>
          <w:lang w:val="pt-BR"/>
        </w:rPr>
        <w:t>Casa de Pedra Securitizadora</w:t>
      </w:r>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F80A0A">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procedimentos de pagamento dos Créditos Imobiliários; e </w:t>
      </w:r>
      <w:r w:rsidRPr="00AD50AD">
        <w:rPr>
          <w:rFonts w:asciiTheme="minorHAnsi" w:hAnsiTheme="minorHAnsi" w:cstheme="minorHAnsi"/>
          <w:b/>
          <w:lang w:val="pt-BR"/>
        </w:rPr>
        <w:t xml:space="preserve">(iii)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r w:rsidRPr="00AD50AD">
        <w:rPr>
          <w:rFonts w:asciiTheme="minorHAnsi" w:hAnsiTheme="minorHAnsi" w:cstheme="minorHAnsi"/>
          <w:u w:val="single"/>
          <w:lang w:val="pt-BR"/>
        </w:rPr>
        <w:t>Dia(s)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na Escritura de Emissão de CCI e neste Contrato de Cessão, sendo certo que eventual alteração dessas características interferirá no lastro dos CRI</w:t>
      </w:r>
      <w:r w:rsidRPr="00AD50AD">
        <w:rPr>
          <w:rFonts w:asciiTheme="minorHAnsi" w:hAnsiTheme="minorHAnsi" w:cstheme="minorHAnsi"/>
          <w:lang w:val="pt-BR"/>
        </w:rPr>
        <w:t>.</w:t>
      </w:r>
    </w:p>
    <w:p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as </w:t>
      </w:r>
      <w:r w:rsidR="009273CB" w:rsidRPr="00A03631">
        <w:rPr>
          <w:rFonts w:asciiTheme="minorHAnsi" w:hAnsiTheme="minorHAnsi" w:cstheme="minorHAnsi"/>
          <w:lang w:val="pt-BR"/>
        </w:rPr>
        <w:t>Cessões Fiduciárias</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as </w:t>
      </w:r>
      <w:r w:rsidR="009273CB">
        <w:rPr>
          <w:rFonts w:asciiTheme="minorHAnsi" w:hAnsiTheme="minorHAnsi" w:cstheme="minorHAnsi"/>
          <w:lang w:val="pt-BR"/>
        </w:rPr>
        <w:t>Cessões Fiduciárias</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constituem patrimônio separado que não se confunde com o patrimônio da 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manter-se-ão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destinam-se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estão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são passíveis de constituição de garantias ou de excussão por quaisquer credores da Cessionária, por mais privilegiados que sejam</w:t>
      </w:r>
      <w:r w:rsidR="002949BF">
        <w:rPr>
          <w:rFonts w:asciiTheme="minorHAnsi" w:hAnsiTheme="minorHAnsi" w:cstheme="minorHAnsi"/>
          <w:lang w:val="pt-BR"/>
        </w:rPr>
        <w:t>; e</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só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F80A0A">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 xml:space="preserve">(vii)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0"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F80A0A">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630BA7">
        <w:rPr>
          <w:rFonts w:asciiTheme="minorHAnsi" w:hAnsiTheme="minorHAnsi" w:cstheme="minorHAnsi"/>
          <w:lang w:val="pt-BR"/>
        </w:rPr>
        <w:t>10</w:t>
      </w:r>
      <w:r w:rsidR="001347A8">
        <w:rPr>
          <w:rFonts w:asciiTheme="minorHAnsi" w:hAnsiTheme="minorHAnsi" w:cstheme="minorHAnsi"/>
          <w:lang w:val="pt-BR"/>
        </w:rPr>
        <w:t>0.000.000,00</w:t>
      </w:r>
      <w:r w:rsidRPr="00AD50AD">
        <w:rPr>
          <w:rFonts w:asciiTheme="minorHAnsi" w:hAnsiTheme="minorHAnsi" w:cstheme="minorHAnsi"/>
          <w:lang w:val="pt-BR"/>
        </w:rPr>
        <w:t xml:space="preserve"> (</w:t>
      </w:r>
      <w:r w:rsidR="00630BA7">
        <w:rPr>
          <w:rFonts w:asciiTheme="minorHAnsi" w:hAnsiTheme="minorHAnsi" w:cstheme="minorHAnsi"/>
          <w:lang w:val="pt-BR"/>
        </w:rPr>
        <w:t xml:space="preserve">cem </w:t>
      </w:r>
      <w:r w:rsidRPr="00AD50AD">
        <w:rPr>
          <w:rFonts w:asciiTheme="minorHAnsi" w:hAnsiTheme="minorHAnsi" w:cstheme="minorHAnsi"/>
          <w:lang w:val="pt-BR"/>
        </w:rPr>
        <w:t>milhões de reais)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todas as Condições Precedentes (conforme definidas abaixo), </w:t>
      </w:r>
      <w:r w:rsidRPr="00AD50AD">
        <w:rPr>
          <w:rFonts w:asciiTheme="minorHAnsi" w:hAnsiTheme="minorHAnsi" w:cstheme="minorHAnsi"/>
          <w:lang w:val="pt-BR"/>
        </w:rPr>
        <w:t>sendo certo que as obrigações de pagamento da Cessionária, com relação ao Cedente, serão consideradas 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0"/>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 w:name="_Ref513050017"/>
      <w:r w:rsidRPr="00AD50AD">
        <w:rPr>
          <w:rFonts w:asciiTheme="minorHAnsi" w:hAnsiTheme="minorHAnsi" w:cstheme="minorHAnsi"/>
          <w:lang w:val="pt-BR"/>
        </w:rPr>
        <w:t xml:space="preserve">Observado o previsto no respectivo Boletim de Subscrição, o Preço de Aquisição será pago exclusivamente com recursos oriundos da subscrição e integralização dos CRI, que ficará depositado e retido na conta corrente nº </w:t>
      </w:r>
      <w:r w:rsidR="00630BA7" w:rsidRPr="00630BA7">
        <w:rPr>
          <w:rFonts w:ascii="Calibri" w:eastAsia="SimSun" w:hAnsi="Calibri" w:cs="Arial"/>
          <w:bCs/>
          <w:highlight w:val="yellow"/>
          <w:lang w:val="pt-BR"/>
        </w:rPr>
        <w:t>[=]</w:t>
      </w:r>
      <w:r w:rsidRPr="00E43C5B">
        <w:rPr>
          <w:rFonts w:asciiTheme="minorHAnsi" w:hAnsiTheme="minorHAnsi" w:cstheme="minorHAnsi"/>
          <w:lang w:val="pt-BR"/>
        </w:rPr>
        <w:t>, A</w:t>
      </w:r>
      <w:r w:rsidRPr="00AD50AD">
        <w:rPr>
          <w:rFonts w:asciiTheme="minorHAnsi" w:hAnsiTheme="minorHAnsi" w:cstheme="minorHAnsi"/>
          <w:lang w:val="pt-BR"/>
        </w:rPr>
        <w:t xml:space="preserve">gência nº </w:t>
      </w:r>
      <w:r w:rsidR="00630BA7" w:rsidRPr="00630BA7">
        <w:rPr>
          <w:rFonts w:ascii="Calibri" w:eastAsia="SimSun" w:hAnsi="Calibri" w:cs="Arial"/>
          <w:bCs/>
          <w:highlight w:val="yellow"/>
          <w:lang w:val="pt-BR"/>
        </w:rPr>
        <w:t>[=]</w:t>
      </w:r>
      <w:r w:rsidRPr="003D5F0D">
        <w:rPr>
          <w:rFonts w:asciiTheme="minorHAnsi" w:hAnsiTheme="minorHAnsi" w:cstheme="minorHAnsi"/>
          <w:lang w:val="pt-BR"/>
        </w:rPr>
        <w:t>,</w:t>
      </w:r>
      <w:r w:rsidRPr="00AD50AD">
        <w:rPr>
          <w:rFonts w:asciiTheme="minorHAnsi" w:hAnsiTheme="minorHAnsi" w:cstheme="minorHAnsi"/>
          <w:lang w:val="pt-BR"/>
        </w:rPr>
        <w:t xml:space="preserve"> mantida junto ao Banco </w:t>
      </w:r>
      <w:r w:rsidR="00630BA7" w:rsidRPr="00630BA7">
        <w:rPr>
          <w:rFonts w:ascii="Calibri" w:eastAsia="SimSun" w:hAnsi="Calibri" w:cs="Arial"/>
          <w:bCs/>
          <w:highlight w:val="yellow"/>
          <w:lang w:val="pt-BR"/>
        </w:rPr>
        <w:t>[=]</w:t>
      </w:r>
      <w:r w:rsidRPr="00AD50AD">
        <w:rPr>
          <w:rFonts w:asciiTheme="minorHAnsi" w:hAnsiTheme="minorHAnsi" w:cstheme="minorHAnsi"/>
          <w:lang w:val="pt-BR"/>
        </w:rPr>
        <w:t>, de titularidade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F80A0A">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1"/>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 w:name="_Ref513037124"/>
      <w:r w:rsidRPr="00AD50AD">
        <w:rPr>
          <w:rFonts w:asciiTheme="minorHAnsi" w:hAnsiTheme="minorHAnsi" w:cstheme="minorHAnsi"/>
          <w:lang w:val="pt-BR"/>
        </w:rPr>
        <w:t>A Devedora desde já autoriza a Cessionária e o Cedente a deduzirem do Preço de Aquisição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2"/>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 w:name="_Ref513038253"/>
      <w:r w:rsidRPr="00AD50AD">
        <w:rPr>
          <w:rFonts w:asciiTheme="minorHAnsi" w:hAnsiTheme="minorHAnsi" w:cstheme="minorHAnsi"/>
          <w:lang w:val="pt-BR"/>
        </w:rPr>
        <w:t xml:space="preserve">Considerando a dedução dos valores relacionados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F80A0A">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até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Dias Úteis contados do cumprimento da totalidade das Condições Precedentes, conforme definidas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F80A0A">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3"/>
      <w:r w:rsidR="006F4BD5">
        <w:rPr>
          <w:rFonts w:asciiTheme="minorHAnsi" w:hAnsiTheme="minorHAnsi" w:cstheme="minorHAnsi"/>
          <w:lang w:val="pt-BR"/>
        </w:rPr>
        <w:t xml:space="preserve"> </w:t>
      </w:r>
    </w:p>
    <w:p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F80A0A">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4"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F80A0A">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r w:rsidR="00630BA7" w:rsidRPr="00630BA7">
        <w:rPr>
          <w:rFonts w:ascii="Calibri" w:eastAsia="SimSun" w:hAnsi="Calibri" w:cs="Arial"/>
          <w:bCs/>
          <w:highlight w:val="yellow"/>
          <w:lang w:val="pt-BR"/>
        </w:rPr>
        <w:t>[=]</w:t>
      </w:r>
      <w:r w:rsidR="0039553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00395539">
        <w:rPr>
          <w:rFonts w:asciiTheme="minorHAnsi" w:hAnsiTheme="minorHAnsi" w:cstheme="minorHAnsi"/>
          <w:lang w:val="pt-BR"/>
        </w:rPr>
        <w:t>) Dias Úteis de antecedência da referida data de pagamento</w:t>
      </w:r>
      <w:r w:rsidRPr="00AD50AD">
        <w:rPr>
          <w:rFonts w:asciiTheme="minorHAnsi" w:hAnsiTheme="minorHAnsi" w:cstheme="minorHAnsi"/>
          <w:lang w:val="pt-BR"/>
        </w:rPr>
        <w:t xml:space="preserve">, </w:t>
      </w:r>
      <w:r w:rsidR="00395539">
        <w:rPr>
          <w:rFonts w:asciiTheme="minorHAnsi" w:hAnsiTheme="minorHAnsi" w:cstheme="minorHAnsi"/>
          <w:lang w:val="pt-BR"/>
        </w:rPr>
        <w:t xml:space="preserve">incluindo, </w:t>
      </w:r>
      <w:r w:rsidRPr="00AD50AD">
        <w:rPr>
          <w:rFonts w:asciiTheme="minorHAnsi" w:hAnsiTheme="minorHAnsi" w:cstheme="minorHAnsi"/>
          <w:lang w:val="pt-BR"/>
        </w:rPr>
        <w:t>mas não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4"/>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F80A0A">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remuneração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Pr="00055731">
        <w:rPr>
          <w:rFonts w:asciiTheme="minorHAnsi" w:hAnsiTheme="minorHAnsi" w:cstheme="minorHAnsi"/>
          <w:b/>
          <w:lang w:val="pt-BR"/>
        </w:rPr>
        <w:t xml:space="preserve">(a) </w:t>
      </w:r>
      <w:r w:rsidRPr="00055731">
        <w:rPr>
          <w:rFonts w:asciiTheme="minorHAnsi" w:hAnsiTheme="minorHAnsi" w:cstheme="minorHAnsi"/>
          <w:lang w:val="pt-BR"/>
        </w:rPr>
        <w:t>R</w:t>
      </w:r>
      <w:r w:rsidR="00055731" w:rsidRPr="00055731">
        <w:rPr>
          <w:rFonts w:asciiTheme="minorHAnsi" w:hAnsiTheme="minorHAnsi" w:cstheme="minorHAnsi"/>
          <w:lang w:val="pt-BR"/>
        </w:rPr>
        <w:t>$</w:t>
      </w:r>
      <w:r w:rsidR="00D133B0"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equivalente a uma parcela de </w:t>
      </w:r>
      <w:r w:rsidR="00055731" w:rsidRPr="004B1B63">
        <w:rPr>
          <w:rFonts w:asciiTheme="minorHAnsi" w:hAnsiTheme="minorHAnsi" w:cstheme="minorHAnsi"/>
          <w:lang w:val="pt-BR"/>
        </w:rPr>
        <w:t>implantação</w:t>
      </w:r>
      <w:r w:rsidRPr="004B1B63">
        <w:rPr>
          <w:rFonts w:asciiTheme="minorHAnsi" w:hAnsiTheme="minorHAnsi" w:cstheme="minorHAnsi"/>
          <w:lang w:val="pt-BR"/>
        </w:rPr>
        <w:t>, a ser paga ao Agente Fiduciário, devida em até 5 (cinco) Dias Úteis após a primeira data de integralização dos CRI</w:t>
      </w:r>
      <w:r w:rsidR="0090045D">
        <w:rPr>
          <w:rFonts w:asciiTheme="minorHAnsi" w:hAnsiTheme="minorHAnsi" w:cstheme="minorHAnsi"/>
          <w:lang w:val="pt-BR"/>
        </w:rPr>
        <w:t>;</w:t>
      </w:r>
      <w:r w:rsidRPr="004B1B63">
        <w:rPr>
          <w:rFonts w:asciiTheme="minorHAnsi" w:hAnsiTheme="minorHAnsi" w:cstheme="minorHAnsi"/>
          <w:lang w:val="pt-BR"/>
        </w:rPr>
        <w:t xml:space="preserve"> </w:t>
      </w:r>
      <w:r w:rsidRPr="004B1B63">
        <w:rPr>
          <w:rFonts w:asciiTheme="minorHAnsi" w:hAnsiTheme="minorHAnsi" w:cstheme="minorHAnsi"/>
          <w:b/>
          <w:lang w:val="pt-BR"/>
        </w:rPr>
        <w:t xml:space="preserve">(b) </w:t>
      </w:r>
      <w:r w:rsidR="00D133B0" w:rsidRPr="00055731">
        <w:rPr>
          <w:rFonts w:asciiTheme="minorHAnsi" w:hAnsiTheme="minorHAnsi" w:cstheme="minorHAnsi"/>
          <w:lang w:val="pt-BR"/>
        </w:rPr>
        <w:t>R$</w:t>
      </w:r>
      <w:r w:rsidR="00D133B0" w:rsidRPr="00630BA7">
        <w:rPr>
          <w:rFonts w:ascii="Calibri" w:eastAsia="SimSun" w:hAnsi="Calibri" w:cs="Arial"/>
          <w:bCs/>
          <w:highlight w:val="yellow"/>
          <w:lang w:val="pt-BR"/>
        </w:rPr>
        <w:t>[=]</w:t>
      </w:r>
      <w:r w:rsidR="00D133B0" w:rsidRPr="00055731">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00D133B0" w:rsidRPr="00055731">
        <w:rPr>
          <w:rFonts w:asciiTheme="minorHAnsi" w:hAnsiTheme="minorHAnsi" w:cstheme="minorHAnsi"/>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equivalente</w:t>
      </w:r>
      <w:r w:rsidRPr="00AD50AD">
        <w:rPr>
          <w:rFonts w:asciiTheme="minorHAnsi" w:hAnsiTheme="minorHAnsi" w:cstheme="minorHAnsi"/>
          <w:lang w:val="pt-BR"/>
        </w:rPr>
        <w:t xml:space="preserve"> às parcelas </w:t>
      </w:r>
      <w:r w:rsidR="00055731">
        <w:rPr>
          <w:rFonts w:asciiTheme="minorHAnsi" w:hAnsiTheme="minorHAnsi" w:cstheme="minorHAnsi"/>
          <w:lang w:val="pt-BR"/>
        </w:rPr>
        <w:t>anuais</w:t>
      </w:r>
      <w:r w:rsidRPr="00AD50AD">
        <w:rPr>
          <w:rFonts w:asciiTheme="minorHAnsi" w:hAnsiTheme="minorHAnsi" w:cstheme="minorHAnsi"/>
          <w:lang w:val="pt-BR"/>
        </w:rPr>
        <w:t xml:space="preserve">, a serem pagas na mesma data dos </w:t>
      </w:r>
      <w:r w:rsidR="00055731">
        <w:rPr>
          <w:rFonts w:asciiTheme="minorHAnsi" w:hAnsiTheme="minorHAnsi" w:cstheme="minorHAnsi"/>
          <w:lang w:val="pt-BR"/>
        </w:rPr>
        <w:t xml:space="preserve">anos </w:t>
      </w:r>
      <w:r w:rsidRPr="00AD50AD">
        <w:rPr>
          <w:rFonts w:asciiTheme="minorHAnsi" w:hAnsiTheme="minorHAnsi" w:cstheme="minorHAnsi"/>
          <w:lang w:val="pt-BR"/>
        </w:rPr>
        <w:t>subsequentes ao item “a”, acima, até o resgate total dos CRI</w:t>
      </w:r>
      <w:r w:rsidR="0090045D">
        <w:rPr>
          <w:rFonts w:asciiTheme="minorHAnsi" w:hAnsiTheme="minorHAnsi" w:cstheme="minorHAnsi"/>
          <w:lang w:val="pt-BR"/>
        </w:rPr>
        <w:t xml:space="preserve">; e </w:t>
      </w:r>
      <w:r w:rsidR="0090045D" w:rsidRPr="006604D2">
        <w:rPr>
          <w:rFonts w:asciiTheme="minorHAnsi" w:hAnsiTheme="minorHAnsi" w:cstheme="minorHAnsi"/>
          <w:b/>
          <w:lang w:val="pt-BR"/>
        </w:rPr>
        <w:t>(c)</w:t>
      </w:r>
      <w:r w:rsidR="00D133B0">
        <w:rPr>
          <w:rFonts w:asciiTheme="minorHAnsi" w:hAnsiTheme="minorHAnsi" w:cstheme="minorHAnsi"/>
          <w:lang w:val="pt-BR"/>
        </w:rPr>
        <w:t> </w:t>
      </w:r>
      <w:r w:rsidR="00D133B0" w:rsidRPr="00055731">
        <w:rPr>
          <w:rFonts w:asciiTheme="minorHAnsi" w:hAnsiTheme="minorHAnsi" w:cstheme="minorHAnsi"/>
          <w:lang w:val="pt-BR"/>
        </w:rPr>
        <w:t>R$</w:t>
      </w:r>
      <w:r w:rsidR="00D133B0" w:rsidRPr="00630BA7">
        <w:rPr>
          <w:rFonts w:ascii="Calibri" w:eastAsia="SimSun" w:hAnsi="Calibri" w:cs="Arial"/>
          <w:bCs/>
          <w:highlight w:val="yellow"/>
          <w:lang w:val="pt-BR"/>
        </w:rPr>
        <w:t>[=]</w:t>
      </w:r>
      <w:r w:rsidR="00D133B0" w:rsidRPr="00055731">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00D133B0" w:rsidRPr="00055731">
        <w:rPr>
          <w:rFonts w:asciiTheme="minorHAnsi" w:hAnsiTheme="minorHAnsi" w:cstheme="minorHAnsi"/>
          <w:lang w:val="pt-BR"/>
        </w:rPr>
        <w:t>)</w:t>
      </w:r>
      <w:r w:rsidR="00D133B0">
        <w:rPr>
          <w:rFonts w:asciiTheme="minorHAnsi" w:hAnsiTheme="minorHAnsi" w:cstheme="minorHAnsi"/>
          <w:lang w:val="pt-BR"/>
        </w:rPr>
        <w:t xml:space="preserve"> </w:t>
      </w:r>
      <w:r w:rsidR="0090045D" w:rsidRPr="00920EC4">
        <w:rPr>
          <w:rFonts w:asciiTheme="minorHAnsi" w:hAnsiTheme="minorHAnsi" w:cstheme="minorHAnsi"/>
          <w:lang w:val="pt-BR"/>
        </w:rPr>
        <w:t>pela verificação da destinação dos recursos de que trata a Cláusula 3.5 da Escritura de Emissão, devida a cada trimestre a contar da primeira verificação até a utilização total dos recursos oriundos da Escritura de Emissão</w:t>
      </w:r>
      <w:r w:rsidR="0090045D">
        <w:rPr>
          <w:rFonts w:asciiTheme="minorHAnsi" w:hAnsiTheme="minorHAnsi" w:cstheme="minorHAnsi"/>
          <w:lang w:val="pt-BR"/>
        </w:rPr>
        <w:t xml:space="preserve">. As parcelas descritas nos itens </w:t>
      </w:r>
      <w:r w:rsidR="006B767A">
        <w:rPr>
          <w:rFonts w:asciiTheme="minorHAnsi" w:hAnsiTheme="minorHAnsi" w:cstheme="minorHAnsi"/>
          <w:lang w:val="pt-BR"/>
        </w:rPr>
        <w:t>(</w:t>
      </w:r>
      <w:r w:rsidR="0090045D">
        <w:rPr>
          <w:rFonts w:asciiTheme="minorHAnsi" w:hAnsiTheme="minorHAnsi" w:cstheme="minorHAnsi"/>
          <w:lang w:val="pt-BR"/>
        </w:rPr>
        <w:t>a</w:t>
      </w:r>
      <w:r w:rsidR="006B767A">
        <w:rPr>
          <w:rFonts w:asciiTheme="minorHAnsi" w:hAnsiTheme="minorHAnsi" w:cstheme="minorHAnsi"/>
          <w:lang w:val="pt-BR"/>
        </w:rPr>
        <w:t>)</w:t>
      </w:r>
      <w:r w:rsidR="0090045D">
        <w:rPr>
          <w:rFonts w:asciiTheme="minorHAnsi" w:hAnsiTheme="minorHAnsi" w:cstheme="minorHAnsi"/>
          <w:lang w:val="pt-BR"/>
        </w:rPr>
        <w:t xml:space="preserve"> e </w:t>
      </w:r>
      <w:r w:rsidR="006B767A">
        <w:rPr>
          <w:rFonts w:asciiTheme="minorHAnsi" w:hAnsiTheme="minorHAnsi" w:cstheme="minorHAnsi"/>
          <w:lang w:val="pt-BR"/>
        </w:rPr>
        <w:t>(</w:t>
      </w:r>
      <w:r w:rsidR="0090045D">
        <w:rPr>
          <w:rFonts w:asciiTheme="minorHAnsi" w:hAnsiTheme="minorHAnsi" w:cstheme="minorHAnsi"/>
          <w:lang w:val="pt-BR"/>
        </w:rPr>
        <w:t>b</w:t>
      </w:r>
      <w:r w:rsidR="006B767A">
        <w:rPr>
          <w:rFonts w:asciiTheme="minorHAnsi" w:hAnsiTheme="minorHAnsi" w:cstheme="minorHAnsi"/>
          <w:lang w:val="pt-BR"/>
        </w:rPr>
        <w:t>)</w:t>
      </w:r>
      <w:r w:rsidR="0090045D">
        <w:rPr>
          <w:rFonts w:asciiTheme="minorHAnsi" w:hAnsiTheme="minorHAnsi" w:cstheme="minorHAnsi"/>
          <w:lang w:val="pt-BR"/>
        </w:rPr>
        <w:t xml:space="preserve"> acima serão </w:t>
      </w:r>
      <w:r w:rsidRPr="00AD50AD">
        <w:rPr>
          <w:rFonts w:asciiTheme="minorHAnsi" w:hAnsiTheme="minorHAnsi" w:cstheme="minorHAnsi"/>
          <w:lang w:val="pt-BR"/>
        </w:rPr>
        <w:t xml:space="preserve">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F80A0A">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r w:rsidRPr="00EC66B0">
        <w:rPr>
          <w:rFonts w:asciiTheme="minorHAnsi" w:hAnsiTheme="minorHAnsi" w:cstheme="minorHAnsi"/>
          <w:lang w:val="pt-BR"/>
        </w:rPr>
        <w:t>remuneração do Coordenador Líder pela coordenação e distribuição da Oferta Restrita, conforme prevista no Contrato de Distribuição, a ser paga ao Coordenador Líder, de maneira proporcional ao montante integralizado dos CRI, até o 2º (segundo) Dia Útil após cada data de integralização dos CRI;</w:t>
      </w:r>
    </w:p>
    <w:p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eventuais despesas, depósitos e custas  judiciais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remuneração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desde de que sejam razoáveis e devidamente comprovados,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honorários e despesas efetivamente incorridas e previamente aprovadas pela 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e que, no caso da Devedora estar em dia com todas as suas obrigações previstas nos Documentos da Operação, estes sejam previamente autorizadas pela Devedora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 xml:space="preserve">As despesas acima mencionadas serão arcadas diretamente pela Devedora ou por quem esta indicar, observado que os valores a serem arcados pela Devedora a título de pagamento das despesas indicados nas alíneas “i”, “ii”, “iii”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F80A0A">
        <w:rPr>
          <w:rFonts w:asciiTheme="minorHAnsi" w:hAnsiTheme="minorHAnsi" w:cstheme="minorHAnsi"/>
          <w:lang w:val="pt-BR"/>
        </w:rPr>
        <w:t>3.1.5</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F80A0A">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e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_Ref513043141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F80A0A">
        <w:rPr>
          <w:rFonts w:asciiTheme="minorHAnsi" w:hAnsiTheme="minorHAnsi" w:cstheme="minorHAnsi"/>
          <w:lang w:val="pt-BR"/>
        </w:rPr>
        <w:t>3.4</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ambos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previstas neste Contrato de Cessão, será equivalente ao valor subscrito e integralizado dos CRI até a ocorrência do evento que gerar a respectiva obrigação de pagamento da Devedora.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5" w:name="_Ref513051106"/>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F80A0A">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Citibank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5"/>
      <w:r w:rsidR="00D133B0">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6"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6"/>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7" w:name="_DV_M116"/>
      <w:bookmarkStart w:id="8" w:name="_DV_M117"/>
      <w:bookmarkStart w:id="9" w:name="_DV_M118"/>
      <w:bookmarkStart w:id="10" w:name="_DV_M119"/>
      <w:bookmarkStart w:id="11" w:name="_DV_M120"/>
      <w:bookmarkStart w:id="12" w:name="_DV_M121"/>
      <w:bookmarkStart w:id="13" w:name="_DV_M122"/>
      <w:bookmarkStart w:id="14" w:name="_DV_M123"/>
      <w:bookmarkStart w:id="15" w:name="_DV_M124"/>
      <w:bookmarkStart w:id="16" w:name="_DV_M125"/>
      <w:bookmarkStart w:id="17" w:name="_DV_M126"/>
      <w:bookmarkStart w:id="18" w:name="_DV_M127"/>
      <w:bookmarkStart w:id="19" w:name="_DV_M128"/>
      <w:bookmarkStart w:id="20" w:name="_DV_M129"/>
      <w:bookmarkStart w:id="21" w:name="_DV_M130"/>
      <w:bookmarkStart w:id="22" w:name="_DV_M131"/>
      <w:bookmarkStart w:id="23" w:name="_Ref50691712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IGP-M (ou outro índice que venha a substituí-lo) desde a data da mora até a data de seu efetivo pagamento.</w:t>
      </w:r>
      <w:bookmarkEnd w:id="23"/>
      <w:r w:rsidRPr="006A12E7">
        <w:rPr>
          <w:rFonts w:asciiTheme="minorHAnsi" w:hAnsiTheme="minorHAnsi"/>
          <w:color w:val="000000"/>
          <w:lang w:val="pt-BR"/>
        </w:rPr>
        <w:t xml:space="preserve"> </w:t>
      </w:r>
    </w:p>
    <w:p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24" w:name="_Ref513043141"/>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F80A0A">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24"/>
      <w:r w:rsidR="00AC07CF" w:rsidRPr="00A800E7">
        <w:rPr>
          <w:rFonts w:asciiTheme="minorHAnsi" w:hAnsiTheme="minorHAnsi" w:cstheme="minorHAnsi"/>
          <w:lang w:val="pt-BR"/>
        </w:rPr>
        <w:t xml:space="preserve">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F80A0A">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prenotação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de forma 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rsidR="006B767A" w:rsidRPr="006B767A" w:rsidRDefault="006B767A" w:rsidP="006B767A">
      <w:pPr>
        <w:pStyle w:val="PargrafodaLista"/>
        <w:rPr>
          <w:rFonts w:asciiTheme="minorHAnsi" w:hAnsiTheme="minorHAnsi" w:cstheme="minorHAnsi"/>
          <w:lang w:val="pt-BR"/>
        </w:rPr>
      </w:pPr>
    </w:p>
    <w:p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w:t>
      </w:r>
      <w:r w:rsidR="00B87C2E">
        <w:rPr>
          <w:rFonts w:asciiTheme="minorHAnsi" w:hAnsiTheme="minorHAnsi" w:cstheme="minorHAnsi"/>
          <w:lang w:val="pt-BR"/>
        </w:rPr>
        <w:t xml:space="preserve">referidas </w:t>
      </w:r>
      <w:r w:rsidR="00B87C2E">
        <w:rPr>
          <w:rFonts w:asciiTheme="minorHAnsi" w:hAnsiTheme="minorHAnsi" w:cstheme="minorHAnsi"/>
          <w:lang w:val="pt-BR"/>
        </w:rPr>
        <w:t xml:space="preserve">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rsidR="00B93C34" w:rsidRPr="00B93C34" w:rsidRDefault="00B93C34" w:rsidP="00B93C34">
      <w:pPr>
        <w:pStyle w:val="PargrafodaLista"/>
        <w:rPr>
          <w:rFonts w:asciiTheme="minorHAnsi" w:hAnsiTheme="minorHAnsi" w:cstheme="minorHAnsi"/>
          <w:lang w:val="pt-BR"/>
        </w:rPr>
      </w:pPr>
    </w:p>
    <w:p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rsidR="00AC07CF" w:rsidRPr="00AC07CF" w:rsidRDefault="00AC07CF" w:rsidP="00AC07CF">
      <w:pPr>
        <w:pStyle w:val="PargrafodaLista"/>
        <w:rPr>
          <w:rFonts w:asciiTheme="minorHAnsi" w:hAnsiTheme="minorHAnsi" w:cstheme="minorHAnsi"/>
          <w:lang w:val="pt-BR"/>
        </w:rPr>
      </w:pPr>
    </w:p>
    <w:p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integralização </w:t>
      </w:r>
      <w:r w:rsidR="00B87C2E">
        <w:rPr>
          <w:rFonts w:asciiTheme="minorHAnsi" w:hAnsiTheme="minorHAnsi" w:cstheme="minorHAnsi"/>
          <w:lang w:val="pt-BR"/>
        </w:rPr>
        <w:t xml:space="preserve">de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w:t>
      </w:r>
      <w:r w:rsidR="00B87C2E" w:rsidRPr="00AD50AD">
        <w:rPr>
          <w:rFonts w:asciiTheme="minorHAnsi" w:hAnsiTheme="minorHAnsi" w:cstheme="minorHAnsi"/>
          <w:lang w:val="pt-BR"/>
        </w:rPr>
        <w:t xml:space="preserv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 xml:space="preserve"> por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r w:rsidRPr="00AD50AD">
        <w:rPr>
          <w:rFonts w:asciiTheme="minorHAnsi" w:hAnsiTheme="minorHAnsi" w:cstheme="minorHAnsi"/>
          <w:i/>
          <w:lang w:val="pt-BR"/>
        </w:rPr>
        <w:t>due diligence</w:t>
      </w:r>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rsidR="003A1D09" w:rsidRPr="003A1D09" w:rsidRDefault="003A1D09" w:rsidP="003A1D09">
      <w:pPr>
        <w:pStyle w:val="PargrafodaLista"/>
        <w:rPr>
          <w:rFonts w:asciiTheme="minorHAnsi" w:hAnsiTheme="minorHAnsi" w:cstheme="minorHAnsi"/>
          <w:lang w:val="pt-BR"/>
        </w:rPr>
      </w:pPr>
    </w:p>
    <w:p w:rsidR="003A1D09" w:rsidRPr="00A03631"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r w:rsidR="00C47E35" w:rsidRPr="00A03631">
        <w:rPr>
          <w:rFonts w:asciiTheme="minorHAnsi" w:hAnsiTheme="minorHAnsi" w:cstheme="minorHAnsi"/>
          <w:lang w:val="pt-BR"/>
        </w:rPr>
        <w:t xml:space="preserve"> e</w:t>
      </w:r>
    </w:p>
    <w:p w:rsidR="0052581C" w:rsidRPr="00A03631"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F80A0A">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Documentos da Operação, permaneçam válidas e corretas e não tenham sido modificadas na data de liberação </w:t>
      </w:r>
      <w:r w:rsidR="00C47E35">
        <w:rPr>
          <w:rFonts w:asciiTheme="minorHAnsi" w:hAnsiTheme="minorHAnsi" w:cstheme="minorHAnsi"/>
          <w:lang w:val="pt-BR"/>
        </w:rPr>
        <w:t>do Preço de Aquisição Líquido.</w:t>
      </w:r>
    </w:p>
    <w:p w:rsidR="0052581C" w:rsidRPr="00AD50AD" w:rsidRDefault="0052581C" w:rsidP="006A12E7">
      <w:pPr>
        <w:pStyle w:val="Corpodetexto"/>
        <w:tabs>
          <w:tab w:val="left" w:pos="567"/>
        </w:tabs>
        <w:spacing w:line="320" w:lineRule="exact"/>
        <w:ind w:left="567"/>
        <w:contextualSpacing/>
        <w:jc w:val="both"/>
        <w:rPr>
          <w:rFonts w:asciiTheme="minorHAnsi" w:hAnsiTheme="minorHAnsi" w:cstheme="minorHAnsi"/>
          <w:lang w:val="pt-BR"/>
        </w:rPr>
      </w:pPr>
    </w:p>
    <w:p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5" w:name="_Ref513041859"/>
      <w:r w:rsidRPr="00AD50AD">
        <w:rPr>
          <w:rFonts w:asciiTheme="minorHAnsi" w:hAnsiTheme="minorHAnsi" w:cstheme="minorHAnsi"/>
          <w:lang w:val="pt-BR"/>
        </w:rPr>
        <w:t xml:space="preserve">O não cumprimento em até </w:t>
      </w:r>
      <w:r w:rsidR="00C47E35" w:rsidRPr="00C47E35">
        <w:rPr>
          <w:rFonts w:asciiTheme="minorHAnsi" w:hAnsiTheme="minorHAnsi" w:cstheme="minorHAnsi"/>
          <w:highlight w:val="yellow"/>
          <w:lang w:val="pt-BR"/>
        </w:rPr>
        <w:t>[=]</w:t>
      </w:r>
      <w:r w:rsidR="00AC4E40" w:rsidRPr="00AD50AD">
        <w:rPr>
          <w:rFonts w:asciiTheme="minorHAnsi" w:hAnsiTheme="minorHAnsi" w:cstheme="minorHAnsi"/>
          <w:lang w:val="pt-BR"/>
        </w:rPr>
        <w:t xml:space="preserve"> </w:t>
      </w:r>
      <w:r w:rsidRPr="00AD50AD">
        <w:rPr>
          <w:rFonts w:asciiTheme="minorHAnsi" w:hAnsiTheme="minorHAnsi" w:cstheme="minorHAnsi"/>
          <w:lang w:val="pt-BR"/>
        </w:rPr>
        <w:t>(</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dias das Condições Precedentes,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acarretará sua rescisão sem ônus 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25"/>
    </w:p>
    <w:p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rsidR="0052581C" w:rsidRPr="00AD50AD"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F80A0A">
        <w:rPr>
          <w:rFonts w:asciiTheme="minorHAnsi" w:hAnsiTheme="minorHAnsi" w:cstheme="minorHAnsi"/>
          <w:lang w:val="pt-BR"/>
        </w:rPr>
        <w:t>3.4.1</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F80A0A">
        <w:rPr>
          <w:rFonts w:asciiTheme="minorHAnsi" w:hAnsiTheme="minorHAnsi" w:cstheme="minorHAnsi"/>
          <w:lang w:val="pt-BR"/>
        </w:rPr>
        <w:t>3.1.7</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26" w:name="_Ref513050913"/>
      <w:r w:rsidRPr="006B38AC">
        <w:rPr>
          <w:rFonts w:asciiTheme="minorHAnsi" w:hAnsiTheme="minorHAnsi" w:cstheme="minorHAnsi"/>
          <w:b/>
          <w:lang w:val="pt-BR"/>
        </w:rPr>
        <w:t>DECLARAÇÕES</w:t>
      </w:r>
      <w:bookmarkEnd w:id="26"/>
    </w:p>
    <w:p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27"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27"/>
      <w:r w:rsidR="002B5FAA">
        <w:rPr>
          <w:rFonts w:asciiTheme="minorHAnsi" w:hAnsiTheme="minorHAnsi" w:cstheme="minorHAnsi"/>
          <w:lang w:val="pt-BR"/>
        </w:rPr>
        <w:t xml:space="preserve"> </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É uma sociedade devidamente constituída e em funcionamento de acordo com a legislação e regulamentação em vigor na República Federativa do Brasil;</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não acarretam, direta ou indiretamente, o descumprimento, total ou parcial, de quaisquer contratos ou 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Todos os mandatos outorgados nos termos deste Contrato de Cessão o foram como condição do negócio ora contratado, em caráter irrevogável e irretratável nos termos dos 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8" w:name="_Ref513042210"/>
      <w:r w:rsidRPr="00AD50AD">
        <w:rPr>
          <w:rFonts w:asciiTheme="minorHAnsi" w:hAnsiTheme="minorHAnsi" w:cstheme="minorHAnsi"/>
          <w:u w:val="single"/>
          <w:lang w:val="pt-BR"/>
        </w:rPr>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28"/>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F80A0A">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F80A0A">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A Devedora deverá comunicar a Cessionária em até 02 (dois)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rsidR="0052581C" w:rsidRPr="00433F1E"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29"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BE0515">
        <w:rPr>
          <w:rFonts w:asciiTheme="minorHAnsi" w:hAnsiTheme="minorHAnsi" w:cstheme="minorHAnsi"/>
          <w:lang w:val="pt-BR"/>
        </w:rPr>
        <w:t>10</w:t>
      </w:r>
      <w:r w:rsidR="007D4B6E">
        <w:rPr>
          <w:rFonts w:asciiTheme="minorHAnsi" w:hAnsiTheme="minorHAnsi" w:cstheme="minorHAnsi"/>
          <w:lang w:val="pt-BR"/>
        </w:rPr>
        <w:t>0.000.000,00</w:t>
      </w:r>
      <w:r w:rsidRPr="00AD50AD">
        <w:rPr>
          <w:rFonts w:asciiTheme="minorHAnsi" w:hAnsiTheme="minorHAnsi" w:cstheme="minorHAnsi"/>
          <w:lang w:val="pt-BR"/>
        </w:rPr>
        <w:t xml:space="preserve"> (</w:t>
      </w:r>
      <w:r w:rsidR="00BE0515">
        <w:rPr>
          <w:rFonts w:asciiTheme="minorHAnsi" w:hAnsiTheme="minorHAnsi" w:cstheme="minorHAnsi"/>
          <w:lang w:val="pt-BR"/>
        </w:rPr>
        <w:t xml:space="preserve">cem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sua titularidade (conforme previsto nos contratos de parceria celebrados pela Devedora,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(a) 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E71A0C">
        <w:rPr>
          <w:rFonts w:asciiTheme="minorHAnsi" w:hAnsiTheme="minorHAnsi"/>
          <w:lang w:val="pt-BR"/>
        </w:rPr>
        <w:t>, e (b)</w:t>
      </w:r>
      <w:r w:rsidR="00E71A0C" w:rsidRPr="007A36EB">
        <w:rPr>
          <w:rFonts w:asciiTheme="minorHAnsi" w:hAnsiTheme="minorHAnsi"/>
          <w:lang w:val="pt-BR"/>
        </w:rPr>
        <w:t> </w:t>
      </w:r>
      <w:r w:rsidR="00E71A0C">
        <w:rPr>
          <w:rFonts w:asciiTheme="minorHAnsi" w:hAnsiTheme="minorHAnsi" w:cstheme="minorHAnsi"/>
          <w:lang w:val="pt-BR"/>
        </w:rPr>
        <w:t xml:space="preserve">decorrentes das vendas de imóveis </w:t>
      </w:r>
      <w:r w:rsidR="007A36EB" w:rsidRPr="007A36EB">
        <w:rPr>
          <w:rFonts w:asciiTheme="minorHAnsi" w:hAnsiTheme="minorHAnsi"/>
          <w:lang w:val="pt-BR"/>
        </w:rPr>
        <w:t xml:space="preserve">descritos no </w:t>
      </w:r>
      <w:r w:rsidR="007A36EB" w:rsidRPr="007A36EB">
        <w:rPr>
          <w:rFonts w:asciiTheme="minorHAnsi" w:hAnsiTheme="minorHAnsi"/>
          <w:u w:val="single"/>
          <w:lang w:val="pt-BR"/>
        </w:rPr>
        <w:t>Anexo II</w:t>
      </w:r>
      <w:r w:rsidR="007A36EB" w:rsidRPr="007A36EB">
        <w:rPr>
          <w:rFonts w:asciiTheme="minorHAnsi" w:hAnsiTheme="minorHAnsi"/>
          <w:lang w:val="pt-BR"/>
        </w:rPr>
        <w:t xml:space="preserve"> deste Contrato de Cessão (“</w:t>
      </w:r>
      <w:r w:rsidR="007A36EB" w:rsidRPr="007A36EB">
        <w:rPr>
          <w:rFonts w:asciiTheme="minorHAnsi" w:hAnsiTheme="minorHAnsi"/>
          <w:u w:val="single"/>
          <w:lang w:val="pt-BR"/>
        </w:rPr>
        <w:t>Imóveis</w:t>
      </w:r>
      <w:r w:rsidR="007A36EB" w:rsidRPr="007A36EB">
        <w:rPr>
          <w:rFonts w:asciiTheme="minorHAnsi" w:hAnsiTheme="minorHAnsi"/>
          <w:lang w:val="pt-BR"/>
        </w:rPr>
        <w:t>”), de propriedade das Fiduciantes</w:t>
      </w:r>
      <w:r w:rsidR="00E71A0C">
        <w:rPr>
          <w:rFonts w:asciiTheme="minorHAnsi" w:hAnsiTheme="minorHAnsi"/>
          <w:lang w:val="pt-BR"/>
        </w:rPr>
        <w:t xml:space="preserve"> (em conjunto, os “</w:t>
      </w:r>
      <w:r w:rsidR="00E71A0C">
        <w:rPr>
          <w:rFonts w:asciiTheme="minorHAnsi" w:hAnsiTheme="minorHAnsi"/>
          <w:u w:val="single"/>
          <w:lang w:val="pt-BR"/>
        </w:rPr>
        <w:t>Recebíveis</w:t>
      </w:r>
      <w:r w:rsidR="00E71A0C">
        <w:rPr>
          <w:rFonts w:asciiTheme="minorHAnsi" w:hAnsiTheme="minorHAnsi"/>
          <w:lang w:val="pt-BR"/>
        </w:rPr>
        <w:t>”) (em conjunto, as “</w:t>
      </w:r>
      <w:r w:rsidR="00E71A0C">
        <w:rPr>
          <w:rFonts w:asciiTheme="minorHAnsi" w:hAnsiTheme="minorHAnsi"/>
          <w:u w:val="single"/>
          <w:lang w:val="pt-BR"/>
        </w:rPr>
        <w:t>Cessões Fiduciárias</w:t>
      </w:r>
      <w:r w:rsidR="00E71A0C">
        <w:rPr>
          <w:rFonts w:asciiTheme="minorHAnsi" w:hAnsiTheme="minorHAnsi"/>
          <w:lang w:val="pt-BR"/>
        </w:rPr>
        <w:t xml:space="preserve">” e, </w:t>
      </w:r>
      <w:r w:rsidR="00E71A0C" w:rsidRPr="00433F1E">
        <w:rPr>
          <w:rFonts w:asciiTheme="minorHAnsi" w:hAnsiTheme="minorHAnsi"/>
          <w:lang w:val="pt-BR"/>
        </w:rPr>
        <w:t>individualmente “</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As </w:t>
      </w:r>
      <w:r w:rsidR="00E71A0C" w:rsidRPr="00433F1E">
        <w:rPr>
          <w:rFonts w:asciiTheme="minorHAnsi" w:hAnsiTheme="minorHAnsi" w:cstheme="minorHAnsi"/>
          <w:lang w:val="pt-BR"/>
        </w:rPr>
        <w:t xml:space="preserve">Cessões </w:t>
      </w:r>
      <w:r w:rsidRPr="00433F1E">
        <w:rPr>
          <w:rFonts w:asciiTheme="minorHAnsi" w:hAnsiTheme="minorHAnsi" w:cstheme="minorHAnsi"/>
          <w:lang w:val="pt-BR"/>
        </w:rPr>
        <w:t>Fiduciárias serão constituídas 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em Garantia e Outras 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29"/>
      <w:r w:rsidR="0052711F" w:rsidRPr="00433F1E">
        <w:rPr>
          <w:rFonts w:asciiTheme="minorHAnsi" w:hAnsiTheme="minorHAnsi" w:cstheme="minorHAnsi"/>
          <w:lang w:val="pt-BR"/>
        </w:rPr>
        <w:t xml:space="preserve"> </w:t>
      </w:r>
      <w:r w:rsidR="006841C4" w:rsidRPr="006841C4">
        <w:rPr>
          <w:rFonts w:asciiTheme="minorHAnsi" w:hAnsiTheme="minorHAnsi" w:cstheme="minorHAnsi"/>
          <w:highlight w:val="yellow"/>
          <w:lang w:val="pt-BR"/>
        </w:rPr>
        <w:t>[</w:t>
      </w:r>
      <w:r w:rsidR="006841C4" w:rsidRPr="006841C4">
        <w:rPr>
          <w:rFonts w:asciiTheme="minorHAnsi" w:hAnsiTheme="minorHAnsi" w:cstheme="minorHAnsi"/>
          <w:b/>
          <w:highlight w:val="yellow"/>
          <w:lang w:val="pt-BR"/>
        </w:rPr>
        <w:t>Comentário Madrona:</w:t>
      </w:r>
      <w:r w:rsidR="006841C4" w:rsidRPr="006841C4">
        <w:rPr>
          <w:rFonts w:asciiTheme="minorHAnsi" w:hAnsiTheme="minorHAnsi" w:cstheme="minorHAnsi"/>
          <w:highlight w:val="yellow"/>
          <w:lang w:val="pt-BR"/>
        </w:rPr>
        <w:t xml:space="preserve"> pendente confirmação da Alphaville sobre a inclusão de </w:t>
      </w:r>
      <w:r w:rsidR="006841C4" w:rsidRPr="006841C4">
        <w:rPr>
          <w:rFonts w:asciiTheme="minorHAnsi" w:hAnsiTheme="minorHAnsi" w:cstheme="minorHAnsi"/>
          <w:highlight w:val="yellow"/>
          <w:lang w:val="pt-BR"/>
        </w:rPr>
        <w:t>recebíveis d</w:t>
      </w:r>
      <w:r w:rsidR="006841C4" w:rsidRPr="006841C4">
        <w:rPr>
          <w:rFonts w:asciiTheme="minorHAnsi" w:hAnsiTheme="minorHAnsi" w:cstheme="minorHAnsi"/>
          <w:highlight w:val="yellow"/>
          <w:lang w:val="pt-BR"/>
        </w:rPr>
        <w:t xml:space="preserve">os imóveis </w:t>
      </w:r>
      <w:r w:rsidR="006841C4" w:rsidRPr="006841C4">
        <w:rPr>
          <w:rFonts w:asciiTheme="minorHAnsi" w:hAnsiTheme="minorHAnsi" w:cstheme="minorHAnsi"/>
          <w:highlight w:val="yellow"/>
          <w:lang w:val="pt-BR"/>
        </w:rPr>
        <w:t>e</w:t>
      </w:r>
      <w:r w:rsidR="006841C4" w:rsidRPr="006841C4">
        <w:rPr>
          <w:rFonts w:asciiTheme="minorHAnsi" w:hAnsiTheme="minorHAnsi" w:cstheme="minorHAnsi"/>
          <w:highlight w:val="yellow"/>
          <w:lang w:val="pt-BR"/>
        </w:rPr>
        <w:t>m</w:t>
      </w:r>
      <w:r w:rsidR="006841C4" w:rsidRPr="006841C4">
        <w:rPr>
          <w:rFonts w:asciiTheme="minorHAnsi" w:hAnsiTheme="minorHAnsi" w:cstheme="minorHAnsi"/>
          <w:highlight w:val="yellow"/>
          <w:lang w:val="pt-BR"/>
        </w:rPr>
        <w:t xml:space="preserve"> estoque</w:t>
      </w:r>
      <w:r w:rsidR="006841C4" w:rsidRPr="006841C4">
        <w:rPr>
          <w:rFonts w:asciiTheme="minorHAnsi" w:hAnsiTheme="minorHAnsi" w:cstheme="minorHAnsi"/>
          <w:highlight w:val="yellow"/>
          <w:lang w:val="pt-BR"/>
        </w:rPr>
        <w:t xml:space="preserve"> na garantia.</w:t>
      </w:r>
      <w:r w:rsidR="006841C4" w:rsidRPr="006841C4">
        <w:rPr>
          <w:rFonts w:asciiTheme="minorHAnsi" w:hAnsiTheme="minorHAnsi" w:cstheme="minorHAnsi"/>
          <w:highlight w:val="yellow"/>
          <w:lang w:val="pt-BR"/>
        </w:rPr>
        <w:t>]</w:t>
      </w:r>
    </w:p>
    <w:p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t xml:space="preserve">As </w:t>
      </w:r>
      <w:r w:rsidR="00433F1E" w:rsidRPr="00433F1E">
        <w:rPr>
          <w:rFonts w:asciiTheme="minorHAnsi" w:hAnsiTheme="minorHAnsi" w:cstheme="minorHAnsi"/>
          <w:lang w:val="pt-BR"/>
        </w:rPr>
        <w:t xml:space="preserve">Cessões </w:t>
      </w:r>
      <w:r w:rsidRPr="00433F1E">
        <w:rPr>
          <w:rFonts w:asciiTheme="minorHAnsi" w:hAnsiTheme="minorHAnsi" w:cstheme="minorHAnsi"/>
          <w:lang w:val="pt-BR"/>
        </w:rPr>
        <w:t xml:space="preserve">Fiduciárias serão outorgadas em caráter irrevogável e irretratável e entrarão 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de cada uma das Cessões Fiduciárias, os respectivos Recebíveis deverão estar livre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 xml:space="preserve">direito da respectiva Fiduciante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garantia em favor da Cessionária. </w:t>
      </w:r>
    </w:p>
    <w:p w:rsidR="00433F1E" w:rsidRDefault="00433F1E" w:rsidP="00433F1E">
      <w:pPr>
        <w:pStyle w:val="PargrafodaLista"/>
        <w:tabs>
          <w:tab w:val="left" w:pos="567"/>
        </w:tabs>
        <w:spacing w:line="320" w:lineRule="exact"/>
        <w:ind w:left="567" w:right="-7" w:firstLine="0"/>
        <w:contextualSpacing/>
        <w:rPr>
          <w:rFonts w:asciiTheme="minorHAnsi" w:hAnsiTheme="minorHAnsi" w:cstheme="minorHAnsi"/>
          <w:lang w:val="pt-BR"/>
        </w:rPr>
      </w:pPr>
    </w:p>
    <w:p w:rsidR="00433F1E" w:rsidRPr="00433F1E" w:rsidRDefault="00A36778"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Pr>
          <w:rFonts w:asciiTheme="minorHAnsi" w:hAnsiTheme="minorHAnsi" w:cstheme="minorHAnsi"/>
          <w:lang w:val="pt-BR"/>
        </w:rPr>
        <w:t xml:space="preserve">Na hipótese de </w:t>
      </w:r>
      <w:r w:rsidR="00433F1E">
        <w:rPr>
          <w:rFonts w:asciiTheme="minorHAnsi" w:hAnsiTheme="minorHAnsi" w:cstheme="minorHAnsi"/>
          <w:lang w:val="pt-BR"/>
        </w:rPr>
        <w:t xml:space="preserve">quaisquer dos Contratos de Compra e Venda listados no Anexo II ou quaisquer contratos de compra e venda dos Imóveis que venham a ser celebrados </w:t>
      </w:r>
      <w:r>
        <w:rPr>
          <w:rFonts w:asciiTheme="minorHAnsi" w:hAnsiTheme="minorHAnsi" w:cstheme="minorHAnsi"/>
          <w:lang w:val="pt-BR"/>
        </w:rPr>
        <w:t>serem</w:t>
      </w:r>
      <w:r w:rsidR="00433F1E">
        <w:rPr>
          <w:rFonts w:asciiTheme="minorHAnsi" w:hAnsiTheme="minorHAnsi" w:cstheme="minorHAnsi"/>
          <w:lang w:val="pt-BR"/>
        </w:rPr>
        <w:t xml:space="preserve"> rescindidos e, portanto, os imóveis objeto dos referidos contratos retornem ao estoque da respectiva Fiduciante</w:t>
      </w:r>
      <w:r>
        <w:rPr>
          <w:rFonts w:asciiTheme="minorHAnsi" w:hAnsiTheme="minorHAnsi" w:cstheme="minorHAnsi"/>
          <w:lang w:val="pt-BR"/>
        </w:rPr>
        <w:t>, as Fiduciantes desde já se obrigam a incluir os referidos recebíveis decorrentes de venda futura dos referidos imóveis em estoque como objeto da Cessão Fiduciária, mediante aditamento do Instrumento Particular de Cessão Fiduciária de Recebíveis em garantia das Obrigações Garantidas.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0"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p>
    <w:p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verificação de atendimento à Razão Mínima de Garantia será feita mensalmente pela Cessionária, em até 1 (um) Dia Útil após 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Pr>
          <w:rFonts w:asciiTheme="minorHAnsi" w:hAnsiTheme="minorHAnsi" w:cstheme="minorHAnsi"/>
          <w:lang w:val="pt-BR"/>
        </w:rPr>
        <w:t>na primeira data de pagamento de Juros Remuneratórios, conforme previsto no Anexo I da Escritura de Emissão de Debêntures.</w:t>
      </w:r>
      <w:bookmarkStart w:id="31" w:name="_Ref513043989"/>
      <w:bookmarkEnd w:id="30"/>
    </w:p>
    <w:p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rsidR="006752F9" w:rsidRPr="006752F9" w:rsidRDefault="00CB5241"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752F9">
        <w:rPr>
          <w:rFonts w:asciiTheme="minorHAnsi" w:hAnsiTheme="minorHAnsi" w:cstheme="minorHAnsi"/>
          <w:lang w:val="pt-BR"/>
        </w:rPr>
        <w:t xml:space="preserve">Caso </w:t>
      </w:r>
      <w:r w:rsidR="006752F9">
        <w:rPr>
          <w:rFonts w:asciiTheme="minorHAnsi" w:hAnsiTheme="minorHAnsi" w:cstheme="minorHAnsi"/>
          <w:lang w:val="pt-BR"/>
        </w:rPr>
        <w:t xml:space="preserve">em qualquer Data de Verificação seja verificado o não cumprimento da </w:t>
      </w:r>
      <w:r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Pr="006752F9">
        <w:rPr>
          <w:rFonts w:asciiTheme="minorHAnsi" w:hAnsiTheme="minorHAnsi" w:cstheme="minorHAnsi"/>
          <w:lang w:val="pt-BR"/>
        </w:rPr>
        <w:t xml:space="preserve">de Garantia, a 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posterior à respectiva Data de Verificação, sob pena de ser considerado como um Evento de Vencimento Antecipado nos termos da </w:t>
      </w:r>
      <w:r w:rsidR="006752F9">
        <w:rPr>
          <w:rFonts w:asciiTheme="minorHAnsi" w:hAnsiTheme="minorHAnsi" w:cs="Arial"/>
          <w:lang w:val="pt-BR"/>
        </w:rPr>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rsidR="006752F9" w:rsidRPr="006752F9" w:rsidRDefault="006752F9" w:rsidP="006752F9">
      <w:pPr>
        <w:pStyle w:val="PargrafodaLista"/>
        <w:rPr>
          <w:rFonts w:asciiTheme="minorHAnsi" w:hAnsiTheme="minorHAnsi" w:cstheme="minorHAnsi"/>
          <w:lang w:val="pt-BR"/>
        </w:rPr>
      </w:pPr>
    </w:p>
    <w:p w:rsidR="006752F9"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2"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r w:rsidRPr="00084613">
        <w:rPr>
          <w:rFonts w:asciiTheme="minorHAnsi" w:hAnsiTheme="minorHAnsi" w:cstheme="minorHAnsi"/>
          <w:highlight w:val="yellow"/>
          <w:lang w:val="pt-BR"/>
        </w:rPr>
        <w:t>[=]</w:t>
      </w:r>
      <w:r>
        <w:rPr>
          <w:rFonts w:asciiTheme="minorHAnsi" w:hAnsiTheme="minorHAnsi" w:cstheme="minorHAnsi"/>
          <w:lang w:val="pt-BR"/>
        </w:rPr>
        <w:t xml:space="preserve"> dias contados de notificação da Cessionária neste sentido:</w:t>
      </w:r>
      <w:bookmarkEnd w:id="32"/>
    </w:p>
    <w:p w:rsidR="00084613" w:rsidRPr="00084613" w:rsidRDefault="00084613" w:rsidP="00084613">
      <w:pPr>
        <w:pStyle w:val="PargrafodaLista"/>
        <w:rPr>
          <w:rFonts w:asciiTheme="minorHAnsi" w:hAnsiTheme="minorHAnsi" w:cstheme="minorHAnsi"/>
          <w:lang w:val="pt-BR"/>
        </w:rPr>
      </w:pPr>
    </w:p>
    <w:p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33"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33"/>
      <w:r>
        <w:rPr>
          <w:rFonts w:asciiTheme="minorHAnsi" w:hAnsiTheme="minorHAnsi" w:cstheme="minorHAnsi"/>
          <w:lang w:val="pt-BR"/>
        </w:rPr>
        <w:t xml:space="preserve"> </w:t>
      </w:r>
    </w:p>
    <w:bookmarkEnd w:id="31"/>
    <w:p w:rsidR="0052581C" w:rsidRPr="00AD50AD" w:rsidRDefault="0052581C" w:rsidP="002A1F16">
      <w:pPr>
        <w:pStyle w:val="Corpodetexto"/>
        <w:tabs>
          <w:tab w:val="left" w:pos="567"/>
        </w:tabs>
        <w:spacing w:line="320" w:lineRule="exact"/>
        <w:ind w:left="567"/>
        <w:contextualSpacing/>
        <w:rPr>
          <w:rFonts w:asciiTheme="minorHAnsi" w:hAnsiTheme="minorHAnsi" w:cstheme="minorHAnsi"/>
          <w:lang w:val="pt-BR"/>
        </w:rPr>
      </w:pPr>
    </w:p>
    <w:p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AA33F6">
        <w:rPr>
          <w:rFonts w:asciiTheme="minorHAnsi" w:hAnsiTheme="minorHAnsi" w:cstheme="minorHAnsi"/>
          <w:lang w:val="pt-BR"/>
        </w:rPr>
      </w:r>
      <w:r w:rsidRPr="00101107">
        <w:rPr>
          <w:rFonts w:asciiTheme="minorHAnsi" w:hAnsiTheme="minorHAnsi" w:cstheme="minorHAnsi"/>
          <w:lang w:val="pt-BR"/>
        </w:rPr>
        <w:fldChar w:fldCharType="separate"/>
      </w:r>
      <w:r w:rsidR="00F80A0A">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r w:rsidRPr="00101107">
        <w:rPr>
          <w:rFonts w:asciiTheme="minorHAnsi" w:hAnsiTheme="minorHAnsi" w:cstheme="minorHAnsi"/>
          <w:lang w:val="pt-BR"/>
        </w:rPr>
        <w:t>, a Devedora poderá solicitar que a Cessionária</w:t>
      </w:r>
      <w:r w:rsidR="00C96ADC">
        <w:rPr>
          <w:rFonts w:asciiTheme="minorHAnsi" w:hAnsiTheme="minorHAnsi" w:cstheme="minorHAnsi"/>
          <w:lang w:val="pt-BR"/>
        </w:rPr>
        <w:t xml:space="preserve">, no mesmo prezo 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AA33F6">
        <w:rPr>
          <w:rFonts w:asciiTheme="minorHAnsi" w:hAnsiTheme="minorHAnsi" w:cstheme="minorHAnsi"/>
          <w:lang w:val="pt-BR"/>
        </w:rPr>
      </w:r>
      <w:r w:rsidR="00C96ADC" w:rsidRPr="00101107">
        <w:rPr>
          <w:rFonts w:asciiTheme="minorHAnsi" w:hAnsiTheme="minorHAnsi" w:cstheme="minorHAnsi"/>
          <w:lang w:val="pt-BR"/>
        </w:rPr>
        <w:fldChar w:fldCharType="separate"/>
      </w:r>
      <w:r w:rsidR="00F80A0A">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amortizar os </w:t>
      </w:r>
      <w:r w:rsidRPr="00101107">
        <w:rPr>
          <w:rFonts w:asciiTheme="minorHAnsi" w:hAnsiTheme="minorHAnsi" w:cstheme="minorHAnsi"/>
          <w:lang w:val="pt-BR"/>
        </w:rPr>
        <w:t>CRI no montante equivalente às parcelas do referido contrato</w:t>
      </w:r>
      <w:r w:rsidRPr="00101107">
        <w:rPr>
          <w:rFonts w:asciiTheme="minorHAnsi" w:hAnsiTheme="minorHAnsi" w:cstheme="minorHAnsi"/>
          <w:lang w:val="pt-BR"/>
        </w:rPr>
        <w:t xml:space="preserve"> que estejam inadimplidas </w:t>
      </w:r>
      <w:r w:rsidRPr="00101107">
        <w:rPr>
          <w:rFonts w:asciiTheme="minorHAnsi" w:hAnsiTheme="minorHAnsi" w:cstheme="minorHAnsi"/>
          <w:lang w:val="pt-BR"/>
        </w:rPr>
        <w:t xml:space="preserve">por período superior a 90 (noventa) dias e inferior a 180 (cento e oitenta) dias, de forma a manter </w:t>
      </w:r>
      <w:r w:rsidRPr="00101107">
        <w:rPr>
          <w:rFonts w:asciiTheme="minorHAnsi" w:hAnsiTheme="minorHAnsi" w:cstheme="minorHAnsi"/>
          <w:lang w:val="pt-BR"/>
        </w:rPr>
        <w:t xml:space="preserve">o os Recebíveis do referido Contrato de Compra e Venda </w:t>
      </w:r>
      <w:r w:rsidRPr="00C96ADC">
        <w:rPr>
          <w:rFonts w:asciiTheme="minorHAnsi" w:hAnsiTheme="minorHAnsi" w:cstheme="minorHAnsi"/>
          <w:lang w:val="pt-BR"/>
        </w:rPr>
        <w:t>para fins de cômputo d</w:t>
      </w:r>
      <w:r w:rsidRPr="00C96ADC">
        <w:rPr>
          <w:rFonts w:asciiTheme="minorHAnsi" w:hAnsiTheme="minorHAnsi" w:cstheme="minorHAnsi"/>
          <w:lang w:val="pt-BR"/>
        </w:rPr>
        <w:t>a Razão Mínima de Garantia</w:t>
      </w:r>
      <w:r w:rsidRPr="00C96ADC">
        <w:rPr>
          <w:rFonts w:asciiTheme="minorHAnsi" w:hAnsiTheme="minorHAnsi" w:cstheme="minorHAnsi"/>
          <w:lang w:val="pt-BR"/>
        </w:rPr>
        <w:t xml:space="preserve">. Ultrapassados os </w:t>
      </w:r>
      <w:r w:rsidRPr="00C96ADC">
        <w:rPr>
          <w:rFonts w:asciiTheme="minorHAnsi" w:hAnsiTheme="minorHAnsi" w:cstheme="minorHAnsi"/>
          <w:lang w:val="pt-BR"/>
        </w:rPr>
        <w:t>180 (cento e oitenta) dias</w:t>
      </w:r>
      <w:r w:rsidRPr="00C96ADC">
        <w:rPr>
          <w:rFonts w:asciiTheme="minorHAnsi" w:hAnsiTheme="minorHAnsi" w:cstheme="minorHAnsi"/>
          <w:lang w:val="pt-BR"/>
        </w:rPr>
        <w:t xml:space="preserve"> de inadimplência do referido Contrato de Compra e Venda, a Devedora deverá, obrigatoriamente, adotar um dos procedimentos previstos no </w:t>
      </w:r>
      <w:r w:rsidRPr="00C96ADC">
        <w:rPr>
          <w:rFonts w:asciiTheme="minorHAnsi" w:hAnsiTheme="minorHAnsi" w:cstheme="minorHAnsi"/>
          <w:lang w:val="pt-BR"/>
        </w:rPr>
        <w:t xml:space="preserve">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AA33F6">
        <w:rPr>
          <w:rFonts w:asciiTheme="minorHAnsi" w:hAnsiTheme="minorHAnsi" w:cstheme="minorHAnsi"/>
          <w:lang w:val="pt-BR"/>
        </w:rPr>
      </w:r>
      <w:r w:rsidRPr="00101107">
        <w:rPr>
          <w:rFonts w:asciiTheme="minorHAnsi" w:hAnsiTheme="minorHAnsi" w:cstheme="minorHAnsi"/>
          <w:lang w:val="pt-BR"/>
        </w:rPr>
        <w:fldChar w:fldCharType="separate"/>
      </w:r>
      <w:r w:rsidR="00F80A0A">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r w:rsidRPr="00101107">
        <w:rPr>
          <w:rFonts w:asciiTheme="minorHAnsi" w:hAnsiTheme="minorHAnsi" w:cstheme="minorHAnsi"/>
          <w:lang w:val="pt-BR"/>
        </w:rPr>
        <w:t>.</w:t>
      </w:r>
    </w:p>
    <w:p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rsidR="00042BCD" w:rsidRPr="00726F84"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042BCD">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w:t>
      </w:r>
      <w:r w:rsidRPr="00C028D2">
        <w:rPr>
          <w:rFonts w:asciiTheme="minorHAnsi" w:hAnsiTheme="minorHAnsi" w:cstheme="minorHAnsi"/>
          <w:lang w:val="pt-BR"/>
        </w:rPr>
        <w:t xml:space="preserve">dinária Compulsória, nos termos previstos </w:t>
      </w:r>
      <w:r w:rsidRPr="00711FEC">
        <w:rPr>
          <w:rFonts w:asciiTheme="minorHAnsi" w:hAnsiTheme="minorHAnsi" w:cstheme="minorHAnsi"/>
          <w:lang w:val="pt-BR"/>
        </w:rPr>
        <w:t>n</w:t>
      </w:r>
      <w:r w:rsidRPr="00640D1A">
        <w:rPr>
          <w:rFonts w:asciiTheme="minorHAnsi" w:hAnsiTheme="minorHAnsi" w:cstheme="minorHAnsi"/>
          <w:lang w:val="pt-BR"/>
        </w:rPr>
        <w:t xml:space="preserve">este </w:t>
      </w:r>
      <w:r w:rsidRPr="00726F84">
        <w:rPr>
          <w:rFonts w:asciiTheme="minorHAnsi" w:hAnsiTheme="minorHAnsi" w:cstheme="minorHAnsi"/>
          <w:lang w:val="pt-BR"/>
        </w:rPr>
        <w:t>Contrato de Cessão.</w:t>
      </w:r>
    </w:p>
    <w:p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4"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observada a seguinte ordem:</w:t>
      </w:r>
      <w:bookmarkEnd w:id="34"/>
    </w:p>
    <w:p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do Valor Principal; e</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p>
    <w:p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F80A0A">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contados da Data de Verificação.</w:t>
      </w:r>
    </w:p>
    <w:p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no montante de R$</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xml:space="preserve"> (</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w:t>
      </w:r>
      <w:r w:rsidR="00640D1A">
        <w:rPr>
          <w:rFonts w:asciiTheme="minorHAnsi" w:hAnsiTheme="minorHAnsi" w:cstheme="minorHAnsi"/>
          <w:u w:val="single"/>
          <w:lang w:val="pt-BR"/>
        </w:rPr>
        <w:t>Montante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 xml:space="preserve">”). </w:t>
      </w:r>
    </w:p>
    <w:p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5.4.1.</w:t>
      </w:r>
      <w:r>
        <w:rPr>
          <w:rFonts w:asciiTheme="minorHAnsi" w:hAnsiTheme="minorHAnsi" w:cstheme="minorHAnsi"/>
          <w:lang w:val="pt-BR"/>
        </w:rPr>
        <w:tab/>
        <w:t>O Montante Mínimo do Fundo de Reserva será verificado sempre na Data de Verificação.</w:t>
      </w: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640D1A" w:rsidRPr="00C028D2"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composto e recomposto com os montantes decorrentes do recebimento dos 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F80A0A">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w:t>
      </w:r>
      <w:r>
        <w:rPr>
          <w:rFonts w:asciiTheme="minorHAnsi" w:hAnsiTheme="minorHAnsi" w:cstheme="minorHAnsi"/>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Úteis contados da notificação da Securitizadora neste sentido.</w:t>
      </w:r>
    </w:p>
    <w:p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5"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 xml:space="preserve">(ii)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ou (c) a constituição das Cessões</w:t>
      </w:r>
      <w:r w:rsidRPr="00AD50AD">
        <w:rPr>
          <w:rFonts w:asciiTheme="minorHAnsi" w:hAnsiTheme="minorHAnsi" w:cstheme="minorHAnsi"/>
          <w:lang w:val="pt-BR"/>
        </w:rPr>
        <w:t xml:space="preserve"> Fiduciárias, exceto à medida que tais demandas, ações ou processos relacionem-se a ato ou omissão da Cessionária.</w:t>
      </w:r>
      <w:bookmarkEnd w:id="35"/>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F80A0A">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F80A0A">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das </w:t>
      </w:r>
      <w:r w:rsidR="005E1354">
        <w:rPr>
          <w:rFonts w:asciiTheme="minorHAnsi" w:hAnsiTheme="minorHAnsi" w:cstheme="minorHAnsi"/>
          <w:lang w:val="pt-BR"/>
        </w:rPr>
        <w:t>Cessões</w:t>
      </w:r>
      <w:r w:rsidRPr="00AD50AD">
        <w:rPr>
          <w:rFonts w:asciiTheme="minorHAnsi" w:hAnsiTheme="minorHAnsi" w:cstheme="minorHAnsi"/>
          <w:lang w:val="pt-BR"/>
        </w:rPr>
        <w:t xml:space="preserve"> Fiduciárias,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rsidR="000B0520" w:rsidRPr="00FC1E1C" w:rsidRDefault="000B0520" w:rsidP="000B0520">
      <w:pPr>
        <w:pStyle w:val="PargrafodaLista"/>
        <w:rPr>
          <w:rFonts w:asciiTheme="minorHAnsi" w:hAnsiTheme="minorHAnsi" w:cstheme="minorHAnsi"/>
          <w:lang w:val="pt-BR"/>
        </w:rPr>
      </w:pPr>
    </w:p>
    <w:p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além do recebimento, de forma direta e exclusiva, de todos os pagamentos que 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de tributos) pela Cessionária em conta corrente de titularidade da Devedora</w:t>
      </w:r>
      <w:r w:rsidR="000F0DC8">
        <w:rPr>
          <w:rFonts w:asciiTheme="minorHAnsi" w:hAnsiTheme="minorHAnsi" w:cstheme="minorHAnsi"/>
          <w:lang w:val="pt-BR"/>
        </w:rPr>
        <w:t xml:space="preserve">, </w:t>
      </w:r>
      <w:r w:rsidR="000F0DC8">
        <w:rPr>
          <w:rFonts w:asciiTheme="minorHAnsi" w:hAnsiTheme="minorHAnsi" w:cstheme="minorHAnsi"/>
          <w:lang w:val="pt-BR"/>
        </w:rPr>
        <w:t xml:space="preserve">em até </w:t>
      </w:r>
      <w:r w:rsidR="000F0DC8" w:rsidRPr="000F0DC8">
        <w:rPr>
          <w:rFonts w:asciiTheme="minorHAnsi" w:hAnsiTheme="minorHAnsi" w:cstheme="minorHAnsi"/>
          <w:highlight w:val="yellow"/>
          <w:lang w:val="pt-BR"/>
        </w:rPr>
        <w:t>[</w:t>
      </w:r>
      <w:r w:rsidR="000F0DC8" w:rsidRPr="000F0DC8">
        <w:rPr>
          <w:rFonts w:asciiTheme="minorHAnsi" w:hAnsiTheme="minorHAnsi" w:cstheme="minorHAnsi"/>
          <w:highlight w:val="yellow"/>
          <w:lang w:val="pt-BR"/>
        </w:rPr>
        <w:t>=</w:t>
      </w:r>
      <w:r w:rsidR="000F0DC8" w:rsidRPr="000F0DC8">
        <w:rPr>
          <w:rFonts w:asciiTheme="minorHAnsi" w:hAnsiTheme="minorHAnsi" w:cstheme="minorHAnsi"/>
          <w:highlight w:val="yellow"/>
          <w:lang w:val="pt-BR"/>
        </w:rPr>
        <w:t>]</w:t>
      </w:r>
      <w:r w:rsidR="000F0DC8">
        <w:rPr>
          <w:rFonts w:asciiTheme="minorHAnsi" w:hAnsiTheme="minorHAnsi" w:cstheme="minorHAnsi"/>
          <w:lang w:val="pt-BR"/>
        </w:rPr>
        <w:t xml:space="preserve"> dias corridos</w:t>
      </w:r>
      <w:r w:rsidRPr="00AD50AD">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5E1354">
        <w:rPr>
          <w:rFonts w:asciiTheme="minorHAnsi" w:hAnsiTheme="minorHAnsi" w:cstheme="minorHAnsi"/>
          <w:b/>
          <w:highlight w:val="yellow"/>
          <w:lang w:val="pt-BR"/>
        </w:rPr>
        <w:t>[=]</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lang w:val="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At.: </w:t>
      </w: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rsidR="005E1354" w:rsidRPr="00C510C8" w:rsidRDefault="005E1354" w:rsidP="00973E40">
      <w:pPr>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SECURITIZADORA DE CRÉDITO S.A.</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r w:rsidRPr="00C510C8">
        <w:rPr>
          <w:rFonts w:asciiTheme="minorHAnsi" w:hAnsiTheme="minorHAnsi" w:cstheme="minorHAnsi"/>
        </w:rPr>
        <w:t>Farroupilha – RS</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eastAsia="pt-BR"/>
        </w:rPr>
      </w:pPr>
      <w:r w:rsidRPr="00C510C8">
        <w:rPr>
          <w:rFonts w:ascii="Calibri" w:eastAsia="Times New Roman" w:hAnsi="Calibri" w:cs="Calibri"/>
          <w:color w:val="000000"/>
          <w:w w:val="0"/>
          <w:lang w:eastAsia="pt-BR"/>
        </w:rPr>
        <w:t xml:space="preserve">Tel.: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E-mail: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p>
    <w:p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At.: </w:t>
      </w:r>
      <w:r w:rsidRPr="005E1354">
        <w:rPr>
          <w:rFonts w:ascii="Calibri" w:eastAsia="Times New Roman" w:hAnsi="Calibri" w:cs="Calibri"/>
          <w:color w:val="000000"/>
          <w:w w:val="0"/>
          <w:highlight w:val="yellow"/>
          <w:lang w:val="pt-BR" w:eastAsia="pt-BR"/>
        </w:rPr>
        <w:t>[=]</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comunicações serão consideradas entregues quando recebidas sob protocolo, com “aviso de recebimento” expedido pela Empresa Brasileira de Correios e Telégrafos,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Se uma ou mais disposições aqui contidas forem consideradas inválidas, 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seus (promissários) cessionários autorizados e/ou sucessores a qualquer título, respondendo a Parte e/ou a 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36"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protocolado para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36"/>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 xml:space="preserve">(ii) </w:t>
      </w:r>
      <w:r w:rsidRPr="00AD50AD">
        <w:rPr>
          <w:rFonts w:asciiTheme="minorHAnsi" w:hAnsiTheme="minorHAnsi" w:cstheme="minorHAnsi"/>
          <w:lang w:val="pt-BR"/>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t>LEGISLAÇÃO APLICÁVEL E FORO</w:t>
      </w:r>
    </w:p>
    <w:p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como o único competente para dirimir quaisquer questões ou litígios oriundos ou fundados neste Contrato de 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em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vias, de igual teor e forma e para o mesmo fim, na presença de 02 (duas) testemunhas.</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São Paulo,</w:t>
      </w:r>
      <w:r w:rsidR="00E941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00280819" w:rsidRPr="00A800E7">
        <w:rPr>
          <w:rFonts w:asciiTheme="minorHAnsi" w:hAnsiTheme="minorHAnsi" w:cstheme="minorHAnsi"/>
          <w:lang w:val="pt-BR"/>
        </w:rPr>
        <w:t xml:space="preserve"> </w:t>
      </w:r>
      <w:r w:rsidRPr="00A800E7">
        <w:rPr>
          <w:rFonts w:asciiTheme="minorHAnsi" w:hAnsiTheme="minorHAnsi" w:cstheme="minorHAnsi"/>
          <w:lang w:val="pt-BR"/>
        </w:rPr>
        <w:t xml:space="preserve">de </w:t>
      </w:r>
      <w:r w:rsidR="005E1354" w:rsidRPr="00C510C8">
        <w:rPr>
          <w:rFonts w:ascii="Calibri" w:eastAsia="Times New Roman" w:hAnsi="Calibri" w:cs="Calibri"/>
          <w:color w:val="000000"/>
          <w:w w:val="0"/>
          <w:highlight w:val="yellow"/>
          <w:lang w:val="pt-BR" w:eastAsia="pt-BR"/>
        </w:rPr>
        <w:t>[=]</w:t>
      </w:r>
      <w:r w:rsidR="00280819" w:rsidRPr="00AD50AD">
        <w:rPr>
          <w:rFonts w:asciiTheme="minorHAnsi" w:hAnsiTheme="minorHAnsi" w:cstheme="minorHAnsi"/>
          <w:lang w:val="pt-BR"/>
        </w:rPr>
        <w:t xml:space="preserve"> </w:t>
      </w:r>
      <w:r w:rsidRPr="00AD50AD">
        <w:rPr>
          <w:rFonts w:asciiTheme="minorHAnsi" w:hAnsiTheme="minorHAnsi" w:cstheme="minorHAnsi"/>
          <w:lang w:val="pt-BR"/>
        </w:rPr>
        <w:t xml:space="preserve">de </w:t>
      </w:r>
      <w:r w:rsidR="00436D02" w:rsidRPr="00AD50AD">
        <w:rPr>
          <w:rFonts w:asciiTheme="minorHAnsi" w:hAnsiTheme="minorHAnsi" w:cstheme="minorHAnsi"/>
          <w:lang w:val="pt-BR"/>
        </w:rPr>
        <w:t>201</w:t>
      </w:r>
      <w:r w:rsidR="005E1354">
        <w:rPr>
          <w:rFonts w:asciiTheme="minorHAnsi" w:hAnsiTheme="minorHAnsi" w:cstheme="minorHAnsi"/>
          <w:lang w:val="pt-BR"/>
        </w:rPr>
        <w:t>9.</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even" r:id="rId8"/>
          <w:headerReference w:type="default" r:id="rId9"/>
          <w:footerReference w:type="even" r:id="rId10"/>
          <w:footerReference w:type="default" r:id="rId11"/>
          <w:headerReference w:type="first" r:id="rId12"/>
          <w:footerReference w:type="first" r:id="rId13"/>
          <w:pgSz w:w="11900" w:h="16840" w:code="9"/>
          <w:pgMar w:top="1417" w:right="1701" w:bottom="1417" w:left="1701" w:header="0" w:footer="1084" w:gutter="0"/>
          <w:cols w:space="720"/>
          <w:docGrid w:linePitch="299"/>
        </w:sectPr>
      </w:pPr>
    </w:p>
    <w:p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5E1354"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AD50AD">
            <w:pPr>
              <w:pStyle w:val="Ttulo1"/>
              <w:tabs>
                <w:tab w:val="left" w:pos="567"/>
              </w:tabs>
              <w:spacing w:line="320" w:lineRule="exact"/>
              <w:ind w:left="0"/>
              <w:contextualSpacing/>
              <w:rPr>
                <w:rFonts w:asciiTheme="minorHAnsi" w:hAnsiTheme="minorHAnsi" w:cstheme="minorHAnsi"/>
                <w:b w:val="0"/>
                <w:lang w:val="pt-BR"/>
              </w:rPr>
            </w:pPr>
            <w:r w:rsidRPr="005E1354">
              <w:rPr>
                <w:rFonts w:asciiTheme="minorHAnsi" w:hAnsiTheme="minorHAnsi" w:cstheme="minorHAnsi"/>
                <w:highlight w:val="yellow"/>
                <w:lang w:val="pt-BR"/>
              </w:rPr>
              <w:t>[=]</w:t>
            </w:r>
          </w:p>
          <w:p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SECURITIZADORA S.A.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8A7506"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Tr="00436D02">
        <w:tc>
          <w:tcPr>
            <w:tcW w:w="8488" w:type="dxa"/>
            <w:gridSpan w:val="2"/>
          </w:tcPr>
          <w:p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highlight w:val="yellow"/>
                <w:lang w:val="pt-BR"/>
              </w:rPr>
              <w:t>[=]</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277910" w:rsidRDefault="00277910">
      <w:pPr>
        <w:rPr>
          <w:rFonts w:asciiTheme="minorHAnsi" w:hAnsiTheme="minorHAnsi" w:cstheme="minorHAnsi"/>
          <w:b/>
          <w:lang w:val="pt-BR"/>
        </w:rPr>
      </w:pPr>
      <w:r>
        <w:rPr>
          <w:rFonts w:asciiTheme="minorHAnsi" w:hAnsiTheme="minorHAnsi" w:cstheme="minorHAnsi"/>
          <w:b/>
          <w:lang w:val="pt-BR"/>
        </w:rPr>
        <w:br w:type="page"/>
      </w:r>
    </w:p>
    <w:p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ANEXO 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4"/>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
    <w:p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t>ANEXO II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 xml:space="preserve">Contratos de Compra e Venda e dos </w:t>
      </w:r>
      <w:r w:rsidRPr="004754A5">
        <w:rPr>
          <w:rFonts w:asciiTheme="minorHAnsi" w:hAnsiTheme="minorHAnsi" w:cstheme="minorHAnsi"/>
          <w:lang w:val="pt-BR"/>
        </w:rPr>
        <w:t>Imóveis</w:t>
      </w:r>
    </w:p>
    <w:p w:rsidR="00F215F5" w:rsidRDefault="00F215F5" w:rsidP="007A1412">
      <w:pPr>
        <w:pStyle w:val="Corpodetexto"/>
        <w:tabs>
          <w:tab w:val="left" w:pos="567"/>
        </w:tabs>
        <w:spacing w:line="320" w:lineRule="exact"/>
        <w:contextualSpacing/>
        <w:rPr>
          <w:rFonts w:asciiTheme="minorHAnsi" w:hAnsiTheme="minorHAnsi" w:cstheme="minorHAnsi"/>
          <w:lang w:val="pt-BR"/>
        </w:rPr>
      </w:pPr>
    </w:p>
    <w:p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inserir.]</w:t>
      </w:r>
    </w:p>
    <w:p w:rsidR="00AC4E40" w:rsidRDefault="00AC4E40"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pPr>
        <w:rPr>
          <w:rFonts w:asciiTheme="minorHAnsi" w:hAnsiTheme="minorHAnsi" w:cstheme="minorHAnsi"/>
          <w:lang w:val="pt-BR"/>
        </w:rPr>
      </w:pPr>
      <w:r>
        <w:rPr>
          <w:rFonts w:asciiTheme="minorHAnsi" w:hAnsiTheme="minorHAnsi" w:cstheme="minorHAnsi"/>
          <w:lang w:val="pt-BR"/>
        </w:rPr>
        <w:br w:type="page"/>
      </w:r>
    </w:p>
    <w:p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t>ANEXO II</w:t>
      </w:r>
      <w:r>
        <w:rPr>
          <w:rFonts w:asciiTheme="minorHAnsi" w:hAnsiTheme="minorHAnsi" w:cstheme="minorHAnsi"/>
          <w:lang w:val="pt-BR"/>
        </w:rPr>
        <w:t>I</w:t>
      </w:r>
    </w:p>
    <w:p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rsidR="00726F84" w:rsidRDefault="00726F84" w:rsidP="00726F84">
      <w:pPr>
        <w:pStyle w:val="Corpodetexto"/>
        <w:tabs>
          <w:tab w:val="left" w:pos="567"/>
        </w:tabs>
        <w:spacing w:line="320" w:lineRule="exact"/>
        <w:contextualSpacing/>
        <w:rPr>
          <w:rFonts w:asciiTheme="minorHAnsi" w:hAnsiTheme="minorHAnsi" w:cstheme="minorHAnsi"/>
          <w:lang w:val="pt-BR"/>
        </w:rPr>
      </w:pP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w:t>
      </w:r>
      <w:r>
        <w:rPr>
          <w:rFonts w:asciiTheme="minorHAnsi" w:hAnsiTheme="minorHAnsi" w:cstheme="minorHAnsi"/>
          <w:lang w:val="pt-BR"/>
        </w:rPr>
        <w:t xml:space="preserve">não </w:t>
      </w:r>
      <w:r>
        <w:rPr>
          <w:rFonts w:asciiTheme="minorHAnsi" w:hAnsiTheme="minorHAnsi" w:cstheme="minorHAnsi"/>
          <w:lang w:val="pt-BR"/>
        </w:rPr>
        <w:t xml:space="preserve">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w:t>
      </w:r>
      <w:r>
        <w:rPr>
          <w:rFonts w:asciiTheme="minorHAnsi" w:hAnsiTheme="minorHAnsi" w:cstheme="minorHAnsi"/>
          <w:lang w:val="pt-BR"/>
        </w:rPr>
        <w:t xml:space="preserve">setenta </w:t>
      </w:r>
      <w:bookmarkStart w:id="37" w:name="_GoBack"/>
      <w:bookmarkEnd w:id="37"/>
      <w:r>
        <w:rPr>
          <w:rFonts w:asciiTheme="minorHAnsi" w:hAnsiTheme="minorHAnsi" w:cstheme="minorHAnsi"/>
          <w:lang w:val="pt-BR"/>
        </w:rPr>
        <w:t>por cento) do valor total do contrato</w:t>
      </w:r>
      <w:r w:rsidRPr="00726F84">
        <w:rPr>
          <w:rFonts w:asciiTheme="minorHAnsi" w:hAnsiTheme="minorHAnsi" w:cstheme="minorHAnsi"/>
          <w:lang w:val="pt-BR"/>
        </w:rPr>
        <w:t>.</w:t>
      </w:r>
    </w:p>
    <w:p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rsidR="00D64BEB" w:rsidRDefault="00D64BEB" w:rsidP="00726F84">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5"/>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06" w:rsidRDefault="008A7506">
      <w:r>
        <w:separator/>
      </w:r>
    </w:p>
  </w:endnote>
  <w:endnote w:type="continuationSeparator" w:id="0">
    <w:p w:rsidR="008A7506" w:rsidRDefault="008A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Default="008A750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673210"/>
      <w:docPartObj>
        <w:docPartGallery w:val="Page Numbers (Bottom of Page)"/>
        <w:docPartUnique/>
      </w:docPartObj>
    </w:sdtPr>
    <w:sdtEndPr>
      <w:rPr>
        <w:rFonts w:asciiTheme="minorHAnsi" w:hAnsiTheme="minorHAnsi"/>
        <w:sz w:val="20"/>
      </w:rPr>
    </w:sdtEndPr>
    <w:sdtContent>
      <w:p w:rsidR="008A7506" w:rsidRPr="00A03631" w:rsidRDefault="008A7506">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00F80A0A" w:rsidRPr="00F80A0A">
          <w:rPr>
            <w:rFonts w:asciiTheme="minorHAnsi" w:hAnsiTheme="minorHAnsi"/>
            <w:noProof/>
            <w:sz w:val="20"/>
            <w:lang w:val="pt-BR"/>
          </w:rPr>
          <w:t>17</w:t>
        </w:r>
        <w:r w:rsidRPr="00A03631">
          <w:rPr>
            <w:rFonts w:asciiTheme="minorHAnsi" w:hAnsiTheme="minorHAnsi"/>
            <w:sz w:val="20"/>
          </w:rPr>
          <w:fldChar w:fldCharType="end"/>
        </w:r>
      </w:p>
    </w:sdtContent>
  </w:sdt>
  <w:p w:rsidR="008A7506" w:rsidRPr="009E7976" w:rsidRDefault="008A7506" w:rsidP="009E7976">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Default="008A7506">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91801"/>
      <w:docPartObj>
        <w:docPartGallery w:val="Page Numbers (Bottom of Page)"/>
        <w:docPartUnique/>
      </w:docPartObj>
    </w:sdtPr>
    <w:sdtContent>
      <w:p w:rsidR="008A7506" w:rsidRDefault="008A7506">
        <w:pPr>
          <w:pStyle w:val="Rodap"/>
          <w:jc w:val="right"/>
        </w:pPr>
      </w:p>
    </w:sdtContent>
  </w:sdt>
  <w:p w:rsidR="008A7506" w:rsidRPr="003B44D9" w:rsidRDefault="008A7506">
    <w:pPr>
      <w:pStyle w:val="Corpodetexto"/>
      <w:spacing w:line="14" w:lineRule="auto"/>
      <w:rPr>
        <w:rFonts w:ascii="Arial" w:hAnsi="Arial" w:cs="Arial"/>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Pr="00E3724F" w:rsidRDefault="008A7506">
    <w:pPr>
      <w:pStyle w:val="Rodap"/>
      <w:jc w:val="right"/>
      <w:rPr>
        <w:rFonts w:ascii="Calibri" w:hAnsi="Calibri" w:cs="Calibri"/>
        <w:sz w:val="20"/>
      </w:rPr>
    </w:pPr>
  </w:p>
  <w:p w:rsidR="00F80A0A" w:rsidRDefault="00F80A0A" w:rsidP="00F80A0A">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8A7506" w:rsidRPr="00F80A0A" w:rsidRDefault="00F80A0A" w:rsidP="00F80A0A">
    <w:pPr>
      <w:pStyle w:val="Corpodetexto"/>
      <w:spacing w:line="14" w:lineRule="auto"/>
      <w:rPr>
        <w:rFonts w:ascii="Arial" w:hAnsi="Arial" w:cs="Arial"/>
        <w:sz w:val="16"/>
      </w:rPr>
    </w:pPr>
    <w:r>
      <w:rPr>
        <w:rFonts w:ascii="Arial" w:hAnsi="Arial" w:cs="Arial"/>
        <w:sz w:val="16"/>
      </w:rPr>
      <w:t xml:space="preserve">1177503v4 1036/2 </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06" w:rsidRDefault="008A7506">
      <w:r>
        <w:separator/>
      </w:r>
    </w:p>
  </w:footnote>
  <w:footnote w:type="continuationSeparator" w:id="0">
    <w:p w:rsidR="008A7506" w:rsidRDefault="008A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Default="008A75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Default="008A7506">
    <w:pPr>
      <w:pStyle w:val="Cabealho"/>
    </w:pPr>
  </w:p>
  <w:p w:rsidR="008A7506" w:rsidRDefault="008A7506">
    <w:pPr>
      <w:pStyle w:val="Cabealho"/>
    </w:pPr>
  </w:p>
  <w:p w:rsidR="008A7506" w:rsidRDefault="008A7506" w:rsidP="00CD316B">
    <w:pPr>
      <w:pStyle w:val="Cabealho"/>
      <w:jc w:val="right"/>
      <w:rPr>
        <w:rFonts w:asciiTheme="minorHAnsi" w:hAnsiTheme="minorHAnsi"/>
        <w:b/>
        <w:i/>
        <w:sz w:val="20"/>
      </w:rPr>
    </w:pPr>
    <w:r>
      <w:rPr>
        <w:rFonts w:asciiTheme="minorHAnsi" w:hAnsiTheme="minorHAnsi"/>
        <w:b/>
        <w:i/>
        <w:sz w:val="20"/>
      </w:rPr>
      <w:t>Minuta Madrona</w:t>
    </w:r>
  </w:p>
  <w:p w:rsidR="008A7506" w:rsidRPr="00CD316B" w:rsidRDefault="008A7506" w:rsidP="00CD316B">
    <w:pPr>
      <w:pStyle w:val="Cabealho"/>
      <w:jc w:val="right"/>
      <w:rPr>
        <w:rFonts w:asciiTheme="minorHAnsi" w:hAnsiTheme="minorHAnsi"/>
        <w:i/>
        <w:sz w:val="20"/>
      </w:rPr>
    </w:pPr>
    <w:r>
      <w:rPr>
        <w:rFonts w:asciiTheme="minorHAnsi" w:hAnsiTheme="minorHAnsi"/>
        <w:i/>
        <w:sz w:val="20"/>
      </w:rPr>
      <w:t>02.05.2019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06" w:rsidRDefault="008A750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7"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8"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1"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2"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3"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4"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5"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6"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18"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19"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0"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9"/>
  </w:num>
  <w:num w:numId="3">
    <w:abstractNumId w:val="17"/>
  </w:num>
  <w:num w:numId="4">
    <w:abstractNumId w:val="11"/>
  </w:num>
  <w:num w:numId="5">
    <w:abstractNumId w:val="0"/>
  </w:num>
  <w:num w:numId="6">
    <w:abstractNumId w:val="6"/>
  </w:num>
  <w:num w:numId="7">
    <w:abstractNumId w:val="1"/>
  </w:num>
  <w:num w:numId="8">
    <w:abstractNumId w:val="10"/>
  </w:num>
  <w:num w:numId="9">
    <w:abstractNumId w:val="13"/>
  </w:num>
  <w:num w:numId="10">
    <w:abstractNumId w:val="2"/>
  </w:num>
  <w:num w:numId="11">
    <w:abstractNumId w:val="12"/>
  </w:num>
  <w:num w:numId="12">
    <w:abstractNumId w:val="3"/>
  </w:num>
  <w:num w:numId="13">
    <w:abstractNumId w:val="18"/>
  </w:num>
  <w:num w:numId="14">
    <w:abstractNumId w:val="14"/>
  </w:num>
  <w:num w:numId="15">
    <w:abstractNumId w:val="15"/>
  </w:num>
  <w:num w:numId="16">
    <w:abstractNumId w:val="21"/>
  </w:num>
  <w:num w:numId="17">
    <w:abstractNumId w:val="20"/>
  </w:num>
  <w:num w:numId="18">
    <w:abstractNumId w:val="5"/>
  </w:num>
  <w:num w:numId="19">
    <w:abstractNumId w:val="16"/>
  </w:num>
  <w:num w:numId="20">
    <w:abstractNumId w:val="8"/>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C"/>
    <w:rsid w:val="00005606"/>
    <w:rsid w:val="00007AC3"/>
    <w:rsid w:val="0001414B"/>
    <w:rsid w:val="0001447B"/>
    <w:rsid w:val="00020057"/>
    <w:rsid w:val="000341A0"/>
    <w:rsid w:val="00037949"/>
    <w:rsid w:val="00042071"/>
    <w:rsid w:val="00042BCD"/>
    <w:rsid w:val="00051A75"/>
    <w:rsid w:val="00052BBD"/>
    <w:rsid w:val="00055731"/>
    <w:rsid w:val="00067810"/>
    <w:rsid w:val="00084613"/>
    <w:rsid w:val="00094101"/>
    <w:rsid w:val="00095430"/>
    <w:rsid w:val="000A7E8E"/>
    <w:rsid w:val="000B0520"/>
    <w:rsid w:val="000D2669"/>
    <w:rsid w:val="000E63EF"/>
    <w:rsid w:val="000F0DC8"/>
    <w:rsid w:val="00101107"/>
    <w:rsid w:val="00103D97"/>
    <w:rsid w:val="001159C5"/>
    <w:rsid w:val="001210F2"/>
    <w:rsid w:val="00124AA0"/>
    <w:rsid w:val="00130E96"/>
    <w:rsid w:val="001347A8"/>
    <w:rsid w:val="00134C46"/>
    <w:rsid w:val="00136149"/>
    <w:rsid w:val="00143519"/>
    <w:rsid w:val="00146F7B"/>
    <w:rsid w:val="0015156B"/>
    <w:rsid w:val="00155E7E"/>
    <w:rsid w:val="00160C29"/>
    <w:rsid w:val="00163DE7"/>
    <w:rsid w:val="001A2703"/>
    <w:rsid w:val="001B0A97"/>
    <w:rsid w:val="001B44EE"/>
    <w:rsid w:val="001C2CB9"/>
    <w:rsid w:val="001D3520"/>
    <w:rsid w:val="001D3E91"/>
    <w:rsid w:val="001F4D89"/>
    <w:rsid w:val="0021551B"/>
    <w:rsid w:val="00235227"/>
    <w:rsid w:val="00240987"/>
    <w:rsid w:val="00242474"/>
    <w:rsid w:val="00277910"/>
    <w:rsid w:val="00280819"/>
    <w:rsid w:val="0028590D"/>
    <w:rsid w:val="00294695"/>
    <w:rsid w:val="002949BF"/>
    <w:rsid w:val="002A1F16"/>
    <w:rsid w:val="002B1F25"/>
    <w:rsid w:val="002B5DAF"/>
    <w:rsid w:val="002B5FAA"/>
    <w:rsid w:val="002C2391"/>
    <w:rsid w:val="002D05B4"/>
    <w:rsid w:val="002D30C9"/>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A1D09"/>
    <w:rsid w:val="003B44D9"/>
    <w:rsid w:val="003D2128"/>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D2A27"/>
    <w:rsid w:val="004E0CA9"/>
    <w:rsid w:val="004E2904"/>
    <w:rsid w:val="004E55BD"/>
    <w:rsid w:val="004F104F"/>
    <w:rsid w:val="00504778"/>
    <w:rsid w:val="00505AB3"/>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52F9"/>
    <w:rsid w:val="00675F47"/>
    <w:rsid w:val="00682557"/>
    <w:rsid w:val="006841C4"/>
    <w:rsid w:val="00685DFD"/>
    <w:rsid w:val="00686AB6"/>
    <w:rsid w:val="006877B3"/>
    <w:rsid w:val="006A12E7"/>
    <w:rsid w:val="006A40BE"/>
    <w:rsid w:val="006A591E"/>
    <w:rsid w:val="006B0EE2"/>
    <w:rsid w:val="006B38AC"/>
    <w:rsid w:val="006B54B4"/>
    <w:rsid w:val="006B767A"/>
    <w:rsid w:val="006C6806"/>
    <w:rsid w:val="006D6EF4"/>
    <w:rsid w:val="006E6695"/>
    <w:rsid w:val="006F2F19"/>
    <w:rsid w:val="006F4BD5"/>
    <w:rsid w:val="00703198"/>
    <w:rsid w:val="00711FEC"/>
    <w:rsid w:val="00714FC6"/>
    <w:rsid w:val="00717C43"/>
    <w:rsid w:val="00726F84"/>
    <w:rsid w:val="00751879"/>
    <w:rsid w:val="00752496"/>
    <w:rsid w:val="0075641F"/>
    <w:rsid w:val="007A1412"/>
    <w:rsid w:val="007A36EB"/>
    <w:rsid w:val="007C21F8"/>
    <w:rsid w:val="007D4B6E"/>
    <w:rsid w:val="007F0258"/>
    <w:rsid w:val="007F19C9"/>
    <w:rsid w:val="007F6A1E"/>
    <w:rsid w:val="008105C1"/>
    <w:rsid w:val="00813F98"/>
    <w:rsid w:val="00832BDB"/>
    <w:rsid w:val="0083390B"/>
    <w:rsid w:val="00836B36"/>
    <w:rsid w:val="00847431"/>
    <w:rsid w:val="00851A33"/>
    <w:rsid w:val="0086745D"/>
    <w:rsid w:val="00892F8C"/>
    <w:rsid w:val="008A0D3E"/>
    <w:rsid w:val="008A7506"/>
    <w:rsid w:val="008F45C5"/>
    <w:rsid w:val="0090045D"/>
    <w:rsid w:val="00911F36"/>
    <w:rsid w:val="00916CA9"/>
    <w:rsid w:val="00920A63"/>
    <w:rsid w:val="009273CB"/>
    <w:rsid w:val="00932FEE"/>
    <w:rsid w:val="00935376"/>
    <w:rsid w:val="00940356"/>
    <w:rsid w:val="00947271"/>
    <w:rsid w:val="00973E40"/>
    <w:rsid w:val="00983CAD"/>
    <w:rsid w:val="00990545"/>
    <w:rsid w:val="009973E4"/>
    <w:rsid w:val="009A10D7"/>
    <w:rsid w:val="009A576B"/>
    <w:rsid w:val="009A7345"/>
    <w:rsid w:val="009A7A43"/>
    <w:rsid w:val="009B04BA"/>
    <w:rsid w:val="009B0E0B"/>
    <w:rsid w:val="009E0DDD"/>
    <w:rsid w:val="009E7976"/>
    <w:rsid w:val="009F3A56"/>
    <w:rsid w:val="00A03631"/>
    <w:rsid w:val="00A04FBB"/>
    <w:rsid w:val="00A06D23"/>
    <w:rsid w:val="00A35CB5"/>
    <w:rsid w:val="00A36778"/>
    <w:rsid w:val="00A60408"/>
    <w:rsid w:val="00A72680"/>
    <w:rsid w:val="00A800E7"/>
    <w:rsid w:val="00A87B1E"/>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22674"/>
    <w:rsid w:val="00B37554"/>
    <w:rsid w:val="00B55677"/>
    <w:rsid w:val="00B563F1"/>
    <w:rsid w:val="00B621AE"/>
    <w:rsid w:val="00B757C3"/>
    <w:rsid w:val="00B87C2E"/>
    <w:rsid w:val="00B93C34"/>
    <w:rsid w:val="00BC08CC"/>
    <w:rsid w:val="00BD20C5"/>
    <w:rsid w:val="00BE0515"/>
    <w:rsid w:val="00BE0AFB"/>
    <w:rsid w:val="00BF0542"/>
    <w:rsid w:val="00BF7310"/>
    <w:rsid w:val="00C00833"/>
    <w:rsid w:val="00C028D2"/>
    <w:rsid w:val="00C24F63"/>
    <w:rsid w:val="00C3552F"/>
    <w:rsid w:val="00C36720"/>
    <w:rsid w:val="00C47E35"/>
    <w:rsid w:val="00C510C8"/>
    <w:rsid w:val="00C56093"/>
    <w:rsid w:val="00C609F7"/>
    <w:rsid w:val="00C65A55"/>
    <w:rsid w:val="00C668E6"/>
    <w:rsid w:val="00C83851"/>
    <w:rsid w:val="00C85365"/>
    <w:rsid w:val="00C86544"/>
    <w:rsid w:val="00C869DE"/>
    <w:rsid w:val="00C966BB"/>
    <w:rsid w:val="00C96ADC"/>
    <w:rsid w:val="00CB3034"/>
    <w:rsid w:val="00CB4B19"/>
    <w:rsid w:val="00CB5241"/>
    <w:rsid w:val="00CC0E47"/>
    <w:rsid w:val="00CD316B"/>
    <w:rsid w:val="00CD31ED"/>
    <w:rsid w:val="00CD343D"/>
    <w:rsid w:val="00CD3C0E"/>
    <w:rsid w:val="00CD778B"/>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7217"/>
    <w:rsid w:val="00DE5863"/>
    <w:rsid w:val="00DE7A5A"/>
    <w:rsid w:val="00DF28A0"/>
    <w:rsid w:val="00E13372"/>
    <w:rsid w:val="00E24DFC"/>
    <w:rsid w:val="00E3724F"/>
    <w:rsid w:val="00E43C5B"/>
    <w:rsid w:val="00E60C21"/>
    <w:rsid w:val="00E60E59"/>
    <w:rsid w:val="00E66041"/>
    <w:rsid w:val="00E71A0C"/>
    <w:rsid w:val="00E941AD"/>
    <w:rsid w:val="00EA6A06"/>
    <w:rsid w:val="00EB5EB1"/>
    <w:rsid w:val="00EC66B0"/>
    <w:rsid w:val="00ED6A28"/>
    <w:rsid w:val="00EF1EFE"/>
    <w:rsid w:val="00F02FC2"/>
    <w:rsid w:val="00F11458"/>
    <w:rsid w:val="00F11FFD"/>
    <w:rsid w:val="00F124C6"/>
    <w:rsid w:val="00F15B84"/>
    <w:rsid w:val="00F215F5"/>
    <w:rsid w:val="00F35EB6"/>
    <w:rsid w:val="00F41600"/>
    <w:rsid w:val="00F5577A"/>
    <w:rsid w:val="00F64A49"/>
    <w:rsid w:val="00F759BE"/>
    <w:rsid w:val="00F80A0A"/>
    <w:rsid w:val="00F8314F"/>
    <w:rsid w:val="00F92CD5"/>
    <w:rsid w:val="00FC1E1C"/>
    <w:rsid w:val="00FD37E3"/>
    <w:rsid w:val="00FD4582"/>
    <w:rsid w:val="00FD67DB"/>
    <w:rsid w:val="00FE759C"/>
    <w:rsid w:val="00FE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9EFD4-951B-49C4-ADBA-EAC4307E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11316</Words>
  <Characters>61108</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Camilla de Campos Escudero Paiva</cp:lastModifiedBy>
  <cp:revision>2</cp:revision>
  <cp:lastPrinted>2019-05-02T22:13:00Z</cp:lastPrinted>
  <dcterms:created xsi:type="dcterms:W3CDTF">2019-05-02T22:13:00Z</dcterms:created>
  <dcterms:modified xsi:type="dcterms:W3CDTF">2019-05-02T22:13:00Z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_x000d_1177503v4 1036/2 </vt:lpwstr>
  </property>
</Properties>
</file>