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2B44667F" w:rsidR="0037677E" w:rsidRPr="009B6AD0" w:rsidRDefault="009B6AD0" w:rsidP="00B340E7">
      <w:pPr>
        <w:pStyle w:val="Corpodetexto"/>
        <w:widowControl w:val="0"/>
        <w:spacing w:after="0" w:line="320" w:lineRule="exact"/>
        <w:contextualSpacing/>
        <w:jc w:val="both"/>
        <w:rPr>
          <w:rFonts w:ascii="Tahoma" w:hAnsi="Tahoma" w:cs="Tahoma"/>
        </w:rPr>
      </w:pPr>
      <w:r w:rsidRPr="00DD0CEF">
        <w:rPr>
          <w:rFonts w:ascii="Tahoma" w:hAnsi="Tahoma" w:cs="Tahoma"/>
          <w:b/>
          <w:bCs/>
        </w:rPr>
        <w:t>SALAS INCORPORAÇÕES LTDA.</w:t>
      </w:r>
      <w:r w:rsidRPr="00DD0CEF">
        <w:rPr>
          <w:rFonts w:ascii="Tahoma" w:hAnsi="Tahoma" w:cs="Tahoma"/>
        </w:rPr>
        <w:t>,</w:t>
      </w:r>
      <w:r>
        <w:rPr>
          <w:rFonts w:ascii="Tahoma" w:hAnsi="Tahoma" w:cs="Tahoma"/>
        </w:rPr>
        <w:t xml:space="preserve"> sociedade limitada</w:t>
      </w:r>
      <w:r w:rsidRPr="00DD0CEF">
        <w:rPr>
          <w:rFonts w:ascii="Tahoma" w:hAnsi="Tahoma" w:cs="Tahoma"/>
        </w:rPr>
        <w:t xml:space="preserve"> devidamente registrada </w:t>
      </w:r>
      <w:r>
        <w:rPr>
          <w:rFonts w:ascii="Tahoma" w:hAnsi="Tahoma" w:cs="Tahoma"/>
        </w:rPr>
        <w:t xml:space="preserve">na </w:t>
      </w:r>
      <w:r w:rsidRPr="00DD0CEF">
        <w:rPr>
          <w:rFonts w:ascii="Tahoma" w:hAnsi="Tahoma" w:cs="Tahoma"/>
        </w:rPr>
        <w:t>Junta Comercial do Mato Grosso - JUCEMAT sob NIRE nº 51.200.100.655, em sessão de</w:t>
      </w:r>
      <w:r>
        <w:rPr>
          <w:rFonts w:ascii="Tahoma" w:hAnsi="Tahoma" w:cs="Tahoma"/>
        </w:rPr>
        <w:t xml:space="preserve"> </w:t>
      </w:r>
      <w:r w:rsidRPr="00DD0CEF">
        <w:rPr>
          <w:rFonts w:ascii="Tahoma" w:hAnsi="Tahoma" w:cs="Tahoma"/>
        </w:rPr>
        <w:t xml:space="preserve">02/02/1984, com sede na 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r>
        <w:rPr>
          <w:rFonts w:ascii="Tahoma" w:hAnsi="Tahoma" w:cs="Tahoma"/>
        </w:rPr>
        <w:t xml:space="preserve">, na Cidade de </w:t>
      </w:r>
      <w:r w:rsidRPr="00DD0CEF">
        <w:rPr>
          <w:rFonts w:ascii="Tahoma" w:hAnsi="Tahoma" w:cs="Tahoma"/>
        </w:rPr>
        <w:t xml:space="preserve"> Rondonópolis</w:t>
      </w:r>
      <w:r>
        <w:rPr>
          <w:rFonts w:ascii="Tahoma" w:hAnsi="Tahoma" w:cs="Tahoma"/>
        </w:rPr>
        <w:t xml:space="preserve">, Estado do Mato Grosso, </w:t>
      </w:r>
      <w:r w:rsidRPr="00DD0CEF">
        <w:rPr>
          <w:rFonts w:ascii="Tahoma" w:hAnsi="Tahoma" w:cs="Tahoma"/>
        </w:rPr>
        <w:t>CEP: 78.740-018, devidamente inscrita no Cadastro Nacional de Pessoa Jurídica do Ministério da Economia (“</w:t>
      </w:r>
      <w:r w:rsidRPr="00DD0CEF">
        <w:rPr>
          <w:rFonts w:ascii="Tahoma" w:hAnsi="Tahoma" w:cs="Tahoma"/>
          <w:u w:val="single"/>
        </w:rPr>
        <w:t>CNPJ/ME</w:t>
      </w:r>
      <w:r w:rsidRPr="00DD0CEF">
        <w:rPr>
          <w:rFonts w:ascii="Tahoma" w:hAnsi="Tahoma" w:cs="Tahoma"/>
        </w:rPr>
        <w:t>”)</w:t>
      </w:r>
      <w:r>
        <w:rPr>
          <w:rFonts w:ascii="Tahoma" w:hAnsi="Tahoma" w:cs="Tahoma"/>
        </w:rPr>
        <w:t xml:space="preserve"> sob o </w:t>
      </w:r>
      <w:r w:rsidRPr="00DD0CEF">
        <w:rPr>
          <w:rFonts w:ascii="Tahoma" w:hAnsi="Tahoma" w:cs="Tahoma"/>
        </w:rPr>
        <w:t>nº 00.784.595/0001-13</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09988611" w14:textId="77777777" w:rsidR="00471C98" w:rsidRPr="009B6AD0" w:rsidRDefault="00471C98"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0E3B439" w:rsidR="007D0ADE" w:rsidRPr="009B6AD0" w:rsidRDefault="003A1075" w:rsidP="00B340E7">
      <w:pPr>
        <w:pStyle w:val="PargrafodaLista"/>
        <w:numPr>
          <w:ilvl w:val="0"/>
          <w:numId w:val="75"/>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Pr>
          <w:rFonts w:ascii="Tahoma" w:hAnsi="Tahoma" w:cs="Tahoma"/>
        </w:rPr>
        <w:t>118.758</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Pr>
          <w:rFonts w:ascii="Tahoma" w:hAnsi="Tahoma" w:cs="Tahoma"/>
        </w:rPr>
        <w:t>Villa Barão</w:t>
      </w:r>
      <w:r w:rsidRPr="00DD1917">
        <w:rPr>
          <w:rFonts w:ascii="Tahoma" w:hAnsi="Tahoma" w:cs="Tahoma"/>
        </w:rPr>
        <w:t xml:space="preserve">”, situado na Rua </w:t>
      </w:r>
      <w:r>
        <w:rPr>
          <w:rFonts w:ascii="Tahoma" w:hAnsi="Tahoma" w:cs="Tahoma"/>
        </w:rPr>
        <w:t>Jorge Rico</w:t>
      </w:r>
      <w:r w:rsidRPr="00DD1917">
        <w:rPr>
          <w:rFonts w:ascii="Tahoma" w:hAnsi="Tahoma" w:cs="Tahoma"/>
        </w:rPr>
        <w:t xml:space="preserve">, </w:t>
      </w:r>
      <w:r>
        <w:rPr>
          <w:rFonts w:ascii="Tahoma" w:hAnsi="Tahoma" w:cs="Tahoma"/>
        </w:rPr>
        <w:t>476, lote 7/10 da quadra nº 23</w:t>
      </w:r>
      <w:r w:rsidRPr="00DD1917">
        <w:rPr>
          <w:rFonts w:ascii="Tahoma" w:hAnsi="Tahoma" w:cs="Tahoma"/>
        </w:rPr>
        <w:t>,</w:t>
      </w:r>
      <w:r>
        <w:rPr>
          <w:rFonts w:ascii="Tahoma" w:hAnsi="Tahoma" w:cs="Tahoma"/>
        </w:rPr>
        <w:t xml:space="preserve"> no loteamento Jardim Santa Marta,</w:t>
      </w:r>
      <w:r w:rsidRPr="00DD1917">
        <w:rPr>
          <w:rFonts w:ascii="Tahoma" w:hAnsi="Tahoma" w:cs="Tahoma"/>
        </w:rPr>
        <w:t xml:space="preserve"> no Município de Rondonópolis, Estado do Mato Grosso (“</w:t>
      </w:r>
      <w:r w:rsidRPr="00DD1917">
        <w:rPr>
          <w:rFonts w:ascii="Tahoma" w:hAnsi="Tahoma" w:cs="Tahoma"/>
          <w:u w:val="single"/>
        </w:rPr>
        <w:t xml:space="preserve">Empreendimento </w:t>
      </w:r>
      <w:r>
        <w:rPr>
          <w:rFonts w:ascii="Tahoma" w:hAnsi="Tahoma" w:cs="Tahoma"/>
          <w:u w:val="single"/>
        </w:rPr>
        <w:t>Villa Barão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3028CB53" w:rsidR="00E838E3" w:rsidRPr="009B6AD0" w:rsidRDefault="00447E05" w:rsidP="00447E05">
      <w:pPr>
        <w:pStyle w:val="PargrafodaLista"/>
        <w:numPr>
          <w:ilvl w:val="0"/>
          <w:numId w:val="75"/>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Pr="00447E05">
        <w:rPr>
          <w:rFonts w:ascii="Tahoma" w:hAnsi="Tahoma" w:cs="Tahoma"/>
          <w:highlight w:val="yellow"/>
        </w:rPr>
        <w:t>[•]</w:t>
      </w:r>
      <w:r w:rsidRPr="00447E05">
        <w:rPr>
          <w:rFonts w:ascii="Tahoma" w:hAnsi="Tahoma" w:cs="Tahoma"/>
        </w:rPr>
        <w:t xml:space="preserve"> de abril de 2020,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3A1075">
        <w:rPr>
          <w:rFonts w:ascii="Tahoma" w:hAnsi="Tahoma" w:cs="Tahoma"/>
        </w:rPr>
        <w:t>Villa</w:t>
      </w:r>
      <w:r w:rsidR="003A1075">
        <w:rPr>
          <w:rFonts w:ascii="Tahoma" w:hAnsi="Tahoma" w:cs="Tahoma"/>
        </w:rPr>
        <w:t xml:space="preserve"> </w:t>
      </w:r>
      <w:r w:rsidR="003A1075">
        <w:rPr>
          <w:rFonts w:ascii="Tahoma" w:hAnsi="Tahoma" w:cs="Tahoma"/>
        </w:rPr>
        <w:t>Barão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3A1075">
        <w:rPr>
          <w:rFonts w:ascii="Tahoma" w:hAnsi="Tahoma" w:cs="Tahoma"/>
        </w:rPr>
        <w:t>Villa Barão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77777777" w:rsidR="003A1075" w:rsidRPr="00DD0CEF" w:rsidRDefault="003A1075" w:rsidP="003A1075">
      <w:pPr>
        <w:widowControl w:val="0"/>
        <w:numPr>
          <w:ilvl w:val="0"/>
          <w:numId w:val="32"/>
        </w:numPr>
        <w:tabs>
          <w:tab w:val="left" w:pos="567"/>
          <w:tab w:val="left" w:pos="9356"/>
        </w:tabs>
        <w:spacing w:after="0" w:line="320" w:lineRule="exact"/>
        <w:ind w:left="567" w:right="4" w:hanging="567"/>
        <w:contextualSpacing/>
        <w:jc w:val="both"/>
        <w:rPr>
          <w:rFonts w:ascii="Tahoma" w:hAnsi="Tahoma" w:cs="Tahoma"/>
        </w:rPr>
      </w:pPr>
      <w:r w:rsidRPr="00DD1917">
        <w:rPr>
          <w:rFonts w:ascii="Tahoma" w:hAnsi="Tahoma" w:cs="Tahoma"/>
        </w:rPr>
        <w:t xml:space="preserve">O Empreendimento </w:t>
      </w:r>
      <w:r>
        <w:rPr>
          <w:rFonts w:ascii="Tahoma" w:hAnsi="Tahoma" w:cs="Tahoma"/>
        </w:rPr>
        <w:t>Villa Barão</w:t>
      </w:r>
      <w:r w:rsidRPr="00DD1917">
        <w:rPr>
          <w:rFonts w:ascii="Tahoma" w:hAnsi="Tahoma" w:cs="Tahoma"/>
        </w:rPr>
        <w:t xml:space="preserve">, cujos projetos foram aprovados pela municipalidade de Rondonópolis, Estado do Mato Gross, processo nº </w:t>
      </w:r>
      <w:r w:rsidRPr="00DD1917">
        <w:rPr>
          <w:rFonts w:ascii="Tahoma" w:hAnsi="Tahoma" w:cs="Tahoma"/>
          <w:highlight w:val="yellow"/>
        </w:rPr>
        <w:t>[•]</w:t>
      </w:r>
      <w:r w:rsidRPr="00DD1917">
        <w:rPr>
          <w:rFonts w:ascii="Tahoma" w:hAnsi="Tahoma" w:cs="Tahoma"/>
        </w:rPr>
        <w:t xml:space="preserve">, em </w:t>
      </w:r>
      <w:r w:rsidRPr="00DD1917">
        <w:rPr>
          <w:rFonts w:ascii="Tahoma" w:hAnsi="Tahoma" w:cs="Tahoma"/>
          <w:highlight w:val="yellow"/>
        </w:rPr>
        <w:t>[•]</w:t>
      </w:r>
      <w:r w:rsidRPr="00DD1917">
        <w:rPr>
          <w:rFonts w:ascii="Tahoma" w:hAnsi="Tahoma" w:cs="Tahoma"/>
        </w:rPr>
        <w:t xml:space="preserve"> de </w:t>
      </w:r>
      <w:r w:rsidRPr="00DD1917">
        <w:rPr>
          <w:rFonts w:ascii="Tahoma" w:hAnsi="Tahoma" w:cs="Tahoma"/>
          <w:highlight w:val="yellow"/>
        </w:rPr>
        <w:t>[•]</w:t>
      </w:r>
      <w:r w:rsidRPr="00DD1917">
        <w:rPr>
          <w:rFonts w:ascii="Tahoma" w:hAnsi="Tahoma" w:cs="Tahoma"/>
        </w:rPr>
        <w:t xml:space="preserve"> de 20</w:t>
      </w:r>
      <w:r w:rsidRPr="00DD1917">
        <w:rPr>
          <w:rFonts w:ascii="Tahoma" w:hAnsi="Tahoma" w:cs="Tahoma"/>
          <w:highlight w:val="yellow"/>
        </w:rPr>
        <w:t>[•]</w:t>
      </w:r>
      <w:r w:rsidRPr="00DD1917">
        <w:rPr>
          <w:rFonts w:ascii="Tahoma" w:hAnsi="Tahoma" w:cs="Tahoma"/>
        </w:rPr>
        <w:t xml:space="preserve">, e memorial </w:t>
      </w:r>
      <w:r w:rsidRPr="00DD1917">
        <w:rPr>
          <w:rFonts w:ascii="Tahoma" w:hAnsi="Tahoma" w:cs="Tahoma"/>
        </w:rPr>
        <w:lastRenderedPageBreak/>
        <w:t>descritivo das especificações da obra encontram-se depositados 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composto 2</w:t>
      </w:r>
      <w:r>
        <w:rPr>
          <w:rFonts w:ascii="Tahoma" w:hAnsi="Tahoma" w:cs="Tahoma"/>
        </w:rPr>
        <w:t>1</w:t>
      </w:r>
      <w:r w:rsidRPr="00DD1917">
        <w:rPr>
          <w:rFonts w:ascii="Tahoma" w:hAnsi="Tahoma" w:cs="Tahoma"/>
        </w:rPr>
        <w:t xml:space="preserve"> (vinte e </w:t>
      </w:r>
      <w:r>
        <w:rPr>
          <w:rFonts w:ascii="Tahoma" w:hAnsi="Tahoma" w:cs="Tahoma"/>
        </w:rPr>
        <w:t>um</w:t>
      </w:r>
      <w:r w:rsidRPr="00DD1917">
        <w:rPr>
          <w:rFonts w:ascii="Tahoma" w:hAnsi="Tahoma" w:cs="Tahoma"/>
        </w:rPr>
        <w:t xml:space="preserve">) pavimentos, e </w:t>
      </w:r>
      <w:r>
        <w:rPr>
          <w:rFonts w:ascii="Tahoma" w:hAnsi="Tahoma" w:cs="Tahoma"/>
        </w:rPr>
        <w:t>6</w:t>
      </w:r>
      <w:r w:rsidRPr="00DD1917">
        <w:rPr>
          <w:rFonts w:ascii="Tahoma" w:hAnsi="Tahoma" w:cs="Tahoma"/>
        </w:rPr>
        <w:t>8 (</w:t>
      </w:r>
      <w:r>
        <w:rPr>
          <w:rFonts w:ascii="Tahoma" w:hAnsi="Tahoma" w:cs="Tahoma"/>
        </w:rPr>
        <w:t>sessenta</w:t>
      </w:r>
      <w:r w:rsidRPr="00DD1917">
        <w:rPr>
          <w:rFonts w:ascii="Tahoma" w:hAnsi="Tahoma" w:cs="Tahoma"/>
        </w:rPr>
        <w:t xml:space="preserve"> e quatro) unidades residenciais, o qual, conforme R.</w:t>
      </w:r>
      <w:r>
        <w:rPr>
          <w:rFonts w:ascii="Tahoma" w:hAnsi="Tahoma" w:cs="Tahoma"/>
        </w:rPr>
        <w:t>1</w:t>
      </w:r>
      <w:r w:rsidRPr="00DD1917">
        <w:rPr>
          <w:rFonts w:ascii="Tahoma" w:hAnsi="Tahoma" w:cs="Tahoma"/>
        </w:rPr>
        <w:t>/11</w:t>
      </w:r>
      <w:r>
        <w:rPr>
          <w:rFonts w:ascii="Tahoma" w:hAnsi="Tahoma" w:cs="Tahoma"/>
        </w:rPr>
        <w:t>8.758</w:t>
      </w:r>
      <w:r w:rsidRPr="00DD1917">
        <w:rPr>
          <w:rFonts w:ascii="Tahoma" w:hAnsi="Tahoma" w:cs="Tahoma"/>
        </w:rPr>
        <w:t xml:space="preserve">da Matrícula, datado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 apresenta </w:t>
      </w:r>
      <w:r>
        <w:rPr>
          <w:rFonts w:ascii="Tahoma" w:hAnsi="Tahoma" w:cs="Tahoma"/>
        </w:rPr>
        <w:t>13.771,67</w:t>
      </w:r>
      <w:r w:rsidRPr="00DD1917">
        <w:rPr>
          <w:rFonts w:ascii="Tahoma" w:hAnsi="Tahoma" w:cs="Tahoma"/>
        </w:rPr>
        <w:t xml:space="preserve"> m² (</w:t>
      </w:r>
      <w:r>
        <w:rPr>
          <w:rFonts w:ascii="Tahoma" w:hAnsi="Tahoma" w:cs="Tahoma"/>
        </w:rPr>
        <w:t>treze</w:t>
      </w:r>
      <w:r w:rsidRPr="00DD1917">
        <w:rPr>
          <w:rFonts w:ascii="Tahoma" w:hAnsi="Tahoma" w:cs="Tahoma"/>
        </w:rPr>
        <w:t xml:space="preserve"> mil, setecentos e </w:t>
      </w:r>
      <w:r>
        <w:rPr>
          <w:rFonts w:ascii="Tahoma" w:hAnsi="Tahoma" w:cs="Tahoma"/>
        </w:rPr>
        <w:t>setenta</w:t>
      </w:r>
      <w:r w:rsidRPr="00DD1917">
        <w:rPr>
          <w:rFonts w:ascii="Tahoma" w:hAnsi="Tahoma" w:cs="Tahoma"/>
        </w:rPr>
        <w:t xml:space="preserve"> e um metros e </w:t>
      </w:r>
      <w:r>
        <w:rPr>
          <w:rFonts w:ascii="Tahoma" w:hAnsi="Tahoma" w:cs="Tahoma"/>
        </w:rPr>
        <w:t>sessenta e sete</w:t>
      </w:r>
      <w:r w:rsidRPr="00DD1917">
        <w:rPr>
          <w:rFonts w:ascii="Tahoma" w:hAnsi="Tahoma" w:cs="Tahoma"/>
        </w:rPr>
        <w:t xml:space="preserve"> centímetros quadrados) de área total construída e </w:t>
      </w:r>
      <w:r>
        <w:rPr>
          <w:rFonts w:ascii="Tahoma" w:hAnsi="Tahoma" w:cs="Tahoma"/>
        </w:rPr>
        <w:t>7.151,36</w:t>
      </w:r>
      <w:r w:rsidRPr="00DD1917">
        <w:rPr>
          <w:rFonts w:ascii="Tahoma" w:hAnsi="Tahoma" w:cs="Tahoma"/>
        </w:rPr>
        <w:t xml:space="preserve"> m² (</w:t>
      </w:r>
      <w:r>
        <w:rPr>
          <w:rFonts w:ascii="Tahoma" w:hAnsi="Tahoma" w:cs="Tahoma"/>
        </w:rPr>
        <w:t>sete</w:t>
      </w:r>
      <w:r w:rsidRPr="00DD1917">
        <w:rPr>
          <w:rFonts w:ascii="Tahoma" w:hAnsi="Tahoma" w:cs="Tahoma"/>
        </w:rPr>
        <w:t xml:space="preserve"> mil, </w:t>
      </w:r>
      <w:r>
        <w:rPr>
          <w:rFonts w:ascii="Tahoma" w:hAnsi="Tahoma" w:cs="Tahoma"/>
        </w:rPr>
        <w:t>cento e cinquenta e um</w:t>
      </w:r>
      <w:r w:rsidRPr="00DD1917">
        <w:rPr>
          <w:rFonts w:ascii="Tahoma" w:hAnsi="Tahoma" w:cs="Tahoma"/>
        </w:rPr>
        <w:t xml:space="preserve"> metros e </w:t>
      </w:r>
      <w:r>
        <w:rPr>
          <w:rFonts w:ascii="Tahoma" w:hAnsi="Tahoma" w:cs="Tahoma"/>
        </w:rPr>
        <w:t>trinta e seis</w:t>
      </w:r>
      <w:r w:rsidRPr="00DD1917">
        <w:rPr>
          <w:rFonts w:ascii="Tahoma" w:hAnsi="Tahoma" w:cs="Tahoma"/>
        </w:rPr>
        <w:t xml:space="preserve"> centímetros quadrados) de área privativa,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estando tal incorporação sujeita ao regime do patrimônio de afetação, nos termos do artigo 31-A e seguintes da Lei nº 4.591/64, conforme Av-</w:t>
      </w:r>
      <w:r>
        <w:rPr>
          <w:rFonts w:ascii="Tahoma" w:hAnsi="Tahoma" w:cs="Tahoma"/>
        </w:rPr>
        <w:t>2</w:t>
      </w:r>
      <w:r w:rsidRPr="00DD1917">
        <w:rPr>
          <w:rFonts w:ascii="Tahoma" w:hAnsi="Tahoma" w:cs="Tahoma"/>
        </w:rPr>
        <w:t>/11</w:t>
      </w:r>
      <w:r>
        <w:rPr>
          <w:rFonts w:ascii="Tahoma" w:hAnsi="Tahoma" w:cs="Tahoma"/>
        </w:rPr>
        <w:t>8</w:t>
      </w:r>
      <w:r w:rsidRPr="00DD1917">
        <w:rPr>
          <w:rFonts w:ascii="Tahoma" w:hAnsi="Tahoma" w:cs="Tahoma"/>
        </w:rPr>
        <w:t>.</w:t>
      </w:r>
      <w:r>
        <w:rPr>
          <w:rFonts w:ascii="Tahoma" w:hAnsi="Tahoma" w:cs="Tahoma"/>
        </w:rPr>
        <w:t>758</w:t>
      </w:r>
      <w:r w:rsidRPr="00DD1917">
        <w:rPr>
          <w:rFonts w:ascii="Tahoma" w:hAnsi="Tahoma" w:cs="Tahoma"/>
        </w:rPr>
        <w:t xml:space="preserve"> da Matrícula, datada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161C1596" w:rsidR="00F03713" w:rsidRPr="009B6AD0" w:rsidRDefault="00556D38" w:rsidP="00B340E7">
      <w:pPr>
        <w:pStyle w:val="PargrafodaLista"/>
        <w:widowControl w:val="0"/>
        <w:numPr>
          <w:ilvl w:val="0"/>
          <w:numId w:val="75"/>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3A1075">
        <w:rPr>
          <w:rFonts w:ascii="Tahoma" w:hAnsi="Tahoma" w:cs="Tahoma"/>
        </w:rPr>
        <w:t>Villa Barão</w:t>
      </w:r>
      <w:r w:rsidR="006A06D8" w:rsidRPr="009B6AD0">
        <w:rPr>
          <w:rFonts w:ascii="Tahoma" w:hAnsi="Tahoma" w:cs="Tahoma"/>
        </w:rPr>
        <w:t xml:space="preserve">, que compreendem a obrigação de pagamento pela Fiduciante do Valor Principal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B340E7">
      <w:pPr>
        <w:widowControl w:val="0"/>
        <w:numPr>
          <w:ilvl w:val="0"/>
          <w:numId w:val="75"/>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90C19A7" w:rsidR="00925076" w:rsidRPr="009B6AD0" w:rsidRDefault="00925076" w:rsidP="00B340E7">
      <w:pPr>
        <w:pStyle w:val="PargrafodaLista"/>
        <w:widowControl w:val="0"/>
        <w:numPr>
          <w:ilvl w:val="0"/>
          <w:numId w:val="76"/>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715A2694" w14:textId="072C8A1B" w:rsidR="00925076" w:rsidRPr="009B6AD0" w:rsidRDefault="00925076" w:rsidP="00B340E7">
      <w:pPr>
        <w:pStyle w:val="PargrafodaLista"/>
        <w:widowControl w:val="0"/>
        <w:numPr>
          <w:ilvl w:val="0"/>
          <w:numId w:val="77"/>
        </w:numPr>
        <w:suppressAutoHyphens/>
        <w:spacing w:after="0" w:line="320" w:lineRule="exact"/>
        <w:ind w:left="1134" w:hanging="567"/>
        <w:jc w:val="both"/>
        <w:rPr>
          <w:rFonts w:ascii="Tahoma" w:hAnsi="Tahoma" w:cs="Tahoma"/>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9237D3">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77777777" w:rsidR="00885F58" w:rsidRPr="009B6AD0" w:rsidRDefault="00885F58" w:rsidP="00B340E7">
      <w:pPr>
        <w:pStyle w:val="PargrafodaLista"/>
        <w:widowControl w:val="0"/>
        <w:numPr>
          <w:ilvl w:val="0"/>
          <w:numId w:val="75"/>
        </w:numPr>
        <w:spacing w:after="0" w:line="320" w:lineRule="exact"/>
        <w:ind w:left="567" w:hanging="567"/>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r w:rsidR="00925076" w:rsidRPr="009B6AD0">
        <w:rPr>
          <w:rFonts w:ascii="Tahoma" w:hAnsi="Tahoma" w:cs="Tahoma"/>
          <w:b/>
          <w:bCs/>
        </w:rPr>
        <w:t>SIMPLIFIC PAVARINI DISTRIBUIDORA DE TITULOS E VALORES MOBILIÁRIOS LTDA</w:t>
      </w:r>
      <w:r w:rsidR="00925076" w:rsidRPr="009B6AD0">
        <w:rPr>
          <w:rFonts w:ascii="Tahoma" w:hAnsi="Tahoma" w:cs="Tahoma"/>
          <w:bCs/>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9B6AD0">
        <w:rPr>
          <w:rFonts w:ascii="Tahoma" w:hAnsi="Tahoma" w:cs="Tahoma"/>
        </w:rPr>
        <w:t xml:space="preserve"> (“</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54BCC71" w:rsidR="004556CB" w:rsidRPr="009B6AD0" w:rsidRDefault="00570709"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47E05">
        <w:rPr>
          <w:rFonts w:ascii="Tahoma" w:hAnsi="Tahoma" w:cs="Tahoma"/>
          <w:bCs/>
        </w:rPr>
        <w:t>5</w:t>
      </w:r>
      <w:r w:rsidRPr="009B6AD0">
        <w:rPr>
          <w:rFonts w:ascii="Tahoma" w:hAnsi="Tahoma" w:cs="Tahoma"/>
          <w:bCs/>
        </w:rPr>
        <w:t xml:space="preserve">ª </w:t>
      </w:r>
      <w:r w:rsidR="0037677E" w:rsidRPr="009B6AD0">
        <w:rPr>
          <w:rFonts w:ascii="Tahoma" w:hAnsi="Tahoma" w:cs="Tahoma"/>
          <w:bCs/>
        </w:rPr>
        <w:t xml:space="preserve">Série da sua </w:t>
      </w:r>
      <w:r w:rsidR="00925076" w:rsidRPr="009B6AD0">
        <w:rPr>
          <w:rFonts w:ascii="Tahoma" w:hAnsi="Tahoma" w:cs="Tahoma"/>
          <w:bCs/>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565F656" w:rsidR="004556CB" w:rsidRPr="009B6AD0" w:rsidRDefault="004556CB" w:rsidP="00E838E3">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xml:space="preserve">, conforme o </w:t>
      </w:r>
      <w:r w:rsidR="008943AB" w:rsidRPr="009B6AD0">
        <w:rPr>
          <w:rFonts w:ascii="Tahoma" w:hAnsi="Tahoma" w:cs="Tahoma"/>
        </w:rPr>
        <w:lastRenderedPageBreak/>
        <w:t>“</w:t>
      </w:r>
      <w:r w:rsidR="00DB5432" w:rsidRPr="009B6AD0">
        <w:rPr>
          <w:rFonts w:ascii="Tahoma" w:hAnsi="Tahoma" w:cs="Tahoma"/>
          <w:i/>
        </w:rPr>
        <w:t xml:space="preserve">Contrato de Distribuição Pública com Esforços Restritos, sob o Regime de Melhores Esforços, de Certificados de Recebíveis Imobiliários da </w:t>
      </w:r>
      <w:r w:rsidR="009237D3">
        <w:rPr>
          <w:rFonts w:ascii="Tahoma" w:hAnsi="Tahoma" w:cs="Tahoma"/>
          <w:i/>
        </w:rPr>
        <w:t>[</w:t>
      </w:r>
      <w:r w:rsidR="009237D3" w:rsidRPr="009237D3">
        <w:rPr>
          <w:rFonts w:ascii="Tahoma" w:hAnsi="Tahoma" w:cs="Tahoma"/>
          <w:i/>
          <w:highlight w:val="yellow"/>
        </w:rPr>
        <w:t>•]</w:t>
      </w:r>
      <w:r w:rsidR="00DB5432" w:rsidRPr="009B6AD0">
        <w:rPr>
          <w:rFonts w:ascii="Tahoma" w:hAnsi="Tahoma" w:cs="Tahoma"/>
          <w:i/>
        </w:rPr>
        <w:t>ª Série da 1ª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F22E42D" w:rsidR="00570709" w:rsidRPr="009B6AD0" w:rsidRDefault="004556CB"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w:t>
      </w:r>
      <w:r w:rsidR="003A1075">
        <w:rPr>
          <w:rFonts w:ascii="Tahoma" w:hAnsi="Tahoma" w:cs="Tahoma"/>
        </w:rPr>
        <w:t xml:space="preserve"> e a CCB Tivoli (definida na CCB)</w:t>
      </w:r>
      <w:r w:rsidR="00570709" w:rsidRPr="009B6AD0">
        <w:rPr>
          <w:rFonts w:ascii="Tahoma" w:hAnsi="Tahoma" w:cs="Tahoma"/>
        </w:rPr>
        <w:t>; (ii)</w:t>
      </w:r>
      <w:r w:rsidRPr="009B6AD0">
        <w:rPr>
          <w:rFonts w:ascii="Tahoma" w:hAnsi="Tahoma" w:cs="Tahoma"/>
        </w:rPr>
        <w:t xml:space="preserve"> </w:t>
      </w:r>
      <w:r w:rsidR="00570709" w:rsidRPr="009B6AD0">
        <w:rPr>
          <w:rFonts w:ascii="Tahoma" w:hAnsi="Tahoma" w:cs="Tahoma"/>
        </w:rPr>
        <w:t>a</w:t>
      </w:r>
      <w:r w:rsidR="003A1075">
        <w:rPr>
          <w:rFonts w:ascii="Tahoma" w:hAnsi="Tahoma" w:cs="Tahoma"/>
        </w:rPr>
        <w:t>s</w:t>
      </w:r>
      <w:r w:rsidR="00570709" w:rsidRPr="009B6AD0">
        <w:rPr>
          <w:rFonts w:ascii="Tahoma" w:hAnsi="Tahoma" w:cs="Tahoma"/>
        </w:rPr>
        <w:t xml:space="preserve"> Escritura</w:t>
      </w:r>
      <w:r w:rsidR="003A1075">
        <w:rPr>
          <w:rFonts w:ascii="Tahoma" w:hAnsi="Tahoma" w:cs="Tahoma"/>
        </w:rPr>
        <w:t>s</w:t>
      </w:r>
      <w:r w:rsidR="00570709" w:rsidRPr="009B6AD0">
        <w:rPr>
          <w:rFonts w:ascii="Tahoma" w:hAnsi="Tahoma" w:cs="Tahoma"/>
        </w:rPr>
        <w:t xml:space="preserve">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w:t>
      </w:r>
      <w:r w:rsidR="003A1075">
        <w:rPr>
          <w:rFonts w:ascii="Tahoma" w:hAnsi="Tahoma" w:cs="Tahoma"/>
        </w:rPr>
        <w:t xml:space="preserve"> e o Contrato de Alienação Fiduciária relativo ao Empreendimento Tivoli</w:t>
      </w:r>
      <w:r w:rsidR="00570709" w:rsidRPr="009B6AD0">
        <w:rPr>
          <w:rFonts w:ascii="Tahoma" w:hAnsi="Tahoma" w:cs="Tahoma"/>
        </w:rPr>
        <w:t>; (v)</w:t>
      </w:r>
      <w:r w:rsidRPr="009B6AD0">
        <w:rPr>
          <w:rFonts w:ascii="Tahoma" w:hAnsi="Tahoma" w:cs="Tahoma"/>
        </w:rPr>
        <w:t xml:space="preserve"> Contrato de Cessão Fiduciária</w:t>
      </w:r>
      <w:r w:rsidR="003A1075">
        <w:rPr>
          <w:rFonts w:ascii="Tahoma" w:hAnsi="Tahoma" w:cs="Tahoma"/>
        </w:rPr>
        <w:t xml:space="preserve"> e </w:t>
      </w:r>
      <w:r w:rsidR="003A1075">
        <w:rPr>
          <w:rFonts w:ascii="Tahoma" w:hAnsi="Tahoma" w:cs="Tahoma"/>
        </w:rPr>
        <w:t>o Contrato de Cessão Fiduciária relativo ao Empreendimento Tivoli</w:t>
      </w:r>
      <w:r w:rsidR="00570709" w:rsidRPr="009B6AD0">
        <w:rPr>
          <w:rFonts w:ascii="Tahoma" w:hAnsi="Tahoma" w:cs="Tahoma"/>
        </w:rPr>
        <w:t xml:space="preserve">; (vi)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r w:rsidR="009237D3">
        <w:rPr>
          <w:rFonts w:ascii="Tahoma" w:eastAsia="Times New Roman" w:hAnsi="Tahoma" w:cs="Tahoma"/>
          <w:bCs/>
          <w:lang w:eastAsia="pt-BR"/>
        </w:rPr>
        <w:t>vii</w:t>
      </w:r>
      <w:r w:rsidR="00DB5432" w:rsidRPr="009B6AD0">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bookmarkStart w:id="1" w:name="_GoBack"/>
      <w:bookmarkEnd w:id="1"/>
    </w:p>
    <w:p w14:paraId="5CC47AA7" w14:textId="43910330" w:rsidR="00EA5659" w:rsidRPr="009B6AD0" w:rsidRDefault="00570709"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B340E7">
      <w:pPr>
        <w:keepNext/>
        <w:widowControl w:val="0"/>
        <w:numPr>
          <w:ilvl w:val="1"/>
          <w:numId w:val="10"/>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B340E7">
      <w:pPr>
        <w:widowControl w:val="0"/>
        <w:numPr>
          <w:ilvl w:val="1"/>
          <w:numId w:val="10"/>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C1ADE05" w:rsidR="0037677E" w:rsidRPr="009B6AD0" w:rsidRDefault="00A57096" w:rsidP="00B340E7">
      <w:pPr>
        <w:pStyle w:val="PargrafodaLista"/>
        <w:keepNext/>
        <w:widowControl w:val="0"/>
        <w:numPr>
          <w:ilvl w:val="1"/>
          <w:numId w:val="53"/>
        </w:numPr>
        <w:tabs>
          <w:tab w:val="left" w:pos="709"/>
        </w:tabs>
        <w:spacing w:after="0" w:line="320" w:lineRule="exact"/>
        <w:ind w:left="0" w:firstLine="0"/>
        <w:jc w:val="both"/>
        <w:rPr>
          <w:rFonts w:ascii="Tahoma" w:hAnsi="Tahoma" w:cs="Tahoma"/>
        </w:rPr>
      </w:pPr>
      <w:bookmarkStart w:id="2" w:name="_Ref360010674"/>
      <w:bookmarkStart w:id="3"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w:t>
      </w:r>
      <w:r w:rsidR="0037677E" w:rsidRPr="009B6AD0">
        <w:rPr>
          <w:rFonts w:ascii="Tahoma" w:hAnsi="Tahoma" w:cs="Tahoma"/>
        </w:rPr>
        <w:lastRenderedPageBreak/>
        <w:t xml:space="preserve">plena </w:t>
      </w:r>
      <w:r w:rsidR="008D71A8" w:rsidRPr="009B6AD0">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pelo percentual que lhe for atribuído à totalidade das Obrigações Garantidas,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
      <w:r w:rsidR="0037677E" w:rsidRPr="009B6AD0">
        <w:rPr>
          <w:rFonts w:ascii="Tahoma" w:hAnsi="Tahoma" w:cs="Tahoma"/>
        </w:rPr>
        <w:t>e deste Contrato.</w:t>
      </w:r>
      <w:bookmarkEnd w:id="3"/>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4" w:name="_Ref361299795"/>
      <w:bookmarkStart w:id="5" w:name="_Ref360008669"/>
    </w:p>
    <w:p w14:paraId="78F07B51" w14:textId="7894DB99" w:rsidR="003B66C0" w:rsidRPr="009B6AD0" w:rsidRDefault="0037677E"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4"/>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5"/>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bookmarkStart w:id="6"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6"/>
    <w:p w14:paraId="38167D9E" w14:textId="54CE4AFA" w:rsidR="00847CC2" w:rsidRPr="009B6AD0" w:rsidRDefault="00847CC2"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B340E7">
      <w:pPr>
        <w:pStyle w:val="PargrafodaLista"/>
        <w:widowControl w:val="0"/>
        <w:numPr>
          <w:ilvl w:val="1"/>
          <w:numId w:val="53"/>
        </w:numPr>
        <w:tabs>
          <w:tab w:val="left" w:pos="709"/>
        </w:tabs>
        <w:spacing w:after="0" w:line="320" w:lineRule="exact"/>
        <w:ind w:left="0" w:firstLine="0"/>
        <w:jc w:val="both"/>
        <w:rPr>
          <w:rFonts w:ascii="Tahoma" w:hAnsi="Tahoma" w:cs="Tahoma"/>
        </w:rPr>
      </w:pPr>
      <w:bookmarkStart w:id="7" w:name="_Ref24567300"/>
      <w:bookmarkStart w:id="8" w:name="_Ref360009253"/>
      <w:bookmarkStart w:id="9" w:name="_Ref364953482"/>
      <w:bookmarkStart w:id="10" w:name="_Ref424343846"/>
      <w:bookmarkStart w:id="11"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7"/>
      <w:r w:rsidR="0037677E" w:rsidRPr="009B6AD0">
        <w:rPr>
          <w:rFonts w:ascii="Tahoma" w:hAnsi="Tahoma" w:cs="Tahoma"/>
        </w:rPr>
        <w:t xml:space="preserve"> </w:t>
      </w:r>
      <w:bookmarkEnd w:id="8"/>
      <w:bookmarkEnd w:id="9"/>
      <w:bookmarkEnd w:id="10"/>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7231B4">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11304">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1"/>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B340E7">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B340E7">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B340E7">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69685C">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69685C">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w:t>
      </w:r>
      <w:r w:rsidRPr="009B6AD0">
        <w:rPr>
          <w:rFonts w:ascii="Tahoma" w:hAnsi="Tahoma" w:cs="Tahoma"/>
        </w:rPr>
        <w:lastRenderedPageBreak/>
        <w:t>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B340E7">
      <w:pPr>
        <w:pStyle w:val="PargrafodaLista"/>
        <w:widowControl w:val="0"/>
        <w:numPr>
          <w:ilvl w:val="1"/>
          <w:numId w:val="53"/>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7777777" w:rsidR="006837E1" w:rsidRPr="009B6AD0" w:rsidRDefault="00510A8C" w:rsidP="00050A32">
      <w:pPr>
        <w:pStyle w:val="PargrafodaLista"/>
        <w:widowControl w:val="0"/>
        <w:numPr>
          <w:ilvl w:val="1"/>
          <w:numId w:val="53"/>
        </w:numPr>
        <w:tabs>
          <w:tab w:val="left" w:pos="567"/>
        </w:tabs>
        <w:spacing w:after="0" w:line="320" w:lineRule="exact"/>
        <w:ind w:left="0" w:firstLine="0"/>
        <w:jc w:val="both"/>
        <w:rPr>
          <w:rFonts w:ascii="Tahoma" w:hAnsi="Tahoma" w:cs="Tahoma"/>
        </w:rPr>
      </w:pPr>
      <w:bookmarkStart w:id="12"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dias úteis, os quais, para fins desta Célula,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12"/>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B340E7">
      <w:pPr>
        <w:pStyle w:val="PargrafodaLista"/>
        <w:widowControl w:val="0"/>
        <w:numPr>
          <w:ilvl w:val="2"/>
          <w:numId w:val="53"/>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B340E7">
      <w:pPr>
        <w:pStyle w:val="PargrafodaLista"/>
        <w:widowControl w:val="0"/>
        <w:numPr>
          <w:ilvl w:val="0"/>
          <w:numId w:val="80"/>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w:t>
      </w:r>
      <w:r w:rsidRPr="009B6AD0">
        <w:rPr>
          <w:rFonts w:ascii="Tahoma" w:eastAsia="Arial Unicode MS" w:hAnsi="Tahoma" w:cs="Tahoma"/>
          <w:lang w:eastAsia="pt-BR"/>
        </w:rPr>
        <w:lastRenderedPageBreak/>
        <w:t>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B340E7">
      <w:pPr>
        <w:pStyle w:val="PargrafodaLista"/>
        <w:widowControl w:val="0"/>
        <w:numPr>
          <w:ilvl w:val="0"/>
          <w:numId w:val="81"/>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B340E7">
      <w:pPr>
        <w:pStyle w:val="PargrafodaLista"/>
        <w:widowControl w:val="0"/>
        <w:numPr>
          <w:ilvl w:val="1"/>
          <w:numId w:val="53"/>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3" w:name="_Ref463382261"/>
    </w:p>
    <w:p w14:paraId="4F7175FA" w14:textId="4311B8B3" w:rsidR="00510A8C" w:rsidRPr="009B6AD0" w:rsidRDefault="00661F67" w:rsidP="00B340E7">
      <w:pPr>
        <w:pStyle w:val="PargrafodaLista"/>
        <w:widowControl w:val="0"/>
        <w:numPr>
          <w:ilvl w:val="1"/>
          <w:numId w:val="53"/>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4" w:name="_Ref431819728"/>
      <w:bookmarkEnd w:id="13"/>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4"/>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B340E7">
      <w:pPr>
        <w:pStyle w:val="PargrafodaLista"/>
        <w:widowControl w:val="0"/>
        <w:numPr>
          <w:ilvl w:val="1"/>
          <w:numId w:val="54"/>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B340E7">
      <w:pPr>
        <w:pStyle w:val="PargrafodaLista"/>
        <w:numPr>
          <w:ilvl w:val="0"/>
          <w:numId w:val="55"/>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111C1D9E" w:rsidR="008D57F5" w:rsidRPr="009B6AD0" w:rsidRDefault="0037677E" w:rsidP="00B340E7">
      <w:pPr>
        <w:pStyle w:val="PargrafodaLista"/>
        <w:numPr>
          <w:ilvl w:val="0"/>
          <w:numId w:val="55"/>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9237D3" w:rsidRPr="009237D3">
        <w:rPr>
          <w:rFonts w:ascii="Tahoma" w:hAnsi="Tahoma" w:cs="Tahoma"/>
          <w:highlight w:val="yellow"/>
        </w:rPr>
        <w:t>[•]</w:t>
      </w:r>
      <w:r w:rsidR="006837E1" w:rsidRPr="009B6AD0">
        <w:rPr>
          <w:rFonts w:ascii="Tahoma" w:hAnsi="Tahoma" w:cs="Tahoma"/>
        </w:rPr>
        <w:t xml:space="preserve"> </w:t>
      </w:r>
      <w:r w:rsidR="006837E1" w:rsidRPr="009B6AD0">
        <w:rPr>
          <w:rFonts w:ascii="Tahoma" w:eastAsia="Times New Roman" w:hAnsi="Tahoma" w:cs="Tahoma"/>
          <w:color w:val="000000"/>
          <w:lang w:eastAsia="pt-BR"/>
        </w:rPr>
        <w:t xml:space="preserve">de </w:t>
      </w:r>
      <w:r w:rsidR="00447E05">
        <w:rPr>
          <w:rFonts w:ascii="Tahoma" w:eastAsia="Times New Roman" w:hAnsi="Tahoma" w:cs="Tahoma"/>
          <w:color w:val="000000"/>
          <w:lang w:eastAsia="pt-BR"/>
        </w:rPr>
        <w:t>abril</w:t>
      </w:r>
      <w:r w:rsidR="00CE2A7D" w:rsidRPr="009B6AD0">
        <w:rPr>
          <w:rFonts w:ascii="Tahoma" w:eastAsia="Times New Roman" w:hAnsi="Tahoma" w:cs="Tahoma"/>
          <w:color w:val="000000"/>
        </w:rPr>
        <w:t xml:space="preserve"> de 20</w:t>
      </w:r>
      <w:r w:rsidR="002F4740" w:rsidRPr="009B6AD0">
        <w:rPr>
          <w:rFonts w:ascii="Tahoma" w:eastAsia="Times New Roman" w:hAnsi="Tahoma" w:cs="Tahoma"/>
          <w:color w:val="000000"/>
        </w:rPr>
        <w:t>20</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B340E7">
      <w:pPr>
        <w:pStyle w:val="PargrafodaLista"/>
        <w:numPr>
          <w:ilvl w:val="0"/>
          <w:numId w:val="55"/>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B340E7">
      <w:pPr>
        <w:pStyle w:val="PargrafodaLista"/>
        <w:numPr>
          <w:ilvl w:val="0"/>
          <w:numId w:val="55"/>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B340E7">
      <w:pPr>
        <w:pStyle w:val="PargrafodaLista"/>
        <w:widowControl w:val="0"/>
        <w:numPr>
          <w:ilvl w:val="0"/>
          <w:numId w:val="55"/>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159F510" w:rsidR="007231B4" w:rsidRPr="009B6AD0"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w:t>
      </w:r>
      <w:r w:rsidR="00CC7FF0" w:rsidRPr="009B6AD0">
        <w:rPr>
          <w:rFonts w:ascii="Tahoma" w:hAnsi="Tahoma" w:cs="Tahoma"/>
        </w:rPr>
        <w:lastRenderedPageBreak/>
        <w:t xml:space="preserve">monetariamente pelo </w:t>
      </w:r>
      <w:r w:rsidR="00B340E7" w:rsidRPr="009B6AD0">
        <w:rPr>
          <w:rFonts w:ascii="Tahoma" w:hAnsi="Tahoma" w:cs="Tahoma"/>
        </w:rPr>
        <w:t>Índice Nacional d</w:t>
      </w:r>
      <w:r w:rsidR="00511304" w:rsidRPr="009B6AD0">
        <w:rPr>
          <w:rFonts w:ascii="Tahoma" w:hAnsi="Tahoma" w:cs="Tahoma"/>
        </w:rPr>
        <w:t>e Custo da Construção - Mercado</w:t>
      </w:r>
      <w:r w:rsidR="00B340E7" w:rsidRPr="009B6AD0">
        <w:rPr>
          <w:rFonts w:ascii="Tahoma" w:hAnsi="Tahoma" w:cs="Tahoma"/>
        </w:rPr>
        <w:t>, divulgado pela Fundação Getúlio Vargas (“</w:t>
      </w:r>
      <w:r w:rsidR="00B340E7" w:rsidRPr="009B6AD0">
        <w:rPr>
          <w:rFonts w:ascii="Tahoma" w:hAnsi="Tahoma" w:cs="Tahoma"/>
          <w:u w:val="single"/>
        </w:rPr>
        <w:t>INCC-</w:t>
      </w:r>
      <w:r w:rsidR="00511304" w:rsidRPr="009B6AD0">
        <w:rPr>
          <w:rFonts w:ascii="Tahoma" w:hAnsi="Tahoma" w:cs="Tahoma"/>
          <w:u w:val="single"/>
        </w:rPr>
        <w:t>M</w:t>
      </w:r>
      <w:r w:rsidR="00B340E7" w:rsidRPr="009B6AD0">
        <w:rPr>
          <w:rFonts w:ascii="Tahoma" w:hAnsi="Tahoma" w:cs="Tahoma"/>
        </w:rPr>
        <w:t>”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6837E1">
      <w:pPr>
        <w:pStyle w:val="PargrafodaLista"/>
        <w:numPr>
          <w:ilvl w:val="0"/>
          <w:numId w:val="55"/>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B340E7">
      <w:pPr>
        <w:pStyle w:val="PargrafodaLista"/>
        <w:widowControl w:val="0"/>
        <w:numPr>
          <w:ilvl w:val="1"/>
          <w:numId w:val="54"/>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rFonts w:ascii="Tahoma" w:hAnsi="Tahoma" w:cs="Tahoma"/>
          <w:b/>
        </w:rPr>
      </w:pPr>
      <w:bookmarkStart w:id="15"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 xml:space="preserve">Na hipótese de excussão da presente garantia fiduciária, no todo ou em parte, fica, </w:t>
      </w:r>
      <w:r w:rsidRPr="009B6AD0">
        <w:rPr>
          <w:rFonts w:ascii="Tahoma" w:hAnsi="Tahoma" w:cs="Tahoma"/>
        </w:rPr>
        <w:lastRenderedPageBreak/>
        <w:t>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853BA">
      <w:pPr>
        <w:pStyle w:val="PargrafodaLista"/>
        <w:numPr>
          <w:ilvl w:val="1"/>
          <w:numId w:val="56"/>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5"/>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853BA">
      <w:pPr>
        <w:pStyle w:val="PargrafodaLista"/>
        <w:widowControl w:val="0"/>
        <w:numPr>
          <w:ilvl w:val="1"/>
          <w:numId w:val="56"/>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853BA">
      <w:pPr>
        <w:pStyle w:val="PargrafodaLista"/>
        <w:widowControl w:val="0"/>
        <w:numPr>
          <w:ilvl w:val="1"/>
          <w:numId w:val="56"/>
        </w:numPr>
        <w:tabs>
          <w:tab w:val="left" w:pos="567"/>
        </w:tabs>
        <w:spacing w:after="0" w:line="320" w:lineRule="exact"/>
        <w:ind w:left="0" w:firstLine="0"/>
        <w:jc w:val="both"/>
        <w:rPr>
          <w:rFonts w:ascii="Tahoma" w:hAnsi="Tahoma" w:cs="Tahoma"/>
          <w:b/>
        </w:rPr>
      </w:pPr>
      <w:r w:rsidRPr="009B6AD0">
        <w:rPr>
          <w:rFonts w:ascii="Tahoma" w:hAnsi="Tahoma" w:cs="Tahoma"/>
          <w:u w:val="single"/>
        </w:rPr>
        <w:lastRenderedPageBreak/>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B340E7">
      <w:pPr>
        <w:pStyle w:val="PargrafodaLista"/>
        <w:widowControl w:val="0"/>
        <w:numPr>
          <w:ilvl w:val="2"/>
          <w:numId w:val="56"/>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rFonts w:ascii="Tahoma" w:hAnsi="Tahoma" w:cs="Tahoma"/>
          <w:b/>
        </w:rPr>
      </w:pPr>
      <w:bookmarkStart w:id="16"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16"/>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853BA">
      <w:pPr>
        <w:pStyle w:val="PargrafodaLista"/>
        <w:widowControl w:val="0"/>
        <w:numPr>
          <w:ilvl w:val="0"/>
          <w:numId w:val="59"/>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853BA">
      <w:pPr>
        <w:pStyle w:val="PargrafodaLista"/>
        <w:widowControl w:val="0"/>
        <w:numPr>
          <w:ilvl w:val="0"/>
          <w:numId w:val="59"/>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71AE4099" w:rsidR="0037677E" w:rsidRPr="009B6AD0" w:rsidRDefault="0037677E" w:rsidP="005853BA">
      <w:pPr>
        <w:pStyle w:val="PargrafodaLista"/>
        <w:numPr>
          <w:ilvl w:val="0"/>
          <w:numId w:val="59"/>
        </w:numPr>
        <w:tabs>
          <w:tab w:val="left" w:pos="567"/>
        </w:tabs>
        <w:spacing w:after="0" w:line="320" w:lineRule="exact"/>
        <w:ind w:left="567" w:hanging="567"/>
        <w:jc w:val="both"/>
        <w:rPr>
          <w:rFonts w:ascii="Tahoma" w:hAnsi="Tahoma" w:cs="Tahoma"/>
        </w:rPr>
      </w:pPr>
      <w:bookmarkStart w:id="17"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pelo valor 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17"/>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853BA">
      <w:pPr>
        <w:pStyle w:val="PargrafodaLista"/>
        <w:widowControl w:val="0"/>
        <w:numPr>
          <w:ilvl w:val="0"/>
          <w:numId w:val="59"/>
        </w:numPr>
        <w:tabs>
          <w:tab w:val="left" w:pos="567"/>
          <w:tab w:val="left" w:pos="1560"/>
        </w:tabs>
        <w:spacing w:after="0" w:line="320" w:lineRule="exact"/>
        <w:ind w:left="567" w:hanging="567"/>
        <w:jc w:val="both"/>
        <w:rPr>
          <w:rFonts w:ascii="Tahoma" w:hAnsi="Tahoma" w:cs="Tahoma"/>
          <w:b/>
        </w:rPr>
      </w:pPr>
      <w:bookmarkStart w:id="18"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w:t>
      </w:r>
      <w:r w:rsidRPr="009B6AD0">
        <w:rPr>
          <w:rFonts w:ascii="Tahoma" w:hAnsi="Tahoma" w:cs="Tahoma"/>
        </w:rPr>
        <w:lastRenderedPageBreak/>
        <w:t xml:space="preserve">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18"/>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853BA">
      <w:pPr>
        <w:pStyle w:val="PargrafodaLista"/>
        <w:widowControl w:val="0"/>
        <w:numPr>
          <w:ilvl w:val="0"/>
          <w:numId w:val="59"/>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853BA">
      <w:pPr>
        <w:pStyle w:val="PargrafodaLista"/>
        <w:widowControl w:val="0"/>
        <w:numPr>
          <w:ilvl w:val="0"/>
          <w:numId w:val="59"/>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69685C">
      <w:pPr>
        <w:pStyle w:val="PargrafodaLista"/>
        <w:widowControl w:val="0"/>
        <w:numPr>
          <w:ilvl w:val="2"/>
          <w:numId w:val="58"/>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853BA">
      <w:pPr>
        <w:pStyle w:val="PargrafodaLista"/>
        <w:widowControl w:val="0"/>
        <w:numPr>
          <w:ilvl w:val="1"/>
          <w:numId w:val="58"/>
        </w:numPr>
        <w:tabs>
          <w:tab w:val="left" w:pos="567"/>
        </w:tabs>
        <w:spacing w:after="0" w:line="320" w:lineRule="exact"/>
        <w:ind w:left="567" w:hanging="567"/>
        <w:jc w:val="both"/>
        <w:rPr>
          <w:rFonts w:ascii="Tahoma" w:hAnsi="Tahoma" w:cs="Tahoma"/>
          <w:b/>
        </w:rPr>
      </w:pPr>
      <w:bookmarkStart w:id="19"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19"/>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050A32">
      <w:pPr>
        <w:pStyle w:val="PargrafodaLista"/>
        <w:widowControl w:val="0"/>
        <w:numPr>
          <w:ilvl w:val="0"/>
          <w:numId w:val="82"/>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00EBEBFD" w:rsidR="0037677E" w:rsidRPr="009B6AD0" w:rsidRDefault="0037677E" w:rsidP="00050A32">
      <w:pPr>
        <w:pStyle w:val="PargrafodaLista"/>
        <w:widowControl w:val="0"/>
        <w:numPr>
          <w:ilvl w:val="0"/>
          <w:numId w:val="82"/>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w:t>
      </w:r>
      <w:r w:rsidR="009D32F6" w:rsidRPr="009B6AD0">
        <w:rPr>
          <w:rFonts w:ascii="Tahoma" w:hAnsi="Tahoma" w:cs="Tahoma"/>
        </w:rPr>
        <w:lastRenderedPageBreak/>
        <w:t>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050A32">
      <w:pPr>
        <w:pStyle w:val="PargrafodaLista"/>
        <w:widowControl w:val="0"/>
        <w:numPr>
          <w:ilvl w:val="0"/>
          <w:numId w:val="8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050A32">
      <w:pPr>
        <w:pStyle w:val="PargrafodaLista"/>
        <w:widowControl w:val="0"/>
        <w:numPr>
          <w:ilvl w:val="1"/>
          <w:numId w:val="58"/>
        </w:numPr>
        <w:tabs>
          <w:tab w:val="left" w:pos="567"/>
          <w:tab w:val="left" w:pos="709"/>
        </w:tabs>
        <w:spacing w:after="0" w:line="320" w:lineRule="exact"/>
        <w:ind w:left="0" w:firstLine="0"/>
        <w:jc w:val="both"/>
        <w:rPr>
          <w:rFonts w:ascii="Tahoma" w:hAnsi="Tahoma" w:cs="Tahoma"/>
          <w:b/>
        </w:rPr>
      </w:pPr>
      <w:bookmarkStart w:id="20"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0"/>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29CC5C70" w:rsidR="00D63F75" w:rsidRPr="009B6AD0" w:rsidRDefault="009D32F6" w:rsidP="005853BA">
      <w:pPr>
        <w:pStyle w:val="PargrafodaLista"/>
        <w:widowControl w:val="0"/>
        <w:numPr>
          <w:ilvl w:val="0"/>
          <w:numId w:val="61"/>
        </w:numPr>
        <w:tabs>
          <w:tab w:val="left" w:pos="567"/>
          <w:tab w:val="left" w:pos="1560"/>
        </w:tabs>
        <w:spacing w:after="0" w:line="320" w:lineRule="exact"/>
        <w:ind w:left="567" w:hanging="567"/>
        <w:jc w:val="both"/>
        <w:rPr>
          <w:rFonts w:ascii="Tahoma" w:hAnsi="Tahoma" w:cs="Tahoma"/>
          <w:b/>
        </w:rPr>
      </w:pPr>
      <w:bookmarkStart w:id="21" w:name="_Ref463283495"/>
      <w:r w:rsidRPr="009B6AD0">
        <w:rPr>
          <w:rFonts w:ascii="Tahoma" w:hAnsi="Tahoma" w:cs="Tahoma"/>
        </w:rPr>
        <w:t xml:space="preserve">Será aceito o maior lance oferecido, desde que igual ou superior ao valor das Obrigações Garantidas 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acrescida das despesas previstas nesta Cláusula 5, hipótese em que a Fiduciária manter-se-á de forma definitiva na propriedade e posse das Unidades. </w:t>
      </w:r>
      <w:r w:rsidR="0037677E" w:rsidRPr="009B6AD0">
        <w:rPr>
          <w:rFonts w:ascii="Tahoma" w:hAnsi="Tahoma" w:cs="Tahoma"/>
        </w:rPr>
        <w:t>e</w:t>
      </w:r>
      <w:bookmarkEnd w:id="21"/>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75D8332E" w:rsidR="0037677E" w:rsidRPr="009B6AD0" w:rsidRDefault="0037677E" w:rsidP="005853BA">
      <w:pPr>
        <w:pStyle w:val="PargrafodaLista"/>
        <w:widowControl w:val="0"/>
        <w:numPr>
          <w:ilvl w:val="0"/>
          <w:numId w:val="61"/>
        </w:numPr>
        <w:tabs>
          <w:tab w:val="left" w:pos="567"/>
          <w:tab w:val="left" w:pos="1560"/>
        </w:tabs>
        <w:spacing w:after="0" w:line="320" w:lineRule="exact"/>
        <w:ind w:left="567" w:hanging="567"/>
        <w:jc w:val="both"/>
        <w:rPr>
          <w:rFonts w:ascii="Tahoma" w:hAnsi="Tahoma" w:cs="Tahoma"/>
          <w:b/>
        </w:rPr>
      </w:pPr>
      <w:bookmarkStart w:id="22" w:name="_Ref463283657"/>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Pr="009B6AD0">
        <w:rPr>
          <w:rFonts w:ascii="Tahoma" w:hAnsi="Tahoma" w:cs="Tahoma"/>
        </w:rPr>
        <w:t>.</w:t>
      </w:r>
      <w:bookmarkEnd w:id="22"/>
      <w:r w:rsidR="006E10D5" w:rsidRPr="009B6AD0">
        <w:rPr>
          <w:rFonts w:ascii="Tahoma" w:hAnsi="Tahoma" w:cs="Tahoma"/>
        </w:rPr>
        <w:t xml:space="preserve"> 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CA13DD">
      <w:pPr>
        <w:pStyle w:val="PargrafodaLista"/>
        <w:widowControl w:val="0"/>
        <w:numPr>
          <w:ilvl w:val="1"/>
          <w:numId w:val="58"/>
        </w:numPr>
        <w:tabs>
          <w:tab w:val="left" w:pos="709"/>
        </w:tabs>
        <w:spacing w:after="0" w:line="320" w:lineRule="exact"/>
        <w:ind w:left="567" w:hanging="567"/>
        <w:jc w:val="both"/>
        <w:rPr>
          <w:rFonts w:ascii="Tahoma" w:hAnsi="Tahoma" w:cs="Tahoma"/>
          <w:b/>
        </w:rPr>
      </w:pPr>
      <w:bookmarkStart w:id="2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2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CA13DD">
      <w:pPr>
        <w:pStyle w:val="PargrafodaLista"/>
        <w:widowControl w:val="0"/>
        <w:numPr>
          <w:ilvl w:val="2"/>
          <w:numId w:val="58"/>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w:t>
      </w:r>
      <w:r w:rsidRPr="009B6AD0">
        <w:rPr>
          <w:rFonts w:ascii="Tahoma" w:hAnsi="Tahoma" w:cs="Tahoma"/>
        </w:rPr>
        <w:lastRenderedPageBreak/>
        <w:t>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CA13DD">
      <w:pPr>
        <w:pStyle w:val="PargrafodaLista"/>
        <w:widowControl w:val="0"/>
        <w:numPr>
          <w:ilvl w:val="1"/>
          <w:numId w:val="58"/>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CA13DD">
      <w:pPr>
        <w:pStyle w:val="PargrafodaLista"/>
        <w:widowControl w:val="0"/>
        <w:numPr>
          <w:ilvl w:val="1"/>
          <w:numId w:val="58"/>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3B105BD8" w14:textId="3449A8D7" w:rsidR="0037677E" w:rsidRPr="009B6AD0" w:rsidRDefault="009B7F24" w:rsidP="009D32F6">
      <w:pPr>
        <w:pStyle w:val="PargrafodaLista"/>
        <w:widowControl w:val="0"/>
        <w:numPr>
          <w:ilvl w:val="1"/>
          <w:numId w:val="62"/>
        </w:numPr>
        <w:tabs>
          <w:tab w:val="left" w:pos="567"/>
        </w:tabs>
        <w:spacing w:after="0" w:line="320" w:lineRule="exact"/>
        <w:ind w:left="0" w:firstLine="0"/>
        <w:jc w:val="both"/>
        <w:rPr>
          <w:rFonts w:ascii="Tahoma" w:hAnsi="Tahoma" w:cs="Tahoma"/>
        </w:rPr>
      </w:pPr>
      <w:bookmarkStart w:id="24"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2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 ou (b) o valor do Imóvel utilizado pelo órgão competente como base de cálculo para a apuração do imposto sobre transmissão </w:t>
      </w:r>
      <w:r w:rsidR="00CA13DD" w:rsidRPr="009B6AD0">
        <w:rPr>
          <w:rFonts w:ascii="Tahoma" w:hAnsi="Tahoma" w:cs="Tahoma"/>
          <w:i/>
        </w:rPr>
        <w:t>inter vivos</w:t>
      </w:r>
      <w:r w:rsidR="00CA13DD" w:rsidRPr="009B6AD0">
        <w:rPr>
          <w:rFonts w:ascii="Tahoma" w:hAnsi="Tahoma" w:cs="Tahoma"/>
        </w:rPr>
        <w:t>, exigível por força da consolidação da propriedade em nome do credor fiduciário,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IGPM/FGV, desde a data de assinatura desta Alienação Fiduciária até a data de realização do leilão</w:t>
      </w:r>
      <w:r w:rsidR="0037677E" w:rsidRPr="009B6AD0">
        <w:rPr>
          <w:rFonts w:ascii="Tahoma" w:hAnsi="Tahoma" w:cs="Tahoma"/>
        </w:rPr>
        <w:t>.</w:t>
      </w:r>
      <w:bookmarkEnd w:id="25"/>
      <w:r w:rsidR="00BC39BA" w:rsidRPr="009B6AD0">
        <w:rPr>
          <w:rFonts w:ascii="Tahoma" w:hAnsi="Tahoma" w:cs="Tahoma"/>
        </w:rPr>
        <w:t xml:space="preserve"> </w:t>
      </w:r>
    </w:p>
    <w:p w14:paraId="54FC6C09" w14:textId="77777777" w:rsidR="00CA13DD" w:rsidRPr="009B6AD0" w:rsidRDefault="00CA13DD" w:rsidP="00050A32">
      <w:pPr>
        <w:pStyle w:val="PargrafodaLista"/>
        <w:widowControl w:val="0"/>
        <w:tabs>
          <w:tab w:val="left" w:pos="567"/>
        </w:tabs>
        <w:spacing w:after="0" w:line="320" w:lineRule="exact"/>
        <w:ind w:left="0"/>
        <w:jc w:val="both"/>
        <w:rPr>
          <w:rFonts w:ascii="Tahoma" w:hAnsi="Tahoma" w:cs="Tahoma"/>
        </w:rPr>
      </w:pPr>
    </w:p>
    <w:p w14:paraId="25B09474" w14:textId="5EFDE31E" w:rsidR="00CA13DD" w:rsidRPr="009B6AD0" w:rsidRDefault="00CA13DD" w:rsidP="00050A32">
      <w:pPr>
        <w:pStyle w:val="PargrafodaLista"/>
        <w:widowControl w:val="0"/>
        <w:numPr>
          <w:ilvl w:val="2"/>
          <w:numId w:val="62"/>
        </w:numPr>
        <w:spacing w:after="0" w:line="320" w:lineRule="exact"/>
        <w:ind w:left="567" w:firstLine="0"/>
        <w:jc w:val="both"/>
        <w:rPr>
          <w:rFonts w:ascii="Tahoma" w:hAnsi="Tahoma" w:cs="Tahoma"/>
        </w:rPr>
      </w:pPr>
      <w:r w:rsidRPr="009B6AD0">
        <w:rPr>
          <w:rFonts w:ascii="Tahoma" w:hAnsi="Tahoma" w:cs="Tahoma"/>
        </w:rPr>
        <w:t xml:space="preserve">O Agente Fiduciário poderá contratar com base </w:t>
      </w:r>
      <w:r w:rsidR="003D7F33" w:rsidRPr="009B6AD0">
        <w:rPr>
          <w:rFonts w:ascii="Tahoma" w:hAnsi="Tahoma" w:cs="Tahoma"/>
        </w:rPr>
        <w:t>no Ofício-Circular CVM/SRE Nº 02/19 (“</w:t>
      </w:r>
      <w:r w:rsidR="003D7F33" w:rsidRPr="00447E05">
        <w:rPr>
          <w:rFonts w:ascii="Tahoma" w:hAnsi="Tahoma" w:cs="Tahoma"/>
          <w:u w:val="single"/>
        </w:rPr>
        <w:t>Ofício</w:t>
      </w:r>
      <w:r w:rsidR="003D7F33" w:rsidRPr="009B6AD0">
        <w:rPr>
          <w:rFonts w:ascii="Tahoma" w:hAnsi="Tahoma" w:cs="Tahoma"/>
        </w:rPr>
        <w:t xml:space="preserve">”) </w:t>
      </w:r>
      <w:r w:rsidRPr="009B6AD0">
        <w:rPr>
          <w:rFonts w:ascii="Tahoma" w:hAnsi="Tahoma" w:cs="Tahoma"/>
        </w:rPr>
        <w:t xml:space="preserve">e em deliberação dos titulares dos CRIs em assembleia geral realizadas para este fim, terceiro especializado para avaliar ou reavaliar o valor das garantias prestadas, conforme o caso, bem como solicitar quaisquer informações e comprovações que entender necessárias, na forma prevista no referido Ofício, custos de eventual laudo de avaliação do </w:t>
      </w:r>
      <w:r w:rsidRPr="009B6AD0">
        <w:rPr>
          <w:rFonts w:ascii="Tahoma" w:hAnsi="Tahoma" w:cs="Tahoma"/>
        </w:rPr>
        <w:lastRenderedPageBreak/>
        <w:t>valor de venda das Unidades será considerada uma despesa da emissão do CRI e será de responsabilidade da Fiduciante.</w:t>
      </w:r>
    </w:p>
    <w:bookmarkEnd w:id="24"/>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AC7532">
      <w:pPr>
        <w:pStyle w:val="PargrafodaLista"/>
        <w:keepNext/>
        <w:numPr>
          <w:ilvl w:val="1"/>
          <w:numId w:val="63"/>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9D32F6">
      <w:pPr>
        <w:pStyle w:val="PargrafodaLista"/>
        <w:widowControl w:val="0"/>
        <w:numPr>
          <w:ilvl w:val="1"/>
          <w:numId w:val="63"/>
        </w:numPr>
        <w:tabs>
          <w:tab w:val="left" w:pos="567"/>
        </w:tabs>
        <w:spacing w:after="0" w:line="320" w:lineRule="exact"/>
        <w:ind w:left="0" w:firstLine="0"/>
        <w:jc w:val="both"/>
        <w:rPr>
          <w:rFonts w:ascii="Tahoma" w:hAnsi="Tahoma" w:cs="Tahoma"/>
          <w:b/>
        </w:rPr>
      </w:pPr>
      <w:bookmarkStart w:id="26"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26"/>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B340E7">
      <w:pPr>
        <w:pStyle w:val="PargrafodaLista"/>
        <w:widowControl w:val="0"/>
        <w:numPr>
          <w:ilvl w:val="2"/>
          <w:numId w:val="63"/>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77777777" w:rsidR="005503F3" w:rsidRPr="009B6AD0" w:rsidRDefault="005503F3" w:rsidP="00B340E7">
      <w:pPr>
        <w:widowControl w:val="0"/>
        <w:spacing w:after="0" w:line="320" w:lineRule="exact"/>
        <w:contextualSpacing/>
        <w:jc w:val="both"/>
        <w:rPr>
          <w:rFonts w:ascii="Tahoma" w:hAnsi="Tahoma" w:cs="Tahoma"/>
          <w:b/>
        </w:rPr>
      </w:pPr>
    </w:p>
    <w:p w14:paraId="68B8DF76" w14:textId="77777777"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OITAVA –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B340E7">
      <w:pPr>
        <w:pStyle w:val="PargrafodaLista"/>
        <w:widowControl w:val="0"/>
        <w:numPr>
          <w:ilvl w:val="1"/>
          <w:numId w:val="66"/>
        </w:numPr>
        <w:tabs>
          <w:tab w:val="left" w:pos="709"/>
        </w:tabs>
        <w:spacing w:after="0" w:line="320" w:lineRule="exact"/>
        <w:ind w:left="0" w:firstLine="0"/>
        <w:jc w:val="both"/>
        <w:rPr>
          <w:rFonts w:ascii="Tahoma" w:hAnsi="Tahoma" w:cs="Tahoma"/>
          <w:b/>
        </w:rPr>
      </w:pPr>
      <w:bookmarkStart w:id="27"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27"/>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B340E7">
      <w:pPr>
        <w:pStyle w:val="PargrafodaLista"/>
        <w:widowControl w:val="0"/>
        <w:numPr>
          <w:ilvl w:val="0"/>
          <w:numId w:val="6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B340E7">
      <w:pPr>
        <w:pStyle w:val="PargrafodaLista"/>
        <w:widowControl w:val="0"/>
        <w:numPr>
          <w:ilvl w:val="0"/>
          <w:numId w:val="6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w:t>
      </w:r>
      <w:r w:rsidRPr="009B6AD0">
        <w:rPr>
          <w:rFonts w:ascii="Tahoma" w:hAnsi="Tahoma" w:cs="Tahoma"/>
        </w:rPr>
        <w:lastRenderedPageBreak/>
        <w:t xml:space="preserve">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77752BC8" w:rsidR="0037677E" w:rsidRPr="009B6AD0" w:rsidRDefault="002B3BD1"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não se encontram sublocados,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27E4FAC" w:rsidR="0037677E" w:rsidRPr="009B6AD0" w:rsidRDefault="00331B5A" w:rsidP="00B340E7">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ABFDD03" w14:textId="46DF2728" w:rsidR="008965B3" w:rsidRPr="009B6AD0" w:rsidRDefault="002B3BD1" w:rsidP="00050A32">
      <w:pPr>
        <w:pStyle w:val="PargrafodaLista"/>
        <w:widowControl w:val="0"/>
        <w:numPr>
          <w:ilvl w:val="0"/>
          <w:numId w:val="6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B340E7">
      <w:pPr>
        <w:pStyle w:val="PargrafodaLista"/>
        <w:widowControl w:val="0"/>
        <w:numPr>
          <w:ilvl w:val="1"/>
          <w:numId w:val="6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B340E7">
      <w:pPr>
        <w:pStyle w:val="PargrafodaLista"/>
        <w:widowControl w:val="0"/>
        <w:numPr>
          <w:ilvl w:val="0"/>
          <w:numId w:val="6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B340E7">
      <w:pPr>
        <w:pStyle w:val="PargrafodaLista"/>
        <w:widowControl w:val="0"/>
        <w:numPr>
          <w:ilvl w:val="0"/>
          <w:numId w:val="68"/>
        </w:numPr>
        <w:tabs>
          <w:tab w:val="left" w:pos="567"/>
        </w:tabs>
        <w:spacing w:after="0" w:line="320" w:lineRule="exact"/>
        <w:ind w:left="567" w:hanging="567"/>
        <w:jc w:val="both"/>
        <w:rPr>
          <w:rFonts w:ascii="Tahoma" w:hAnsi="Tahoma" w:cs="Tahoma"/>
        </w:rPr>
      </w:pPr>
      <w:r w:rsidRPr="009B6AD0">
        <w:rPr>
          <w:rFonts w:ascii="Tahoma" w:hAnsi="Tahoma" w:cs="Tahoma"/>
        </w:rPr>
        <w:t xml:space="preserve">Possui plena capacidade e legitimidade para celebrar o presente Contrato, 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77777777"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77777777" w:rsidR="00331B5A" w:rsidRPr="009B6AD0" w:rsidRDefault="00331B5A" w:rsidP="00B340E7">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B340E7">
      <w:pPr>
        <w:pStyle w:val="PargrafodaLista"/>
        <w:widowControl w:val="0"/>
        <w:numPr>
          <w:ilvl w:val="1"/>
          <w:numId w:val="66"/>
        </w:numPr>
        <w:tabs>
          <w:tab w:val="left" w:pos="709"/>
        </w:tabs>
        <w:spacing w:after="0" w:line="320" w:lineRule="exact"/>
        <w:ind w:left="0" w:firstLine="0"/>
        <w:jc w:val="both"/>
        <w:rPr>
          <w:rFonts w:ascii="Tahoma" w:hAnsi="Tahoma" w:cs="Tahoma"/>
          <w:b/>
        </w:rPr>
      </w:pPr>
      <w:r w:rsidRPr="009B6AD0">
        <w:rPr>
          <w:rFonts w:ascii="Tahoma" w:hAnsi="Tahoma" w:cs="Tahoma"/>
          <w:u w:val="single"/>
        </w:rPr>
        <w:lastRenderedPageBreak/>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28" w:name="_Toc510869703"/>
    </w:p>
    <w:p w14:paraId="7F158296" w14:textId="77777777"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NONA –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B340E7">
      <w:pPr>
        <w:pStyle w:val="PargrafodaLista"/>
        <w:widowControl w:val="0"/>
        <w:numPr>
          <w:ilvl w:val="1"/>
          <w:numId w:val="70"/>
        </w:numPr>
        <w:tabs>
          <w:tab w:val="left" w:pos="567"/>
        </w:tabs>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B340E7">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B340E7">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B340E7">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6161077" w:rsidR="007A1747" w:rsidRPr="009B6AD0" w:rsidRDefault="0037677E" w:rsidP="00B340E7">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r w:rsidR="008D48DD" w:rsidRPr="009B6AD0">
        <w:rPr>
          <w:rFonts w:ascii="Tahoma" w:hAnsi="Tahoma" w:cs="Tahoma"/>
        </w:rPr>
        <w:t>e</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B340E7">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7B149B04" w:rsidR="008965B3" w:rsidRPr="009B6AD0" w:rsidRDefault="008965B3" w:rsidP="00B340E7">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3A1075">
        <w:rPr>
          <w:rFonts w:ascii="Tahoma" w:hAnsi="Tahoma" w:cs="Tahoma"/>
        </w:rPr>
        <w:t>Villa Barão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3A1075">
        <w:rPr>
          <w:rFonts w:ascii="Tahoma" w:hAnsi="Tahoma" w:cs="Tahoma"/>
        </w:rPr>
        <w:t>Villa Barão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28"/>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B340E7">
      <w:pPr>
        <w:pStyle w:val="PargrafodaLista"/>
        <w:keepNext/>
        <w:widowControl w:val="0"/>
        <w:numPr>
          <w:ilvl w:val="1"/>
          <w:numId w:val="71"/>
        </w:numPr>
        <w:tabs>
          <w:tab w:val="left" w:pos="567"/>
        </w:tabs>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lastRenderedPageBreak/>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1ED31BAA" w:rsidR="007A1747" w:rsidRPr="009B6AD0" w:rsidRDefault="009237D3" w:rsidP="00B340E7">
      <w:pPr>
        <w:widowControl w:val="0"/>
        <w:spacing w:after="0" w:line="320" w:lineRule="exact"/>
        <w:ind w:left="142" w:firstLine="567"/>
        <w:contextualSpacing/>
        <w:jc w:val="both"/>
        <w:rPr>
          <w:rFonts w:ascii="Tahoma" w:hAnsi="Tahoma" w:cs="Tahoma"/>
          <w:b/>
          <w:bCs/>
          <w:color w:val="000000"/>
        </w:rPr>
      </w:pPr>
      <w:r>
        <w:rPr>
          <w:rFonts w:ascii="Tahoma" w:hAnsi="Tahoma" w:cs="Tahoma"/>
          <w:b/>
          <w:bCs/>
          <w:color w:val="000000"/>
        </w:rPr>
        <w:t>SALAS INCORPORAÇÕES</w:t>
      </w:r>
      <w:r w:rsidR="007A1747" w:rsidRPr="009B6AD0">
        <w:rPr>
          <w:rFonts w:ascii="Tahoma" w:hAnsi="Tahoma" w:cs="Tahoma"/>
          <w:b/>
          <w:bCs/>
          <w:color w:val="000000"/>
        </w:rPr>
        <w:t xml:space="preserve"> 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77777777" w:rsidR="0037677E" w:rsidRPr="009B6AD0" w:rsidRDefault="0037677E" w:rsidP="00B340E7">
      <w:pPr>
        <w:pStyle w:val="PargrafodaLista"/>
        <w:widowControl w:val="0"/>
        <w:numPr>
          <w:ilvl w:val="2"/>
          <w:numId w:val="71"/>
        </w:numPr>
        <w:tabs>
          <w:tab w:val="left" w:pos="567"/>
          <w:tab w:val="left" w:pos="1418"/>
        </w:tabs>
        <w:spacing w:after="0" w:line="320" w:lineRule="exact"/>
        <w:ind w:left="567" w:firstLine="0"/>
        <w:jc w:val="both"/>
        <w:rPr>
          <w:rFonts w:ascii="Tahoma" w:hAnsi="Tahoma" w:cs="Tahoma"/>
          <w:b/>
        </w:rPr>
      </w:pPr>
      <w:r w:rsidRPr="009B6AD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B340E7">
      <w:pPr>
        <w:pStyle w:val="PargrafodaLista"/>
        <w:widowControl w:val="0"/>
        <w:numPr>
          <w:ilvl w:val="2"/>
          <w:numId w:val="71"/>
        </w:numPr>
        <w:tabs>
          <w:tab w:val="left" w:pos="1560"/>
        </w:tabs>
        <w:spacing w:after="0" w:line="320" w:lineRule="exact"/>
        <w:ind w:left="709" w:firstLine="0"/>
        <w:jc w:val="both"/>
        <w:rPr>
          <w:rFonts w:ascii="Tahoma" w:hAnsi="Tahoma" w:cs="Tahoma"/>
        </w:rPr>
      </w:pPr>
      <w:r w:rsidRPr="009B6AD0">
        <w:rPr>
          <w:rFonts w:ascii="Tahoma" w:hAnsi="Tahoma" w:cs="Tahoma"/>
        </w:rPr>
        <w:t xml:space="preserve">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w:t>
      </w:r>
      <w:r w:rsidRPr="009B6AD0">
        <w:rPr>
          <w:rFonts w:ascii="Tahoma" w:hAnsi="Tahoma" w:cs="Tahoma"/>
        </w:rPr>
        <w:lastRenderedPageBreak/>
        <w:t>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bookmarkStart w:id="29" w:name="_Ref361939554"/>
      <w:bookmarkStart w:id="30"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9"/>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30"/>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B340E7">
      <w:pPr>
        <w:pStyle w:val="PargrafodaLista"/>
        <w:widowControl w:val="0"/>
        <w:numPr>
          <w:ilvl w:val="2"/>
          <w:numId w:val="71"/>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B340E7">
      <w:pPr>
        <w:pStyle w:val="PargrafodaLista"/>
        <w:widowControl w:val="0"/>
        <w:numPr>
          <w:ilvl w:val="1"/>
          <w:numId w:val="71"/>
        </w:numPr>
        <w:tabs>
          <w:tab w:val="left" w:pos="709"/>
        </w:tabs>
        <w:spacing w:after="0" w:line="320" w:lineRule="exact"/>
        <w:ind w:left="0" w:firstLine="0"/>
        <w:jc w:val="both"/>
        <w:rPr>
          <w:rFonts w:ascii="Tahoma" w:hAnsi="Tahoma" w:cs="Tahoma"/>
        </w:rPr>
      </w:pPr>
      <w:bookmarkStart w:id="31"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31"/>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6CE88D0E" w:rsidR="0037677E" w:rsidRPr="009B6AD0" w:rsidRDefault="0037677E" w:rsidP="00B340E7">
      <w:pPr>
        <w:pStyle w:val="PargrafodaLista"/>
        <w:widowControl w:val="0"/>
        <w:numPr>
          <w:ilvl w:val="1"/>
          <w:numId w:val="71"/>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_Ref461651848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10.8</w:t>
      </w:r>
      <w:r w:rsidR="00290D38" w:rsidRPr="009B6AD0">
        <w:rPr>
          <w:rFonts w:ascii="Tahoma" w:hAnsi="Tahoma" w:cs="Tahoma"/>
        </w:rPr>
        <w:fldChar w:fldCharType="end"/>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C41B61">
      <w:pPr>
        <w:pStyle w:val="PargrafodaLista"/>
        <w:widowControl w:val="0"/>
        <w:numPr>
          <w:ilvl w:val="1"/>
          <w:numId w:val="71"/>
        </w:numPr>
        <w:tabs>
          <w:tab w:val="left" w:pos="709"/>
        </w:tabs>
        <w:spacing w:after="0" w:line="320" w:lineRule="exact"/>
        <w:ind w:left="0" w:firstLine="0"/>
        <w:jc w:val="both"/>
        <w:rPr>
          <w:rFonts w:ascii="Tahoma" w:hAnsi="Tahoma" w:cs="Tahoma"/>
          <w:b/>
        </w:rPr>
      </w:pPr>
      <w:r w:rsidRPr="009B6AD0">
        <w:rPr>
          <w:rFonts w:ascii="Tahoma" w:hAnsi="Tahoma" w:cs="Tahoma"/>
          <w:u w:val="single"/>
        </w:rPr>
        <w:lastRenderedPageBreak/>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77777777" w:rsidR="00CE7C46" w:rsidRPr="009B6AD0" w:rsidRDefault="0037677E" w:rsidP="00C41B61">
      <w:pPr>
        <w:pStyle w:val="PargrafodaLista"/>
        <w:widowControl w:val="0"/>
        <w:numPr>
          <w:ilvl w:val="1"/>
          <w:numId w:val="71"/>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do </w:t>
      </w:r>
      <w:r w:rsidR="001025F3" w:rsidRPr="009B6AD0">
        <w:rPr>
          <w:rFonts w:ascii="Tahoma" w:eastAsia="Arial" w:hAnsi="Tahoma" w:cs="Tahoma"/>
        </w:rPr>
        <w:t>Lei nº 13.105, de 16 de março de 2015 (“</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32" w:name="_DV_M134"/>
      <w:bookmarkEnd w:id="32"/>
    </w:p>
    <w:p w14:paraId="30FF83F1" w14:textId="77777777"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ONZE – </w:t>
      </w:r>
      <w:r w:rsidR="0037677E" w:rsidRPr="009B6AD0">
        <w:rPr>
          <w:rFonts w:ascii="Tahoma" w:hAnsi="Tahoma" w:cs="Tahoma"/>
          <w:b/>
        </w:rPr>
        <w:t xml:space="preserve">LEGISLAÇÃO APLICÁVEL E </w:t>
      </w:r>
      <w:bookmarkStart w:id="33"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C41B61">
      <w:pPr>
        <w:pStyle w:val="PargrafodaLista"/>
        <w:widowControl w:val="0"/>
        <w:numPr>
          <w:ilvl w:val="1"/>
          <w:numId w:val="73"/>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34" w:name="_DV_M191"/>
      <w:bookmarkEnd w:id="34"/>
    </w:p>
    <w:p w14:paraId="08CA5DE1" w14:textId="77777777" w:rsidR="0037677E" w:rsidRPr="009B6AD0" w:rsidRDefault="0037677E" w:rsidP="00C41B61">
      <w:pPr>
        <w:pStyle w:val="PargrafodaLista"/>
        <w:widowControl w:val="0"/>
        <w:numPr>
          <w:ilvl w:val="1"/>
          <w:numId w:val="73"/>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35" w:name="_DV_M484"/>
      <w:bookmarkStart w:id="36" w:name="_DV_M495"/>
      <w:bookmarkStart w:id="37" w:name="_DV_M498"/>
      <w:bookmarkStart w:id="38" w:name="_DV_M499"/>
      <w:bookmarkStart w:id="39" w:name="_DV_M501"/>
      <w:bookmarkStart w:id="40" w:name="_DV_M502"/>
      <w:bookmarkEnd w:id="35"/>
      <w:bookmarkEnd w:id="36"/>
      <w:bookmarkEnd w:id="37"/>
      <w:bookmarkEnd w:id="38"/>
      <w:bookmarkEnd w:id="39"/>
      <w:bookmarkEnd w:id="40"/>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4FB88EFA" w14:textId="516DD374" w:rsidR="0037677E" w:rsidRPr="009B6AD0" w:rsidRDefault="0037677E" w:rsidP="00B340E7">
      <w:pPr>
        <w:keepNext/>
        <w:widowControl w:val="0"/>
        <w:spacing w:after="0" w:line="320" w:lineRule="exact"/>
        <w:contextualSpacing/>
        <w:jc w:val="center"/>
        <w:rPr>
          <w:rFonts w:ascii="Tahoma" w:hAnsi="Tahoma" w:cs="Tahoma"/>
        </w:rPr>
      </w:pPr>
      <w:r w:rsidRPr="009B6AD0">
        <w:rPr>
          <w:rFonts w:ascii="Tahoma" w:hAnsi="Tahoma" w:cs="Tahoma"/>
        </w:rPr>
        <w:t xml:space="preserve">São Paulo, </w:t>
      </w:r>
      <w:r w:rsidR="009237D3" w:rsidRPr="009237D3">
        <w:rPr>
          <w:rFonts w:ascii="Tahoma" w:hAnsi="Tahoma" w:cs="Tahoma"/>
          <w:highlight w:val="yellow"/>
        </w:rPr>
        <w:t>[•]</w:t>
      </w:r>
      <w:r w:rsidR="00A22E7C" w:rsidRPr="009B6AD0">
        <w:rPr>
          <w:rFonts w:ascii="Tahoma" w:hAnsi="Tahoma" w:cs="Tahoma"/>
        </w:rPr>
        <w:t xml:space="preserve"> </w:t>
      </w:r>
      <w:r w:rsidRPr="009B6AD0">
        <w:rPr>
          <w:rFonts w:ascii="Tahoma" w:hAnsi="Tahoma" w:cs="Tahoma"/>
        </w:rPr>
        <w:t>de</w:t>
      </w:r>
      <w:r w:rsidR="00487EFF" w:rsidRPr="009B6AD0">
        <w:rPr>
          <w:rFonts w:ascii="Tahoma" w:hAnsi="Tahoma" w:cs="Tahoma"/>
        </w:rPr>
        <w:t xml:space="preserve"> </w:t>
      </w:r>
      <w:r w:rsidR="00447E05">
        <w:rPr>
          <w:rFonts w:ascii="Tahoma" w:hAnsi="Tahoma" w:cs="Tahoma"/>
        </w:rPr>
        <w:t>abril</w:t>
      </w:r>
      <w:r w:rsidR="009237D3" w:rsidRPr="009B6AD0">
        <w:rPr>
          <w:rFonts w:ascii="Tahoma" w:hAnsi="Tahoma" w:cs="Tahoma"/>
        </w:rPr>
        <w:t xml:space="preserve"> </w:t>
      </w:r>
      <w:r w:rsidRPr="009B6AD0">
        <w:rPr>
          <w:rFonts w:ascii="Tahoma" w:hAnsi="Tahoma" w:cs="Tahoma"/>
        </w:rPr>
        <w:t>de 20</w:t>
      </w:r>
      <w:r w:rsidR="002F4740" w:rsidRPr="009B6AD0">
        <w:rPr>
          <w:rFonts w:ascii="Tahoma" w:hAnsi="Tahoma" w:cs="Tahoma"/>
        </w:rPr>
        <w:t>20</w:t>
      </w:r>
      <w:r w:rsidRPr="009B6AD0">
        <w:rPr>
          <w:rFonts w:ascii="Tahoma" w:hAnsi="Tahoma" w:cs="Tahoma"/>
        </w:rPr>
        <w:t>.</w:t>
      </w:r>
    </w:p>
    <w:p w14:paraId="7651DE30" w14:textId="77777777" w:rsidR="0037677E" w:rsidRPr="009B6AD0" w:rsidRDefault="0037677E" w:rsidP="00B340E7">
      <w:pPr>
        <w:keepNext/>
        <w:widowControl w:val="0"/>
        <w:spacing w:after="0" w:line="320" w:lineRule="exact"/>
        <w:contextualSpacing/>
        <w:jc w:val="center"/>
        <w:rPr>
          <w:rFonts w:ascii="Tahoma" w:hAnsi="Tahoma" w:cs="Tahoma"/>
        </w:rPr>
      </w:pPr>
    </w:p>
    <w:p w14:paraId="3DC5E1AE" w14:textId="77777777" w:rsidR="0037677E" w:rsidRPr="009B6AD0"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p w14:paraId="36993DDC" w14:textId="52A7917A"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 xml:space="preserve">de assinaturas do Instrumento Particular de Alienação Fiduciária de Imóveis em Garantia e Outras Avenças, celebrado em </w:t>
      </w:r>
      <w:r w:rsidR="009237D3" w:rsidRPr="009237D3">
        <w:rPr>
          <w:rFonts w:ascii="Tahoma" w:hAnsi="Tahoma" w:cs="Tahoma"/>
          <w:i/>
          <w:highlight w:val="yellow"/>
        </w:rPr>
        <w:t>[•]</w:t>
      </w:r>
      <w:r w:rsidR="00CA13DD" w:rsidRPr="009B6AD0">
        <w:rPr>
          <w:rFonts w:ascii="Tahoma" w:hAnsi="Tahoma" w:cs="Tahoma"/>
          <w:i/>
        </w:rPr>
        <w:t xml:space="preserve"> </w:t>
      </w:r>
      <w:r w:rsidR="00106CEB" w:rsidRPr="009B6AD0">
        <w:rPr>
          <w:rFonts w:ascii="Tahoma" w:hAnsi="Tahoma" w:cs="Tahoma"/>
          <w:i/>
        </w:rPr>
        <w:t xml:space="preserve">de </w:t>
      </w:r>
      <w:r w:rsidR="00447E05">
        <w:rPr>
          <w:rFonts w:ascii="Tahoma" w:hAnsi="Tahoma" w:cs="Tahoma"/>
          <w:i/>
        </w:rPr>
        <w:t>abril</w:t>
      </w:r>
      <w:r w:rsidR="009237D3" w:rsidRPr="009B6AD0">
        <w:rPr>
          <w:rFonts w:ascii="Tahoma" w:hAnsi="Tahoma" w:cs="Tahoma"/>
          <w:i/>
        </w:rPr>
        <w:t xml:space="preserve"> </w:t>
      </w:r>
      <w:r w:rsidR="00106CEB" w:rsidRPr="009B6AD0">
        <w:rPr>
          <w:rFonts w:ascii="Tahoma" w:hAnsi="Tahoma" w:cs="Tahoma"/>
          <w:i/>
        </w:rPr>
        <w:t>de 20</w:t>
      </w:r>
      <w:r w:rsidR="002F4740" w:rsidRPr="009B6AD0">
        <w:rPr>
          <w:rFonts w:ascii="Tahoma" w:hAnsi="Tahoma" w:cs="Tahoma"/>
          <w:i/>
        </w:rPr>
        <w:t>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1025F3" w:rsidRPr="009B6AD0">
        <w:rPr>
          <w:rFonts w:ascii="Tahoma" w:hAnsi="Tahoma" w:cs="Tahoma"/>
          <w:i/>
        </w:rPr>
        <w:t>S</w:t>
      </w:r>
      <w:r w:rsidR="009237D3">
        <w:rPr>
          <w:rFonts w:ascii="Tahoma" w:hAnsi="Tahoma" w:cs="Tahoma"/>
          <w:i/>
        </w:rPr>
        <w:t>alas Incorporações</w:t>
      </w:r>
      <w:r w:rsidR="001025F3" w:rsidRPr="009B6AD0">
        <w:rPr>
          <w:rFonts w:ascii="Tahoma" w:hAnsi="Tahoma" w:cs="Tahoma"/>
          <w:i/>
        </w:rPr>
        <w:t xml:space="preserv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73BD9015"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S</w:t>
            </w:r>
            <w:r w:rsidR="009237D3">
              <w:rPr>
                <w:rFonts w:ascii="Tahoma" w:hAnsi="Tahoma" w:cs="Tahoma"/>
                <w:b/>
                <w:bCs/>
                <w:color w:val="000000"/>
                <w:sz w:val="21"/>
                <w:szCs w:val="21"/>
              </w:rPr>
              <w:t>ALAS INCORPORAÇÕES</w:t>
            </w:r>
            <w:r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497C676F"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9237D3" w:rsidRPr="009237D3">
        <w:rPr>
          <w:rFonts w:ascii="Tahoma" w:hAnsi="Tahoma" w:cs="Tahoma"/>
          <w:i/>
          <w:highlight w:val="yellow"/>
        </w:rPr>
        <w:t>[•]</w:t>
      </w:r>
      <w:r w:rsidR="009237D3" w:rsidRPr="009B6AD0">
        <w:rPr>
          <w:rFonts w:ascii="Tahoma" w:hAnsi="Tahoma" w:cs="Tahoma"/>
          <w:i/>
        </w:rPr>
        <w:t xml:space="preserve"> de </w:t>
      </w:r>
      <w:r w:rsidR="00447E05">
        <w:rPr>
          <w:rFonts w:ascii="Tahoma" w:hAnsi="Tahoma" w:cs="Tahoma"/>
          <w:i/>
        </w:rPr>
        <w:t>abril</w:t>
      </w:r>
      <w:r w:rsidR="009237D3" w:rsidRPr="009B6AD0">
        <w:rPr>
          <w:rFonts w:ascii="Tahoma" w:hAnsi="Tahoma" w:cs="Tahoma"/>
          <w:i/>
        </w:rPr>
        <w:t xml:space="preserve"> de 2020, entre a S</w:t>
      </w:r>
      <w:r w:rsidR="009237D3">
        <w:rPr>
          <w:rFonts w:ascii="Tahoma" w:hAnsi="Tahoma" w:cs="Tahoma"/>
          <w:i/>
        </w:rPr>
        <w:t>alas Incorporações</w:t>
      </w:r>
      <w:r w:rsidR="009237D3" w:rsidRPr="009B6AD0">
        <w:rPr>
          <w:rFonts w:ascii="Tahoma" w:hAnsi="Tahoma" w:cs="Tahoma"/>
          <w:i/>
        </w:rPr>
        <w:t xml:space="preserve"> 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33"/>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51F96781" w:rsidR="0037677E" w:rsidRPr="009B6AD0"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sectPr w:rsidR="0037677E" w:rsidRPr="009B6AD0"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9237D3" w:rsidRDefault="009237D3" w:rsidP="0037677E">
      <w:r>
        <w:separator/>
      </w:r>
    </w:p>
  </w:endnote>
  <w:endnote w:type="continuationSeparator" w:id="0">
    <w:p w14:paraId="74C3E8AA" w14:textId="77777777" w:rsidR="009237D3" w:rsidRDefault="009237D3"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9237D3" w:rsidRDefault="009237D3" w:rsidP="0037677E">
      <w:r>
        <w:separator/>
      </w:r>
    </w:p>
  </w:footnote>
  <w:footnote w:type="continuationSeparator" w:id="0">
    <w:p w14:paraId="5188518D" w14:textId="77777777" w:rsidR="009237D3" w:rsidRDefault="009237D3"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5"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7"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0"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5"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0"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0"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3"/>
  </w:num>
  <w:num w:numId="4">
    <w:abstractNumId w:val="61"/>
  </w:num>
  <w:num w:numId="5">
    <w:abstractNumId w:val="72"/>
  </w:num>
  <w:num w:numId="6">
    <w:abstractNumId w:val="67"/>
  </w:num>
  <w:num w:numId="7">
    <w:abstractNumId w:val="44"/>
  </w:num>
  <w:num w:numId="8">
    <w:abstractNumId w:val="9"/>
  </w:num>
  <w:num w:numId="9">
    <w:abstractNumId w:val="59"/>
  </w:num>
  <w:num w:numId="10">
    <w:abstractNumId w:val="49"/>
  </w:num>
  <w:num w:numId="11">
    <w:abstractNumId w:val="25"/>
  </w:num>
  <w:num w:numId="12">
    <w:abstractNumId w:val="30"/>
  </w:num>
  <w:num w:numId="13">
    <w:abstractNumId w:val="58"/>
  </w:num>
  <w:num w:numId="14">
    <w:abstractNumId w:val="19"/>
  </w:num>
  <w:num w:numId="15">
    <w:abstractNumId w:val="5"/>
  </w:num>
  <w:num w:numId="16">
    <w:abstractNumId w:val="4"/>
  </w:num>
  <w:num w:numId="17">
    <w:abstractNumId w:val="73"/>
  </w:num>
  <w:num w:numId="18">
    <w:abstractNumId w:val="70"/>
  </w:num>
  <w:num w:numId="19">
    <w:abstractNumId w:val="23"/>
  </w:num>
  <w:num w:numId="20">
    <w:abstractNumId w:val="80"/>
  </w:num>
  <w:num w:numId="21">
    <w:abstractNumId w:val="76"/>
  </w:num>
  <w:num w:numId="22">
    <w:abstractNumId w:val="77"/>
  </w:num>
  <w:num w:numId="23">
    <w:abstractNumId w:val="0"/>
  </w:num>
  <w:num w:numId="24">
    <w:abstractNumId w:val="81"/>
  </w:num>
  <w:num w:numId="25">
    <w:abstractNumId w:val="42"/>
  </w:num>
  <w:num w:numId="26">
    <w:abstractNumId w:val="37"/>
  </w:num>
  <w:num w:numId="27">
    <w:abstractNumId w:val="54"/>
  </w:num>
  <w:num w:numId="28">
    <w:abstractNumId w:val="17"/>
  </w:num>
  <w:num w:numId="29">
    <w:abstractNumId w:val="55"/>
  </w:num>
  <w:num w:numId="30">
    <w:abstractNumId w:val="12"/>
  </w:num>
  <w:num w:numId="31">
    <w:abstractNumId w:val="60"/>
  </w:num>
  <w:num w:numId="32">
    <w:abstractNumId w:val="82"/>
  </w:num>
  <w:num w:numId="33">
    <w:abstractNumId w:val="13"/>
  </w:num>
  <w:num w:numId="34">
    <w:abstractNumId w:val="20"/>
  </w:num>
  <w:num w:numId="35">
    <w:abstractNumId w:val="3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num>
  <w:num w:numId="40">
    <w:abstractNumId w:val="34"/>
  </w:num>
  <w:num w:numId="41">
    <w:abstractNumId w:val="28"/>
  </w:num>
  <w:num w:numId="42">
    <w:abstractNumId w:val="75"/>
  </w:num>
  <w:num w:numId="43">
    <w:abstractNumId w:val="50"/>
  </w:num>
  <w:num w:numId="44">
    <w:abstractNumId w:val="47"/>
  </w:num>
  <w:num w:numId="45">
    <w:abstractNumId w:val="39"/>
  </w:num>
  <w:num w:numId="46">
    <w:abstractNumId w:val="74"/>
  </w:num>
  <w:num w:numId="47">
    <w:abstractNumId w:val="3"/>
  </w:num>
  <w:num w:numId="48">
    <w:abstractNumId w:val="7"/>
  </w:num>
  <w:num w:numId="49">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8"/>
  </w:num>
  <w:num w:numId="52">
    <w:abstractNumId w:val="22"/>
  </w:num>
  <w:num w:numId="53">
    <w:abstractNumId w:val="2"/>
  </w:num>
  <w:num w:numId="54">
    <w:abstractNumId w:val="26"/>
  </w:num>
  <w:num w:numId="55">
    <w:abstractNumId w:val="10"/>
  </w:num>
  <w:num w:numId="56">
    <w:abstractNumId w:val="62"/>
  </w:num>
  <w:num w:numId="57">
    <w:abstractNumId w:val="33"/>
  </w:num>
  <w:num w:numId="58">
    <w:abstractNumId w:val="71"/>
  </w:num>
  <w:num w:numId="59">
    <w:abstractNumId w:val="69"/>
  </w:num>
  <w:num w:numId="60">
    <w:abstractNumId w:val="52"/>
  </w:num>
  <w:num w:numId="61">
    <w:abstractNumId w:val="31"/>
  </w:num>
  <w:num w:numId="62">
    <w:abstractNumId w:val="64"/>
  </w:num>
  <w:num w:numId="63">
    <w:abstractNumId w:val="66"/>
  </w:num>
  <w:num w:numId="64">
    <w:abstractNumId w:val="43"/>
  </w:num>
  <w:num w:numId="65">
    <w:abstractNumId w:val="40"/>
  </w:num>
  <w:num w:numId="66">
    <w:abstractNumId w:val="57"/>
  </w:num>
  <w:num w:numId="67">
    <w:abstractNumId w:val="21"/>
  </w:num>
  <w:num w:numId="68">
    <w:abstractNumId w:val="51"/>
  </w:num>
  <w:num w:numId="69">
    <w:abstractNumId w:val="11"/>
  </w:num>
  <w:num w:numId="70">
    <w:abstractNumId w:val="41"/>
  </w:num>
  <w:num w:numId="71">
    <w:abstractNumId w:val="27"/>
  </w:num>
  <w:num w:numId="72">
    <w:abstractNumId w:val="65"/>
  </w:num>
  <w:num w:numId="73">
    <w:abstractNumId w:val="45"/>
  </w:num>
  <w:num w:numId="74">
    <w:abstractNumId w:val="35"/>
  </w:num>
  <w:num w:numId="75">
    <w:abstractNumId w:val="8"/>
  </w:num>
  <w:num w:numId="76">
    <w:abstractNumId w:val="79"/>
  </w:num>
  <w:num w:numId="77">
    <w:abstractNumId w:val="18"/>
  </w:num>
  <w:num w:numId="78">
    <w:abstractNumId w:val="63"/>
  </w:num>
  <w:num w:numId="79">
    <w:abstractNumId w:val="48"/>
  </w:num>
  <w:num w:numId="80">
    <w:abstractNumId w:val="38"/>
  </w:num>
  <w:num w:numId="81">
    <w:abstractNumId w:val="78"/>
  </w:num>
  <w:num w:numId="82">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0A32"/>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3C8F"/>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1075"/>
    <w:rsid w:val="003A3E40"/>
    <w:rsid w:val="003B2CA9"/>
    <w:rsid w:val="003B319E"/>
    <w:rsid w:val="003B66C0"/>
    <w:rsid w:val="003C1CAD"/>
    <w:rsid w:val="003D1213"/>
    <w:rsid w:val="003D7F33"/>
    <w:rsid w:val="003E2B9F"/>
    <w:rsid w:val="003E39DD"/>
    <w:rsid w:val="003F2C30"/>
    <w:rsid w:val="004015CD"/>
    <w:rsid w:val="0041488F"/>
    <w:rsid w:val="00442060"/>
    <w:rsid w:val="004476B4"/>
    <w:rsid w:val="004478C4"/>
    <w:rsid w:val="004479F9"/>
    <w:rsid w:val="00447E05"/>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0862"/>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purl.org/dc/dcmitype/"/>
    <ds:schemaRef ds:uri="31adb176-178c-41bb-8643-04db008b5e14"/>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d1f4d57-ec2f-4615-a139-a4f77c0b172f"/>
  </ds:schemaRefs>
</ds:datastoreItem>
</file>

<file path=customXml/itemProps4.xml><?xml version="1.0" encoding="utf-8"?>
<ds:datastoreItem xmlns:ds="http://schemas.openxmlformats.org/officeDocument/2006/customXml" ds:itemID="{062433E3-9DA7-4AFE-820D-FF2D59B4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9789</Words>
  <Characters>52861</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5</cp:revision>
  <cp:lastPrinted>2019-05-14T19:32:00Z</cp:lastPrinted>
  <dcterms:created xsi:type="dcterms:W3CDTF">2020-04-13T13:14:00Z</dcterms:created>
  <dcterms:modified xsi:type="dcterms:W3CDTF">2020-04-13T13:19:00Z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