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57545EB"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2AD0C7CB"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r w:rsidR="00B63A93">
        <w:rPr>
          <w:rFonts w:ascii="Tahoma" w:hAnsi="Tahoma" w:cs="Tahoma"/>
        </w:rPr>
        <w:t>Av.</w:t>
      </w:r>
      <w:r w:rsidR="008A6323" w:rsidRPr="008A6323">
        <w:rPr>
          <w:rFonts w:ascii="Tahoma" w:hAnsi="Tahoma" w:cs="Tahoma"/>
          <w:highlight w:val="yellow"/>
        </w:rPr>
        <w:t xml:space="preserve"> </w:t>
      </w:r>
      <w:r w:rsidR="008A6323" w:rsidRPr="00DD1917">
        <w:rPr>
          <w:rFonts w:ascii="Tahoma" w:hAnsi="Tahoma" w:cs="Tahoma"/>
          <w:highlight w:val="yellow"/>
        </w:rPr>
        <w:t>[•]</w:t>
      </w:r>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r w:rsidR="005603AF" w:rsidRPr="00DD1917">
        <w:rPr>
          <w:rFonts w:ascii="Tahoma" w:hAnsi="Tahoma" w:cs="Tahoma"/>
          <w:highlight w:val="yellow"/>
        </w:rPr>
        <w:t>[•]</w:t>
      </w:r>
      <w:r w:rsidR="005603AF">
        <w:rPr>
          <w:rFonts w:ascii="Tahoma" w:hAnsi="Tahoma" w:cs="Tahoma"/>
        </w:rPr>
        <w:t xml:space="preserve"> </w:t>
      </w:r>
      <w:r w:rsidR="005603AF" w:rsidRPr="003C089A">
        <w:rPr>
          <w:rFonts w:ascii="Tahoma" w:hAnsi="Tahoma" w:cs="Tahoma"/>
        </w:rPr>
        <w:t xml:space="preserve">da Matrícula, datada 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w:t>
      </w:r>
      <w:r w:rsidRPr="009B6AD0">
        <w:rPr>
          <w:rFonts w:ascii="Tahoma" w:hAnsi="Tahoma" w:cs="Tahoma"/>
        </w:rPr>
        <w:lastRenderedPageBreak/>
        <w:t>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280519">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xml:space="preserve">”) e, em conjunto com o Contrato de Cessão Fiduciária e com o Instrumento Particular de Alienação Fiduciária, doravante </w:t>
      </w:r>
      <w:commentRangeStart w:id="1"/>
      <w:r w:rsidRPr="00613D81">
        <w:rPr>
          <w:rFonts w:ascii="Tahoma" w:hAnsi="Tahoma" w:cs="Tahoma"/>
        </w:rPr>
        <w:t>denominados</w:t>
      </w:r>
      <w:commentRangeEnd w:id="1"/>
      <w:r w:rsidR="005A1658">
        <w:rPr>
          <w:rStyle w:val="Refdecomentrio"/>
        </w:rPr>
        <w:commentReference w:id="1"/>
      </w:r>
      <w:r w:rsidRPr="00613D81">
        <w:rPr>
          <w:rFonts w:ascii="Tahoma" w:hAnsi="Tahoma" w:cs="Tahoma"/>
        </w:rPr>
        <w:t xml:space="preserve">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xml:space="preserve">”), tendo como objeto, </w:t>
      </w:r>
      <w:r w:rsidR="0037677E" w:rsidRPr="009B6AD0">
        <w:rPr>
          <w:rFonts w:ascii="Tahoma" w:hAnsi="Tahoma" w:cs="Tahoma"/>
        </w:rPr>
        <w:lastRenderedPageBreak/>
        <w:t>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2977D3F1"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11420" w:rsidRPr="00DD1917">
        <w:rPr>
          <w:rFonts w:ascii="Tahoma" w:hAnsi="Tahoma" w:cs="Tahoma"/>
          <w:highlight w:val="yellow"/>
        </w:rPr>
        <w:t>[•]</w:t>
      </w:r>
      <w:r w:rsidRPr="009B6AD0">
        <w:rPr>
          <w:rFonts w:ascii="Tahoma" w:hAnsi="Tahoma" w:cs="Tahoma"/>
          <w:bCs/>
        </w:rPr>
        <w:t xml:space="preserve">ª </w:t>
      </w:r>
      <w:r w:rsidR="0037677E" w:rsidRPr="009B6AD0">
        <w:rPr>
          <w:rFonts w:ascii="Tahoma" w:hAnsi="Tahoma" w:cs="Tahoma"/>
          <w:bCs/>
        </w:rPr>
        <w:t xml:space="preserve">Série da sua </w:t>
      </w:r>
      <w:r w:rsidR="00411420" w:rsidRPr="00DD1917">
        <w:rPr>
          <w:rFonts w:ascii="Tahoma" w:hAnsi="Tahoma" w:cs="Tahoma"/>
          <w:highlight w:val="yellow"/>
        </w:rPr>
        <w:t>[•]</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44CC05E0"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411420" w:rsidRPr="00DD1917">
        <w:rPr>
          <w:rFonts w:ascii="Tahoma" w:hAnsi="Tahoma" w:cs="Tahoma"/>
          <w:highlight w:val="yellow"/>
        </w:rPr>
        <w:t>[•]</w:t>
      </w:r>
      <w:r w:rsidR="005D1E81" w:rsidRPr="009B6AD0">
        <w:rPr>
          <w:rFonts w:ascii="Tahoma" w:hAnsi="Tahoma" w:cs="Tahoma"/>
          <w:i/>
        </w:rPr>
        <w:t>ª</w:t>
      </w:r>
      <w:r w:rsidR="00DB5432" w:rsidRPr="009B6AD0">
        <w:rPr>
          <w:rFonts w:ascii="Tahoma" w:hAnsi="Tahoma" w:cs="Tahoma"/>
          <w:i/>
        </w:rPr>
        <w:t xml:space="preserve"> Série da </w:t>
      </w:r>
      <w:r w:rsidR="00411420" w:rsidRPr="00DD1917">
        <w:rPr>
          <w:rFonts w:ascii="Tahoma" w:hAnsi="Tahoma" w:cs="Tahoma"/>
          <w:highlight w:val="yellow"/>
        </w:rPr>
        <w:t>[•]</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proofErr w:type="spellStart"/>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proofErr w:type="spellEnd"/>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w:t>
      </w:r>
      <w:r w:rsidRPr="009B6AD0">
        <w:rPr>
          <w:rFonts w:ascii="Tahoma" w:hAnsi="Tahoma" w:cs="Tahoma"/>
        </w:rPr>
        <w:lastRenderedPageBreak/>
        <w:t xml:space="preserve">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commentRangeStart w:id="5"/>
      <w:r w:rsidR="008D71A8" w:rsidRPr="009B6AD0">
        <w:rPr>
          <w:rFonts w:ascii="Tahoma" w:hAnsi="Tahoma" w:cs="Tahoma"/>
        </w:rPr>
        <w:t>uma</w:t>
      </w:r>
      <w:commentRangeEnd w:id="5"/>
      <w:r w:rsidR="00F67702">
        <w:rPr>
          <w:rStyle w:val="Refdecomentrio"/>
        </w:rPr>
        <w:commentReference w:id="5"/>
      </w:r>
      <w:r w:rsidR="008D71A8" w:rsidRPr="009B6AD0">
        <w:rPr>
          <w:rFonts w:ascii="Tahoma" w:hAnsi="Tahoma" w:cs="Tahoma"/>
        </w:rPr>
        <w:t xml:space="preserve">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6"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3"/>
      <w:r w:rsidR="0037677E" w:rsidRPr="009B6AD0">
        <w:rPr>
          <w:rFonts w:ascii="Tahoma" w:hAnsi="Tahoma" w:cs="Tahoma"/>
        </w:rPr>
        <w:t>e deste Contrato.</w:t>
      </w:r>
      <w:bookmarkEnd w:id="4"/>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7" w:name="_Ref361299795"/>
      <w:bookmarkStart w:id="8"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7"/>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8"/>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9"/>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w:t>
      </w:r>
      <w:r w:rsidRPr="009B6AD0">
        <w:rPr>
          <w:rFonts w:ascii="Tahoma" w:hAnsi="Tahoma" w:cs="Tahoma"/>
        </w:rPr>
        <w:lastRenderedPageBreak/>
        <w:t xml:space="preserve">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 xml:space="preserve">pela Fiduciante à Fiduciária operar-se-á mediante o registro, às expensas da Fiduciante, deste Contrato no Cartório de Registro de Imóveis competente e </w:t>
      </w:r>
      <w:commentRangeStart w:id="15"/>
      <w:r w:rsidR="0037677E" w:rsidRPr="009B6AD0">
        <w:rPr>
          <w:rFonts w:ascii="Tahoma" w:hAnsi="Tahoma" w:cs="Tahoma"/>
        </w:rPr>
        <w:t>vigorará</w:t>
      </w:r>
      <w:commentRangeEnd w:id="15"/>
      <w:r w:rsidR="005A1658">
        <w:rPr>
          <w:rStyle w:val="Refdecomentrio"/>
        </w:rPr>
        <w:commentReference w:id="15"/>
      </w:r>
      <w:r w:rsidR="0037677E" w:rsidRPr="009B6AD0">
        <w:rPr>
          <w:rFonts w:ascii="Tahoma" w:hAnsi="Tahoma" w:cs="Tahoma"/>
        </w:rPr>
        <w:t xml:space="preserve"> até o efetivo cumprimento da totalidade das Obrigações Garantidas.</w:t>
      </w:r>
      <w:bookmarkEnd w:id="10"/>
      <w:r w:rsidR="0037677E" w:rsidRPr="009B6AD0">
        <w:rPr>
          <w:rFonts w:ascii="Tahoma" w:hAnsi="Tahoma" w:cs="Tahoma"/>
        </w:rPr>
        <w:t xml:space="preserve"> </w:t>
      </w:r>
      <w:bookmarkEnd w:id="11"/>
      <w:bookmarkEnd w:id="12"/>
      <w:bookmarkEnd w:id="13"/>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O presente Contrato deverá ser objeto de prenotação para registro da Garantia Fiduciária no Cartório de Registro de Imóveis competente, no prazo de até 5 (</w:t>
      </w:r>
      <w:commentRangeStart w:id="16"/>
      <w:r w:rsidRPr="009B6AD0">
        <w:rPr>
          <w:rFonts w:ascii="Tahoma" w:hAnsi="Tahoma" w:cs="Tahoma"/>
        </w:rPr>
        <w:t>cinco</w:t>
      </w:r>
      <w:commentRangeEnd w:id="16"/>
      <w:r w:rsidR="005A1658">
        <w:rPr>
          <w:rStyle w:val="Refdecomentrio"/>
        </w:rPr>
        <w:commentReference w:id="16"/>
      </w:r>
      <w:r w:rsidRPr="009B6AD0">
        <w:rPr>
          <w:rFonts w:ascii="Tahoma" w:hAnsi="Tahoma" w:cs="Tahoma"/>
        </w:rPr>
        <w:t xml:space="preserve">)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4"/>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 xml:space="preserve">contados da data da prenotação, prorrogável automaticamente, por duas vezes, por igual </w:t>
      </w:r>
      <w:commentRangeStart w:id="17"/>
      <w:r w:rsidR="00511304" w:rsidRPr="009B6AD0">
        <w:rPr>
          <w:rFonts w:ascii="Tahoma" w:hAnsi="Tahoma" w:cs="Tahoma"/>
        </w:rPr>
        <w:t>período</w:t>
      </w:r>
      <w:commentRangeEnd w:id="17"/>
      <w:r w:rsidR="005A1658">
        <w:rPr>
          <w:rStyle w:val="Refdecomentrio"/>
        </w:rPr>
        <w:commentReference w:id="17"/>
      </w:r>
      <w:r w:rsidR="00511304" w:rsidRPr="009B6AD0">
        <w:rPr>
          <w:rFonts w:ascii="Tahoma" w:hAnsi="Tahoma" w:cs="Tahoma"/>
        </w:rPr>
        <w:t>,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w:t>
      </w:r>
      <w:commentRangeStart w:id="18"/>
      <w:r w:rsidR="007231B4" w:rsidRPr="009B6AD0">
        <w:rPr>
          <w:rFonts w:ascii="Tahoma" w:hAnsi="Tahoma" w:cs="Tahoma"/>
        </w:rPr>
        <w:t>apresentar</w:t>
      </w:r>
      <w:commentRangeEnd w:id="18"/>
      <w:r w:rsidR="005A1658">
        <w:rPr>
          <w:rStyle w:val="Refdecomentrio"/>
        </w:rPr>
        <w:commentReference w:id="18"/>
      </w:r>
      <w:r w:rsidR="007231B4" w:rsidRPr="009B6AD0">
        <w:rPr>
          <w:rFonts w:ascii="Tahoma" w:hAnsi="Tahoma" w:cs="Tahoma"/>
        </w:rPr>
        <w:t xml:space="preserve">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w:t>
      </w:r>
      <w:commentRangeStart w:id="19"/>
      <w:r w:rsidRPr="009B6AD0">
        <w:rPr>
          <w:rFonts w:ascii="Tahoma" w:hAnsi="Tahoma" w:cs="Tahoma"/>
        </w:rPr>
        <w:t>Fiduciária</w:t>
      </w:r>
      <w:commentRangeEnd w:id="19"/>
      <w:r w:rsidR="009C1529">
        <w:rPr>
          <w:rStyle w:val="Refdecomentrio"/>
        </w:rPr>
        <w:commentReference w:id="19"/>
      </w:r>
      <w:r w:rsidRPr="009B6AD0">
        <w:rPr>
          <w:rFonts w:ascii="Tahoma" w:hAnsi="Tahoma" w:cs="Tahoma"/>
        </w:rPr>
        <w:t xml:space="preserve">,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43957F4"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0"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21" w:name="_Hlk39177443"/>
      <w:r w:rsidR="005D1E81">
        <w:rPr>
          <w:rFonts w:ascii="Tahoma" w:hAnsi="Tahoma" w:cs="Tahoma"/>
        </w:rPr>
        <w:t>deste</w:t>
      </w:r>
      <w:r w:rsidR="005D1E81" w:rsidRPr="009B6AD0">
        <w:rPr>
          <w:rFonts w:ascii="Tahoma" w:hAnsi="Tahoma" w:cs="Tahoma"/>
        </w:rPr>
        <w:t xml:space="preserve"> </w:t>
      </w:r>
      <w:r w:rsidR="005D1E81">
        <w:rPr>
          <w:rFonts w:ascii="Tahoma" w:hAnsi="Tahoma" w:cs="Tahoma"/>
        </w:rPr>
        <w:t>Contrato</w:t>
      </w:r>
      <w:bookmarkEnd w:id="21"/>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w:t>
      </w:r>
      <w:r w:rsidR="008D71A8" w:rsidRPr="009B6AD0">
        <w:rPr>
          <w:rFonts w:ascii="Tahoma" w:hAnsi="Tahoma" w:cs="Tahoma"/>
        </w:rPr>
        <w:lastRenderedPageBreak/>
        <w:t xml:space="preserve">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20"/>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22"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23" w:name="_Ref431819728"/>
      <w:bookmarkEnd w:id="22"/>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3"/>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92350CD"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DC5CF3" w:rsidRPr="009237D3">
        <w:rPr>
          <w:rFonts w:ascii="Tahoma" w:hAnsi="Tahoma" w:cs="Tahoma"/>
          <w:highlight w:val="yellow"/>
        </w:rPr>
        <w:t>[•]</w:t>
      </w:r>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24" w:name="_Hlk39126019"/>
      <w:r w:rsidR="00DC5CF3" w:rsidRPr="009237D3">
        <w:rPr>
          <w:rFonts w:ascii="Tahoma" w:hAnsi="Tahoma" w:cs="Tahoma"/>
          <w:highlight w:val="yellow"/>
        </w:rPr>
        <w:t>[•]</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24"/>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FACABFC"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25"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25"/>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6"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w:t>
      </w:r>
      <w:r w:rsidRPr="009B6AD0">
        <w:rPr>
          <w:rFonts w:ascii="Tahoma" w:hAnsi="Tahoma" w:cs="Tahoma"/>
        </w:rPr>
        <w:lastRenderedPageBreak/>
        <w:t xml:space="preserve">dos demais Documentos da Operação, e a contar da respectiva data do descumprimento, a Fiduciária poderá, observado o prazo de cura de 05 (cinco) Dias Úteis, </w:t>
      </w:r>
      <w:commentRangeStart w:id="27"/>
      <w:r w:rsidRPr="009B6AD0">
        <w:rPr>
          <w:rFonts w:ascii="Tahoma" w:hAnsi="Tahoma" w:cs="Tahoma"/>
        </w:rPr>
        <w:t>nos</w:t>
      </w:r>
      <w:commentRangeEnd w:id="27"/>
      <w:r w:rsidR="009C1529">
        <w:rPr>
          <w:rStyle w:val="Refdecomentrio"/>
        </w:rPr>
        <w:commentReference w:id="27"/>
      </w:r>
      <w:r w:rsidRPr="009B6AD0">
        <w:rPr>
          <w:rFonts w:ascii="Tahoma" w:hAnsi="Tahoma" w:cs="Tahoma"/>
        </w:rPr>
        <w:t xml:space="preserve">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 xml:space="preserve">Configurada a mora, a Fiduciante será intimada </w:t>
      </w:r>
      <w:commentRangeStart w:id="28"/>
      <w:r w:rsidRPr="009B6AD0">
        <w:rPr>
          <w:rFonts w:ascii="Tahoma" w:hAnsi="Tahoma" w:cs="Tahoma"/>
        </w:rPr>
        <w:t>a</w:t>
      </w:r>
      <w:commentRangeEnd w:id="28"/>
      <w:r w:rsidR="009C1529">
        <w:rPr>
          <w:rStyle w:val="Refdecomentrio"/>
        </w:rPr>
        <w:commentReference w:id="28"/>
      </w:r>
      <w:r w:rsidRPr="009B6AD0">
        <w:rPr>
          <w:rFonts w:ascii="Tahoma" w:hAnsi="Tahoma" w:cs="Tahoma"/>
        </w:rPr>
        <w:t xml:space="preserve">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6"/>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xml:space="preserve">, ou, ainda, pelo correio, com aviso de recebimento, a ser firmado pessoalmente pela Fiduciante, ou por </w:t>
      </w:r>
      <w:r w:rsidR="00BA5173" w:rsidRPr="009B6AD0">
        <w:rPr>
          <w:rFonts w:ascii="Tahoma" w:hAnsi="Tahoma" w:cs="Tahoma"/>
        </w:rPr>
        <w:lastRenderedPageBreak/>
        <w:t>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2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w:t>
      </w:r>
      <w:r w:rsidRPr="009B6AD0">
        <w:rPr>
          <w:rFonts w:ascii="Tahoma" w:hAnsi="Tahoma" w:cs="Tahoma"/>
        </w:rPr>
        <w:lastRenderedPageBreak/>
        <w:t xml:space="preserve">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3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1"/>
      <w:r w:rsidRPr="009B6AD0">
        <w:rPr>
          <w:rFonts w:ascii="Tahoma" w:hAnsi="Tahoma" w:cs="Tahoma"/>
        </w:rPr>
        <w:t>;</w:t>
      </w:r>
      <w:bookmarkEnd w:id="30"/>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3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2"/>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3"/>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lastRenderedPageBreak/>
        <w:t>Valor da dívida</w:t>
      </w:r>
      <w:r w:rsidR="009D32F6" w:rsidRPr="009B6AD0">
        <w:rPr>
          <w:rFonts w:ascii="Tahoma" w:hAnsi="Tahoma" w:cs="Tahoma"/>
        </w:rPr>
        <w:t xml:space="preserve">: </w:t>
      </w:r>
      <w:bookmarkStart w:id="34" w:name="_Hlk39126083"/>
      <w:bookmarkStart w:id="3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34"/>
      <w:r w:rsidR="009D32F6" w:rsidRPr="009B6AD0">
        <w:rPr>
          <w:rFonts w:ascii="Tahoma" w:hAnsi="Tahoma" w:cs="Tahoma"/>
        </w:rPr>
        <w:t xml:space="preserve">, acrescido das penalidades </w:t>
      </w:r>
      <w:bookmarkEnd w:id="35"/>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36"/>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7" w:name="_Ref463283495"/>
      <w:r w:rsidRPr="009B6AD0">
        <w:rPr>
          <w:rFonts w:ascii="Tahoma" w:hAnsi="Tahoma" w:cs="Tahoma"/>
        </w:rPr>
        <w:t xml:space="preserve">Será aceito o maior lance oferecido, desde que igual ou superior ao valor das Obrigações </w:t>
      </w:r>
      <w:bookmarkStart w:id="38"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w:t>
      </w:r>
      <w:r w:rsidRPr="009B6AD0">
        <w:rPr>
          <w:rFonts w:ascii="Tahoma" w:hAnsi="Tahoma" w:cs="Tahoma"/>
        </w:rPr>
        <w:lastRenderedPageBreak/>
        <w:t>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3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7"/>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9" w:name="_Ref463283657"/>
      <w:bookmarkStart w:id="4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39"/>
      <w:r w:rsidR="006E10D5" w:rsidRPr="009B6AD0">
        <w:rPr>
          <w:rFonts w:ascii="Tahoma" w:hAnsi="Tahoma" w:cs="Tahoma"/>
        </w:rPr>
        <w:t xml:space="preserve"> </w:t>
      </w:r>
      <w:bookmarkEnd w:id="40"/>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4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1"/>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0037677E" w:rsidRPr="009B6AD0">
        <w:rPr>
          <w:rFonts w:ascii="Tahoma" w:hAnsi="Tahoma" w:cs="Tahoma"/>
        </w:rPr>
        <w:lastRenderedPageBreak/>
        <w:t xml:space="preserve">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42"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43"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44"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44"/>
      <w:r w:rsidR="0037677E" w:rsidRPr="009B6AD0">
        <w:rPr>
          <w:rFonts w:ascii="Tahoma" w:hAnsi="Tahoma" w:cs="Tahoma"/>
        </w:rPr>
        <w:t>.</w:t>
      </w:r>
      <w:bookmarkEnd w:id="43"/>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5"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42"/>
    <w:bookmarkEnd w:id="45"/>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4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w:t>
      </w:r>
      <w:r w:rsidRPr="009B6AD0">
        <w:rPr>
          <w:rFonts w:ascii="Tahoma" w:hAnsi="Tahoma" w:cs="Tahoma"/>
        </w:rPr>
        <w:lastRenderedPageBreak/>
        <w:t xml:space="preserve">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8"/>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w:t>
      </w:r>
      <w:r w:rsidR="0037677E" w:rsidRPr="009B6AD0">
        <w:rPr>
          <w:rFonts w:ascii="Tahoma" w:hAnsi="Tahoma" w:cs="Tahoma"/>
        </w:rPr>
        <w:lastRenderedPageBreak/>
        <w:t>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 xml:space="preserve">não violam qualquer lei de zoneamento, ambiental ou de proteção de patrimônio histórico, artístico, paisagístico e cultural, ou estão em descumprimento de quaisquer </w:t>
      </w:r>
      <w:r w:rsidR="0037677E" w:rsidRPr="009B6AD0">
        <w:rPr>
          <w:rFonts w:ascii="Tahoma" w:hAnsi="Tahoma" w:cs="Tahoma"/>
        </w:rPr>
        <w:lastRenderedPageBreak/>
        <w:t>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w:t>
      </w:r>
      <w:r w:rsidRPr="009B6AD0">
        <w:rPr>
          <w:rFonts w:ascii="Tahoma" w:hAnsi="Tahoma" w:cs="Tahoma"/>
        </w:rPr>
        <w:lastRenderedPageBreak/>
        <w:t>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9"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w:t>
      </w:r>
      <w:commentRangeStart w:id="50"/>
      <w:r w:rsidRPr="009B6AD0">
        <w:rPr>
          <w:rFonts w:ascii="Tahoma" w:hAnsi="Tahoma" w:cs="Tahoma"/>
        </w:rPr>
        <w:t>qualquer</w:t>
      </w:r>
      <w:commentRangeEnd w:id="50"/>
      <w:r w:rsidR="00B32CD8">
        <w:rPr>
          <w:rStyle w:val="Refdecomentrio"/>
        </w:rPr>
        <w:commentReference w:id="50"/>
      </w:r>
      <w:r w:rsidRPr="009B6AD0">
        <w:rPr>
          <w:rFonts w:ascii="Tahoma" w:hAnsi="Tahoma" w:cs="Tahoma"/>
        </w:rPr>
        <w:t xml:space="preserve">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9"/>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w:t>
      </w:r>
      <w:r w:rsidRPr="009B6AD0">
        <w:rPr>
          <w:rFonts w:ascii="Tahoma" w:hAnsi="Tahoma" w:cs="Tahoma"/>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51" w:name="_Ref361939554"/>
      <w:bookmarkStart w:id="52"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52"/>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53"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xml:space="preserve">, ainda que em caráter resolúvel, será a única e exclusiva beneficiária da justa e prévia indenização paga pelo poder expropriante, até o </w:t>
      </w:r>
      <w:r w:rsidRPr="009B6AD0">
        <w:rPr>
          <w:rFonts w:ascii="Tahoma" w:hAnsi="Tahoma" w:cs="Tahoma"/>
        </w:rPr>
        <w:lastRenderedPageBreak/>
        <w:t>montante correspondente ao saldo devedor das Obrigações Garantidas.</w:t>
      </w:r>
      <w:bookmarkEnd w:id="53"/>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54" w:name="_DV_M134"/>
      <w:bookmarkEnd w:id="5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5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56" w:name="_DV_M191"/>
      <w:bookmarkEnd w:id="5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3F2B66F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Pr>
          <w:rFonts w:ascii="Tahoma" w:hAnsi="Tahoma" w:cs="Tahoma"/>
          <w:highlight w:val="yellow"/>
        </w:rPr>
        <w:t>[•]</w:t>
      </w:r>
      <w:r>
        <w:rPr>
          <w:rFonts w:ascii="Tahoma" w:hAnsi="Tahoma" w:cs="Tahoma"/>
        </w:rPr>
        <w:t xml:space="preserve"> de </w:t>
      </w:r>
      <w:r>
        <w:rPr>
          <w:rFonts w:ascii="Tahoma" w:hAnsi="Tahoma" w:cs="Tahoma"/>
          <w:highlight w:val="yellow"/>
        </w:rPr>
        <w:t>[•]</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47"/>
    <w:p w14:paraId="36993DDC" w14:textId="67495974"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412CB4D6" w:rsidR="001025F3" w:rsidRPr="009B6AD0"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URBAN RESIDENCE INCORPORADORA SPE</w:t>
            </w:r>
            <w:r w:rsidR="001025F3"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63F2B2D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5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6"/>
          <w:footerReference w:type="first" r:id="rId17"/>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63"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r w:rsidRPr="009F0374">
              <w:rPr>
                <w:rFonts w:ascii="Tahoma" w:hAnsi="Tahoma" w:cs="Tahoma"/>
                <w:bCs/>
                <w:iCs/>
                <w:highlight w:val="yellow"/>
              </w:rPr>
              <w:t>[•]</w:t>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bookmarkEnd w:id="63"/>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ESCRITORIO CONCRESUL" w:date="2020-10-19T14:19:00Z" w:initials="EC">
    <w:p w14:paraId="461A180B" w14:textId="54FBEC7B" w:rsidR="005A1658" w:rsidRDefault="005A1658">
      <w:pPr>
        <w:pStyle w:val="Textodecomentrio"/>
      </w:pPr>
      <w:r>
        <w:rPr>
          <w:rStyle w:val="Refdecomentrio"/>
        </w:rPr>
        <w:annotationRef/>
      </w:r>
      <w:r>
        <w:t>Não há previsão dos veículos recebidos em pagamento. Existe algum tipo de formalidade para tais casos?</w:t>
      </w:r>
    </w:p>
    <w:p w14:paraId="4E1987EE" w14:textId="6531E48E" w:rsidR="005A1658" w:rsidRDefault="005A1658">
      <w:pPr>
        <w:pStyle w:val="Textodecomentrio"/>
      </w:pPr>
    </w:p>
  </w:comment>
  <w:comment w:id="5" w:author="ESCRITORIO CONCRESUL" w:date="2020-10-19T14:29:00Z" w:initials="EC">
    <w:p w14:paraId="672C582C" w14:textId="47909104" w:rsidR="00F67702" w:rsidRDefault="00F67702">
      <w:pPr>
        <w:pStyle w:val="Textodecomentrio"/>
      </w:pPr>
      <w:r>
        <w:rPr>
          <w:rStyle w:val="Refdecomentrio"/>
        </w:rPr>
        <w:annotationRef/>
      </w:r>
      <w:r>
        <w:t xml:space="preserve">Além da exceção às unidades permutadas com os anteriores proprietários de imóveis, deve-se excluir a permuta realizada com a </w:t>
      </w:r>
      <w:proofErr w:type="spellStart"/>
      <w:r>
        <w:t>Supermix</w:t>
      </w:r>
      <w:proofErr w:type="spellEnd"/>
      <w:r>
        <w:t>, produto e serviço de concretagem.</w:t>
      </w:r>
    </w:p>
  </w:comment>
  <w:comment w:id="15" w:author="ESCRITORIO CONCRESUL" w:date="2020-10-19T14:11:00Z" w:initials="EC">
    <w:p w14:paraId="7FE4D7AF" w14:textId="40751827" w:rsidR="005A1658" w:rsidRDefault="005A1658">
      <w:pPr>
        <w:pStyle w:val="Textodecomentrio"/>
      </w:pPr>
      <w:r>
        <w:rPr>
          <w:rStyle w:val="Refdecomentrio"/>
        </w:rPr>
        <w:annotationRef/>
      </w:r>
      <w:r w:rsidR="00F67702">
        <w:t>Acredito que deveria nesse caso estar registrado a exceção da cláusula 2.4</w:t>
      </w:r>
      <w:r>
        <w:t>.</w:t>
      </w:r>
    </w:p>
  </w:comment>
  <w:comment w:id="16" w:author="ESCRITORIO CONCRESUL" w:date="2020-10-19T14:14:00Z" w:initials="EC">
    <w:p w14:paraId="5B7B21AA" w14:textId="6C68F51B" w:rsidR="005A1658" w:rsidRDefault="005A1658">
      <w:pPr>
        <w:pStyle w:val="Textodecomentrio"/>
      </w:pPr>
      <w:r>
        <w:rPr>
          <w:rStyle w:val="Refdecomentrio"/>
        </w:rPr>
        <w:annotationRef/>
      </w:r>
      <w:r>
        <w:t xml:space="preserve">O prazo de cinco dias é muito exíguo, </w:t>
      </w:r>
      <w:proofErr w:type="gramStart"/>
      <w:r>
        <w:t>portanto</w:t>
      </w:r>
      <w:proofErr w:type="gramEnd"/>
      <w:r>
        <w:t xml:space="preserve"> requer sua dilação.</w:t>
      </w:r>
    </w:p>
  </w:comment>
  <w:comment w:id="17" w:author="ESCRITORIO CONCRESUL" w:date="2020-10-19T14:15:00Z" w:initials="EC">
    <w:p w14:paraId="69C1F580" w14:textId="0D3076B0" w:rsidR="005A1658" w:rsidRDefault="005A1658">
      <w:pPr>
        <w:pStyle w:val="Textodecomentrio"/>
      </w:pPr>
      <w:r>
        <w:rPr>
          <w:rStyle w:val="Refdecomentrio"/>
        </w:rPr>
        <w:annotationRef/>
      </w:r>
      <w:r>
        <w:t>Requer que o prazo seja contado em dias uteis.</w:t>
      </w:r>
    </w:p>
    <w:p w14:paraId="119003A6" w14:textId="2746FF6E" w:rsidR="005A1658" w:rsidRDefault="005A1658">
      <w:pPr>
        <w:pStyle w:val="Textodecomentrio"/>
      </w:pPr>
    </w:p>
  </w:comment>
  <w:comment w:id="18" w:author="ESCRITORIO CONCRESUL" w:date="2020-10-19T14:16:00Z" w:initials="EC">
    <w:p w14:paraId="1745E4D4" w14:textId="5955DD59" w:rsidR="005A1658" w:rsidRDefault="005A1658">
      <w:pPr>
        <w:pStyle w:val="Textodecomentrio"/>
      </w:pPr>
      <w:r>
        <w:rPr>
          <w:rStyle w:val="Refdecomentrio"/>
        </w:rPr>
        <w:annotationRef/>
      </w:r>
      <w:r>
        <w:t>Requer ampliação de prazo para 15 dias úteis.</w:t>
      </w:r>
    </w:p>
  </w:comment>
  <w:comment w:id="19" w:author="ESCRITORIO CONCRESUL" w:date="2020-10-19T14:34:00Z" w:initials="EC">
    <w:p w14:paraId="6C4FA17D" w14:textId="6DB23C74" w:rsidR="009C1529" w:rsidRDefault="009C1529">
      <w:pPr>
        <w:pStyle w:val="Textodecomentrio"/>
      </w:pPr>
      <w:r>
        <w:rPr>
          <w:rStyle w:val="Refdecomentrio"/>
        </w:rPr>
        <w:annotationRef/>
      </w:r>
      <w:r>
        <w:t>Comentário realizado na clausula 2.2</w:t>
      </w:r>
    </w:p>
  </w:comment>
  <w:comment w:id="27" w:author="ESCRITORIO CONCRESUL" w:date="2020-10-19T14:40:00Z" w:initials="EC">
    <w:p w14:paraId="6704FC53" w14:textId="50FA45D5" w:rsidR="009C1529" w:rsidRDefault="009C1529">
      <w:pPr>
        <w:pStyle w:val="Textodecomentrio"/>
      </w:pPr>
      <w:r>
        <w:rPr>
          <w:rStyle w:val="Refdecomentrio"/>
        </w:rPr>
        <w:annotationRef/>
      </w:r>
      <w:r>
        <w:t>Aumentar o prazo de cura para 15 dias úteis.</w:t>
      </w:r>
    </w:p>
  </w:comment>
  <w:comment w:id="28" w:author="ESCRITORIO CONCRESUL" w:date="2020-10-19T14:41:00Z" w:initials="EC">
    <w:p w14:paraId="2C55D52C" w14:textId="7C14C3B3" w:rsidR="009C1529" w:rsidRDefault="009C1529">
      <w:pPr>
        <w:pStyle w:val="Textodecomentrio"/>
      </w:pPr>
      <w:r>
        <w:rPr>
          <w:rStyle w:val="Refdecomentrio"/>
        </w:rPr>
        <w:annotationRef/>
      </w:r>
      <w:r>
        <w:t>Transformar o prazo para úteis</w:t>
      </w:r>
    </w:p>
  </w:comment>
  <w:comment w:id="50" w:author="ESCRITORIO CONCRESUL" w:date="2020-10-19T15:10:00Z" w:initials="EC">
    <w:p w14:paraId="6B56E2B2" w14:textId="77777777" w:rsidR="00B32CD8" w:rsidRDefault="00B32CD8">
      <w:pPr>
        <w:pStyle w:val="Textodecomentrio"/>
      </w:pPr>
      <w:r>
        <w:rPr>
          <w:rStyle w:val="Refdecomentrio"/>
        </w:rPr>
        <w:annotationRef/>
      </w:r>
      <w:r>
        <w:t xml:space="preserve">O sócio Lucas Corrente Luz adquiriu a propriedade da </w:t>
      </w:r>
      <w:proofErr w:type="spellStart"/>
      <w:r>
        <w:t>unidada</w:t>
      </w:r>
      <w:proofErr w:type="spellEnd"/>
      <w:r>
        <w:t xml:space="preserve"> </w:t>
      </w:r>
      <w:proofErr w:type="spellStart"/>
      <w:r>
        <w:t>imobiliaria</w:t>
      </w:r>
      <w:proofErr w:type="spellEnd"/>
      <w:r>
        <w:t xml:space="preserve"> deste empreendimento, o que já foi informado para a Casa de Pedra. </w:t>
      </w:r>
      <w:proofErr w:type="gramStart"/>
      <w:r>
        <w:t>Algum orientação</w:t>
      </w:r>
      <w:proofErr w:type="gramEnd"/>
      <w:r>
        <w:t xml:space="preserve"> sobre esse caso?</w:t>
      </w:r>
    </w:p>
    <w:p w14:paraId="698FC625" w14:textId="5CC77817" w:rsidR="00B32CD8" w:rsidRDefault="00B32CD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1987EE" w15:done="0"/>
  <w15:commentEx w15:paraId="672C582C" w15:done="0"/>
  <w15:commentEx w15:paraId="7FE4D7AF" w15:done="0"/>
  <w15:commentEx w15:paraId="5B7B21AA" w15:done="0"/>
  <w15:commentEx w15:paraId="119003A6" w15:done="0"/>
  <w15:commentEx w15:paraId="1745E4D4" w15:done="0"/>
  <w15:commentEx w15:paraId="6C4FA17D" w15:done="0"/>
  <w15:commentEx w15:paraId="6704FC53" w15:done="0"/>
  <w15:commentEx w15:paraId="2C55D52C" w15:done="0"/>
  <w15:commentEx w15:paraId="698FC6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1EF1" w16cex:dateUtc="2020-10-19T18:19:00Z"/>
  <w16cex:commentExtensible w16cex:durableId="23382131" w16cex:dateUtc="2020-10-19T18:29:00Z"/>
  <w16cex:commentExtensible w16cex:durableId="23381D1E" w16cex:dateUtc="2020-10-19T18:11:00Z"/>
  <w16cex:commentExtensible w16cex:durableId="23381DCE" w16cex:dateUtc="2020-10-19T18:14:00Z"/>
  <w16cex:commentExtensible w16cex:durableId="23381DFA" w16cex:dateUtc="2020-10-19T18:15:00Z"/>
  <w16cex:commentExtensible w16cex:durableId="23381E43" w16cex:dateUtc="2020-10-19T18:16:00Z"/>
  <w16cex:commentExtensible w16cex:durableId="2338225A" w16cex:dateUtc="2020-10-19T18:34:00Z"/>
  <w16cex:commentExtensible w16cex:durableId="233823E0" w16cex:dateUtc="2020-10-19T18:40:00Z"/>
  <w16cex:commentExtensible w16cex:durableId="2338242B" w16cex:dateUtc="2020-10-19T18:41:00Z"/>
  <w16cex:commentExtensible w16cex:durableId="23382AF1" w16cex:dateUtc="2020-10-19T1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1987EE" w16cid:durableId="23381EF1"/>
  <w16cid:commentId w16cid:paraId="672C582C" w16cid:durableId="23382131"/>
  <w16cid:commentId w16cid:paraId="7FE4D7AF" w16cid:durableId="23381D1E"/>
  <w16cid:commentId w16cid:paraId="5B7B21AA" w16cid:durableId="23381DCE"/>
  <w16cid:commentId w16cid:paraId="119003A6" w16cid:durableId="23381DFA"/>
  <w16cid:commentId w16cid:paraId="1745E4D4" w16cid:durableId="23381E43"/>
  <w16cid:commentId w16cid:paraId="6C4FA17D" w16cid:durableId="2338225A"/>
  <w16cid:commentId w16cid:paraId="6704FC53" w16cid:durableId="233823E0"/>
  <w16cid:commentId w16cid:paraId="2C55D52C" w16cid:durableId="2338242B"/>
  <w16cid:commentId w16cid:paraId="698FC625" w16cid:durableId="23382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5361" w14:textId="77777777" w:rsidR="0078472E" w:rsidRDefault="0078472E" w:rsidP="0037677E">
      <w:r>
        <w:separator/>
      </w:r>
    </w:p>
  </w:endnote>
  <w:endnote w:type="continuationSeparator" w:id="0">
    <w:p w14:paraId="653B22B2" w14:textId="77777777" w:rsidR="0078472E" w:rsidRDefault="0078472E"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F35DBF" w:rsidRDefault="00F35DBF"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9FDA" w14:textId="77777777" w:rsidR="0078472E" w:rsidRDefault="0078472E" w:rsidP="0037677E">
      <w:r>
        <w:separator/>
      </w:r>
    </w:p>
  </w:footnote>
  <w:footnote w:type="continuationSeparator" w:id="0">
    <w:p w14:paraId="3D8B82D6" w14:textId="77777777" w:rsidR="0078472E" w:rsidRDefault="0078472E"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SCRITORIO CONCRESUL">
    <w15:presenceInfo w15:providerId="AD" w15:userId="S::escritorio@CONCRESULENGE.onmicrosoft.com::b4dcbaa6-f8d2-441c-ac9a-16fd9d6dfc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91B63"/>
    <w:rsid w:val="0019333E"/>
    <w:rsid w:val="00196726"/>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1658"/>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5901"/>
    <w:rsid w:val="009B6AD0"/>
    <w:rsid w:val="009B7F24"/>
    <w:rsid w:val="009C0785"/>
    <w:rsid w:val="009C1529"/>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61B99"/>
    <w:rsid w:val="00B63A93"/>
    <w:rsid w:val="00B66D40"/>
    <w:rsid w:val="00B708FD"/>
    <w:rsid w:val="00B720C8"/>
    <w:rsid w:val="00B76DDC"/>
    <w:rsid w:val="00B77552"/>
    <w:rsid w:val="00B8410D"/>
    <w:rsid w:val="00B84E39"/>
    <w:rsid w:val="00BA5173"/>
    <w:rsid w:val="00BA7AA6"/>
    <w:rsid w:val="00BB41B1"/>
    <w:rsid w:val="00BB53E6"/>
    <w:rsid w:val="00BC39BA"/>
    <w:rsid w:val="00BC6125"/>
    <w:rsid w:val="00BC78D7"/>
    <w:rsid w:val="00BC7C32"/>
    <w:rsid w:val="00BE7ABA"/>
    <w:rsid w:val="00BF15FD"/>
    <w:rsid w:val="00C12879"/>
    <w:rsid w:val="00C14312"/>
    <w:rsid w:val="00C20813"/>
    <w:rsid w:val="00C33476"/>
    <w:rsid w:val="00C416FC"/>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284A"/>
    <w:rsid w:val="00F44A05"/>
    <w:rsid w:val="00F476EA"/>
    <w:rsid w:val="00F55AAF"/>
    <w:rsid w:val="00F64DCE"/>
    <w:rsid w:val="00F67702"/>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31adb176-178c-41bb-8643-04db008b5e14"/>
    <ds:schemaRef ds:uri="6d1f4d57-ec2f-4615-a139-a4f77c0b172f"/>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10379</Words>
  <Characters>56047</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ESCRITORIO CONCRESUL</cp:lastModifiedBy>
  <cp:revision>4</cp:revision>
  <cp:lastPrinted>2019-05-14T19:32:00Z</cp:lastPrinted>
  <dcterms:created xsi:type="dcterms:W3CDTF">2020-10-01T12:16:00Z</dcterms:created>
  <dcterms:modified xsi:type="dcterms:W3CDTF">2020-10-19T19:13:00Z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