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E081091" w:rsidR="009F6421" w:rsidRPr="00DD1917" w:rsidRDefault="00443436" w:rsidP="001D034D">
            <w:pPr>
              <w:widowControl w:val="0"/>
              <w:spacing w:line="320" w:lineRule="exact"/>
              <w:contextualSpacing/>
              <w:jc w:val="center"/>
              <w:rPr>
                <w:rFonts w:ascii="Tahoma" w:hAnsi="Tahoma" w:cs="Tahoma"/>
                <w:b/>
                <w:sz w:val="21"/>
                <w:szCs w:val="21"/>
              </w:rPr>
            </w:pPr>
            <w:r w:rsidRPr="00381BE2">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outubro</w:t>
            </w:r>
            <w:r w:rsidR="00726051">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4437B98"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1"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1"/>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DF3813">
        <w:rPr>
          <w:rFonts w:ascii="Tahoma" w:hAnsi="Tahoma" w:cs="Tahoma"/>
          <w:sz w:val="21"/>
          <w:szCs w:val="21"/>
        </w:rPr>
        <w:t>Av</w:t>
      </w:r>
      <w:r w:rsidR="00A811B3">
        <w:rPr>
          <w:rFonts w:ascii="Tahoma" w:hAnsi="Tahoma" w:cs="Tahoma"/>
          <w:sz w:val="21"/>
          <w:szCs w:val="21"/>
        </w:rPr>
        <w:t>.</w:t>
      </w:r>
      <w:r w:rsidR="000C6489" w:rsidRPr="00DD1917">
        <w:rPr>
          <w:rFonts w:ascii="Tahoma" w:hAnsi="Tahoma" w:cs="Tahoma"/>
          <w:sz w:val="21"/>
          <w:szCs w:val="21"/>
        </w:rPr>
        <w:t xml:space="preserve"> </w:t>
      </w:r>
      <w:r w:rsidR="00F73C1B" w:rsidRPr="00DD1917">
        <w:rPr>
          <w:rFonts w:ascii="Tahoma" w:hAnsi="Tahoma" w:cs="Tahoma"/>
          <w:sz w:val="21"/>
          <w:szCs w:val="21"/>
          <w:highlight w:val="yellow"/>
        </w:rPr>
        <w:t>[•]</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794D2E" w:rsidRPr="00DD1917">
        <w:rPr>
          <w:rFonts w:ascii="Tahoma" w:hAnsi="Tahoma" w:cs="Tahoma"/>
          <w:sz w:val="21"/>
          <w:szCs w:val="21"/>
          <w:highlight w:val="yellow"/>
        </w:rPr>
        <w:t>[•]</w:t>
      </w:r>
      <w:r w:rsidR="00794D2E" w:rsidRPr="00381BE2">
        <w:rPr>
          <w:rFonts w:ascii="Tahoma" w:hAnsi="Tahoma"/>
          <w:sz w:val="21"/>
        </w:rPr>
        <w:t xml:space="preserve"> </w:t>
      </w:r>
      <w:r w:rsidR="00B56DB8" w:rsidRPr="00381BE2">
        <w:rPr>
          <w:rFonts w:ascii="Tahoma" w:hAnsi="Tahoma"/>
          <w:sz w:val="21"/>
        </w:rPr>
        <w:t xml:space="preserve">de </w:t>
      </w:r>
      <w:r w:rsidR="00794D2E" w:rsidRPr="00DD1917">
        <w:rPr>
          <w:rFonts w:ascii="Tahoma" w:hAnsi="Tahoma" w:cs="Tahoma"/>
          <w:sz w:val="21"/>
          <w:szCs w:val="21"/>
          <w:highlight w:val="yellow"/>
        </w:rPr>
        <w:t>[•]</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DF3813" w:rsidRPr="00DD1917">
        <w:rPr>
          <w:rFonts w:ascii="Tahoma" w:hAnsi="Tahoma" w:cs="Tahoma"/>
          <w:sz w:val="21"/>
          <w:szCs w:val="21"/>
          <w:highlight w:val="yellow"/>
        </w:rPr>
        <w:t>[•]</w:t>
      </w:r>
      <w:r w:rsidR="00DF3813" w:rsidRPr="00381BE2">
        <w:rPr>
          <w:rFonts w:ascii="Tahoma" w:hAnsi="Tahoma"/>
          <w:sz w:val="21"/>
        </w:rPr>
        <w:t xml:space="preserve"> </w:t>
      </w:r>
      <w:r w:rsidR="004B3402" w:rsidRPr="00381BE2">
        <w:rPr>
          <w:rFonts w:ascii="Tahoma" w:hAnsi="Tahoma"/>
          <w:sz w:val="21"/>
        </w:rPr>
        <w:t xml:space="preserve">da Matrícula, datada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1620724A"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2" w:name="_Hlk31009218"/>
      <w:bookmarkStart w:id="3"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2"/>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r w:rsidR="00485A2C">
        <w:rPr>
          <w:rFonts w:ascii="Tahoma" w:hAnsi="Tahoma" w:cs="Tahoma"/>
          <w:sz w:val="21"/>
          <w:szCs w:val="21"/>
        </w:rPr>
        <w:t xml:space="preserve">Urban Residence </w:t>
      </w:r>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3"/>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ins w:id="4" w:author="Bruno Dissenha Pigatto" w:date="2020-09-28T13:58:00Z">
        <w:r w:rsidR="00426D3D" w:rsidRPr="00DD1917">
          <w:rPr>
            <w:rFonts w:ascii="Tahoma" w:hAnsi="Tahoma" w:cs="Tahoma"/>
            <w:sz w:val="21"/>
            <w:szCs w:val="21"/>
          </w:rPr>
          <w:t xml:space="preserve"> Atualização Monetária</w:t>
        </w:r>
        <w:r w:rsidR="00426D3D">
          <w:rPr>
            <w:rFonts w:ascii="Tahoma" w:hAnsi="Tahoma" w:cs="Tahoma"/>
            <w:sz w:val="21"/>
            <w:szCs w:val="21"/>
          </w:rPr>
          <w:t>,</w:t>
        </w:r>
      </w:ins>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D7B5CB1"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lastRenderedPageBreak/>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5" w:name="Bookmark_de_fiel_depositario"/>
            <w:bookmarkEnd w:id="5"/>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DE7F797"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DECBA10"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 xml:space="preserve">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3E44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381BE2">
              <w:rPr>
                <w:rFonts w:ascii="Tahoma" w:eastAsia="Arial Unicode MS" w:hAnsi="Tahoma"/>
                <w:sz w:val="21"/>
                <w:highlight w:val="yellow"/>
              </w:rPr>
              <w:t>[•]</w:t>
            </w:r>
            <w:r w:rsidR="00BE5B71"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77402F94"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Estevan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r w:rsidR="00C15287">
              <w:rPr>
                <w:rFonts w:ascii="Tahoma" w:eastAsia="MS Mincho" w:hAnsi="Tahoma" w:cs="Tahoma"/>
                <w:sz w:val="21"/>
                <w:szCs w:val="21"/>
                <w:lang w:eastAsia="ja-JP"/>
              </w:rPr>
              <w:t>bruneiano,</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Avenida Giuseppe Cilento,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lastRenderedPageBreak/>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14655074"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39199C">
              <w:rPr>
                <w:rFonts w:ascii="Tahoma" w:hAnsi="Tahoma" w:cs="Tahoma"/>
                <w:color w:val="000000"/>
                <w:sz w:val="21"/>
                <w:szCs w:val="21"/>
                <w:u w:val="single"/>
              </w:rPr>
              <w:t>Urban Residence</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xml:space="preserve">, por meio da apresentação de contratos, notas fiscais, faturas e/ou documentos </w:t>
            </w:r>
            <w:r w:rsidRPr="00DD1917">
              <w:rPr>
                <w:rFonts w:ascii="Tahoma" w:hAnsi="Tahoma" w:cs="Tahoma"/>
                <w:sz w:val="21"/>
                <w:szCs w:val="21"/>
              </w:rPr>
              <w:lastRenderedPageBreak/>
              <w:t>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6" w:name="Tabela_CCB"/>
      <w:bookmarkEnd w:id="6"/>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7"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7"/>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w:t>
      </w:r>
      <w:r w:rsidRPr="00DD1917">
        <w:rPr>
          <w:rFonts w:ascii="Tahoma" w:hAnsi="Tahoma" w:cs="Tahoma"/>
          <w:sz w:val="21"/>
          <w:szCs w:val="21"/>
        </w:rPr>
        <w:lastRenderedPageBreak/>
        <w:t xml:space="preserve">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8"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8"/>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9"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9"/>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0"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10"/>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1"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1"/>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ins w:id="12" w:author="Bruno Dissenha Pigatto" w:date="2020-09-28T13:43:00Z">
        <w:r w:rsidR="006E582C">
          <w:rPr>
            <w:rFonts w:ascii="Tahoma" w:hAnsi="Tahoma" w:cs="Tahoma"/>
            <w:sz w:val="21"/>
            <w:szCs w:val="21"/>
          </w:rPr>
          <w:t>,</w:t>
        </w:r>
      </w:ins>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13"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3"/>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w:t>
      </w:r>
      <w:r w:rsidRPr="0004561C">
        <w:rPr>
          <w:rFonts w:ascii="Tahoma" w:hAnsi="Tahoma" w:cs="Tahoma"/>
          <w:sz w:val="21"/>
          <w:szCs w:val="21"/>
        </w:rPr>
        <w:lastRenderedPageBreak/>
        <w:t xml:space="preserve">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42D4A115"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0F6559">
        <w:rPr>
          <w:rFonts w:ascii="Tahoma" w:hAnsi="Tahoma" w:cs="Tahoma"/>
          <w:sz w:val="21"/>
          <w:szCs w:val="21"/>
        </w:rPr>
        <w:t>Urban Residence</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ins w:id="14" w:author="Bruno Dissenha Pigatto" w:date="2020-09-28T13:52:00Z">
        <w:r w:rsidR="00C85704">
          <w:rPr>
            <w:rFonts w:ascii="Tahoma" w:hAnsi="Tahoma" w:cs="Tahoma"/>
            <w:sz w:val="21"/>
            <w:szCs w:val="21"/>
          </w:rPr>
          <w:t>D</w:t>
        </w:r>
      </w:ins>
      <w:del w:id="15" w:author="Bruno Dissenha Pigatto" w:date="2020-09-28T13:52:00Z">
        <w:r w:rsidR="00A25567" w:rsidRPr="00DD1917" w:rsidDel="00C85704">
          <w:rPr>
            <w:rFonts w:ascii="Tahoma" w:hAnsi="Tahoma" w:cs="Tahoma"/>
            <w:sz w:val="21"/>
            <w:szCs w:val="21"/>
          </w:rPr>
          <w:delText>d</w:delText>
        </w:r>
      </w:del>
      <w:r w:rsidR="00A25567" w:rsidRPr="00DD1917">
        <w:rPr>
          <w:rFonts w:ascii="Tahoma" w:hAnsi="Tahoma" w:cs="Tahoma"/>
          <w:sz w:val="21"/>
          <w:szCs w:val="21"/>
        </w:rPr>
        <w:t xml:space="preserve">ias </w:t>
      </w:r>
      <w:ins w:id="16" w:author="Bruno Dissenha Pigatto" w:date="2020-09-28T13:52:00Z">
        <w:r w:rsidR="00C85704">
          <w:rPr>
            <w:rFonts w:ascii="Tahoma" w:hAnsi="Tahoma" w:cs="Tahoma"/>
            <w:sz w:val="21"/>
            <w:szCs w:val="21"/>
          </w:rPr>
          <w:t>Ú</w:t>
        </w:r>
      </w:ins>
      <w:del w:id="17" w:author="Bruno Dissenha Pigatto" w:date="2020-09-28T13:52:00Z">
        <w:r w:rsidR="006108E0" w:rsidRPr="00DD1917" w:rsidDel="00C85704">
          <w:rPr>
            <w:rFonts w:ascii="Tahoma" w:hAnsi="Tahoma" w:cs="Tahoma"/>
            <w:sz w:val="21"/>
            <w:szCs w:val="21"/>
          </w:rPr>
          <w:delText>ú</w:delText>
        </w:r>
      </w:del>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8" w:name="_Ref24464556"/>
      <w:bookmarkStart w:id="19"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18"/>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9"/>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656DB444"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até </w:t>
      </w:r>
      <w:r w:rsidRPr="00432A52">
        <w:rPr>
          <w:rFonts w:ascii="Tahoma" w:hAnsi="Tahoma" w:cs="Tahoma"/>
          <w:sz w:val="21"/>
          <w:szCs w:val="21"/>
          <w:highlight w:val="yellow"/>
        </w:rPr>
        <w:t>[=]</w:t>
      </w:r>
      <w:r w:rsidRPr="00432A52">
        <w:rPr>
          <w:rFonts w:ascii="Tahoma" w:hAnsi="Tahoma" w:cs="Tahoma"/>
          <w:sz w:val="21"/>
          <w:szCs w:val="21"/>
        </w:rPr>
        <w:t xml:space="preserve"> de </w:t>
      </w:r>
      <w:r w:rsidRPr="003A0752">
        <w:rPr>
          <w:rFonts w:ascii="Tahoma" w:hAnsi="Tahoma" w:cs="Tahoma"/>
          <w:sz w:val="21"/>
          <w:szCs w:val="21"/>
          <w:highlight w:val="yellow"/>
        </w:rPr>
        <w:t>[=]</w:t>
      </w:r>
      <w:r w:rsidRPr="00432A52">
        <w:rPr>
          <w:rFonts w:ascii="Tahoma" w:hAnsi="Tahoma" w:cs="Tahoma"/>
          <w:sz w:val="21"/>
          <w:szCs w:val="21"/>
        </w:rPr>
        <w:t xml:space="preserve"> de 20</w:t>
      </w:r>
      <w:r w:rsidRPr="003A0752">
        <w:rPr>
          <w:rFonts w:ascii="Tahoma" w:hAnsi="Tahoma" w:cs="Tahoma"/>
          <w:sz w:val="21"/>
          <w:szCs w:val="21"/>
          <w:highlight w:val="yellow"/>
        </w:rPr>
        <w:t>[=]</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ins w:id="20" w:author="Bruno Dissenha Pigatto" w:date="2020-09-28T13:53:00Z">
        <w:r w:rsidR="00C85704">
          <w:rPr>
            <w:rFonts w:ascii="Tahoma" w:hAnsi="Tahoma" w:cs="Tahoma"/>
            <w:sz w:val="21"/>
            <w:szCs w:val="21"/>
          </w:rPr>
          <w:t xml:space="preserve"> (conforme definido no Anexo VI a este instrumento)</w:t>
        </w:r>
      </w:ins>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lastRenderedPageBreak/>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3558DC5E"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ins w:id="21" w:author="Bruno Dissenha Pigatto" w:date="2020-09-28T13:54:00Z">
        <w:r w:rsidR="00426D3D">
          <w:rPr>
            <w:rFonts w:ascii="Tahoma" w:hAnsi="Tahoma" w:cs="Tahoma"/>
            <w:sz w:val="21"/>
            <w:szCs w:val="21"/>
          </w:rPr>
          <w:t>D</w:t>
        </w:r>
      </w:ins>
      <w:del w:id="22"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23" w:author="Bruno Dissenha Pigatto" w:date="2020-09-28T13:54:00Z">
        <w:r w:rsidR="00426D3D">
          <w:rPr>
            <w:rFonts w:ascii="Tahoma" w:hAnsi="Tahoma" w:cs="Tahoma"/>
            <w:sz w:val="21"/>
            <w:szCs w:val="21"/>
          </w:rPr>
          <w:t>Ú</w:t>
        </w:r>
      </w:ins>
      <w:del w:id="24"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ins w:id="25" w:author="Bruno Dissenha Pigatto" w:date="2020-09-28T13:54:00Z">
        <w:r w:rsidR="00426D3D">
          <w:rPr>
            <w:rFonts w:ascii="Tahoma" w:hAnsi="Tahoma" w:cs="Tahoma"/>
            <w:sz w:val="21"/>
            <w:szCs w:val="21"/>
          </w:rPr>
          <w:t>D</w:t>
        </w:r>
      </w:ins>
      <w:del w:id="26" w:author="Bruno Dissenha Pigatto" w:date="2020-09-28T13:54:00Z">
        <w:r w:rsidR="009251B1" w:rsidDel="00426D3D">
          <w:rPr>
            <w:rFonts w:ascii="Tahoma" w:hAnsi="Tahoma" w:cs="Tahoma"/>
            <w:sz w:val="21"/>
            <w:szCs w:val="21"/>
          </w:rPr>
          <w:delText>d</w:delText>
        </w:r>
      </w:del>
      <w:r w:rsidR="009251B1">
        <w:rPr>
          <w:rFonts w:ascii="Tahoma" w:hAnsi="Tahoma" w:cs="Tahoma"/>
          <w:sz w:val="21"/>
          <w:szCs w:val="21"/>
        </w:rPr>
        <w:t xml:space="preserve">ias </w:t>
      </w:r>
      <w:ins w:id="27" w:author="Bruno Dissenha Pigatto" w:date="2020-09-28T13:54:00Z">
        <w:r w:rsidR="00426D3D">
          <w:rPr>
            <w:rFonts w:ascii="Tahoma" w:hAnsi="Tahoma" w:cs="Tahoma"/>
            <w:sz w:val="21"/>
            <w:szCs w:val="21"/>
          </w:rPr>
          <w:t>Ú</w:t>
        </w:r>
      </w:ins>
      <w:del w:id="28" w:author="Bruno Dissenha Pigatto" w:date="2020-09-28T13:54:00Z">
        <w:r w:rsidR="009251B1" w:rsidDel="00426D3D">
          <w:rPr>
            <w:rFonts w:ascii="Tahoma" w:hAnsi="Tahoma" w:cs="Tahoma"/>
            <w:sz w:val="21"/>
            <w:szCs w:val="21"/>
          </w:rPr>
          <w:delText>ú</w:delText>
        </w:r>
      </w:del>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29" w:name="_Ref522546097"/>
      <w:bookmarkStart w:id="30"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31"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31"/>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29"/>
      <w:bookmarkEnd w:id="30"/>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lastRenderedPageBreak/>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127B846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w:t>
      </w:r>
      <w:r w:rsidR="000317EF">
        <w:rPr>
          <w:rFonts w:ascii="Tahoma" w:hAnsi="Tahoma" w:cs="Tahoma"/>
          <w:sz w:val="21"/>
          <w:szCs w:val="21"/>
        </w:rPr>
        <w:t>s</w:t>
      </w:r>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32" w:name="_Hlk40198922"/>
    </w:p>
    <w:p w14:paraId="46148575" w14:textId="6D83C684"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722661DD"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Fundos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238A944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BC0633">
        <w:rPr>
          <w:rFonts w:ascii="Tahoma" w:hAnsi="Tahoma" w:cs="Tahoma"/>
          <w:sz w:val="21"/>
          <w:szCs w:val="21"/>
          <w:lang w:eastAsia="pt-BR"/>
        </w:rPr>
        <w:t xml:space="preserve">no </w:t>
      </w:r>
      <w:r w:rsidR="001900A1">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31B7A69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w:t>
      </w:r>
      <w:r w:rsidR="008069D3">
        <w:rPr>
          <w:rFonts w:ascii="Tahoma" w:hAnsi="Tahoma" w:cs="Tahoma"/>
          <w:sz w:val="21"/>
          <w:szCs w:val="21"/>
        </w:rPr>
        <w:t>no Empreendimento Urban Residence</w:t>
      </w:r>
      <w:r w:rsidR="008069D3" w:rsidRPr="00DD1917">
        <w:rPr>
          <w:rFonts w:ascii="Tahoma" w:hAnsi="Tahoma" w:cs="Tahoma"/>
          <w:sz w:val="21"/>
          <w:szCs w:val="21"/>
        </w:rPr>
        <w:t>,</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Pr="00DD1917">
        <w:rPr>
          <w:rFonts w:ascii="Tahoma" w:hAnsi="Tahoma" w:cs="Tahoma"/>
          <w:sz w:val="21"/>
          <w:szCs w:val="21"/>
          <w:lang w:eastAsia="pt-BR"/>
        </w:rPr>
        <w:lastRenderedPageBreak/>
        <w:t>o qual contemplará, dentre outras informações, o total das Unidades em Estoque</w:t>
      </w:r>
      <w:r w:rsidR="00B821A7">
        <w:rPr>
          <w:rFonts w:ascii="Tahoma" w:hAnsi="Tahoma" w:cs="Tahoma"/>
          <w:sz w:val="21"/>
          <w:szCs w:val="21"/>
          <w:lang w:eastAsia="pt-BR"/>
        </w:rPr>
        <w:t xml:space="preserve"> d</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8069D3"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n</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B821A7">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33"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33"/>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32"/>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FC87892"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 xml:space="preserve">O vencimento antecipado de qualquer obrigação pecuniária assumida pela Emitente ou pelos </w:t>
      </w:r>
      <w:r w:rsidRPr="00F56F58">
        <w:rPr>
          <w:rFonts w:ascii="Tahoma" w:hAnsi="Tahoma" w:cs="Tahoma"/>
          <w:sz w:val="21"/>
          <w:szCs w:val="21"/>
        </w:rPr>
        <w:lastRenderedPageBreak/>
        <w:t>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lastRenderedPageBreak/>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39F036F"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del w:id="34" w:author="Bruno Dissenha Pigatto" w:date="2020-09-28T14:05:00Z">
        <w:r w:rsidR="00EA3136" w:rsidRPr="00DD1917" w:rsidDel="002D1C27">
          <w:rPr>
            <w:rFonts w:ascii="Tahoma" w:hAnsi="Tahoma" w:cs="Tahoma"/>
            <w:sz w:val="21"/>
            <w:szCs w:val="21"/>
          </w:rPr>
          <w:delText xml:space="preserve"> </w:delText>
        </w:r>
      </w:del>
      <w:ins w:id="35" w:author="Bruno Dissenha Pigatto" w:date="2020-09-28T14:05:00Z">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ins>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 xml:space="preserve">e, uma vez celebrado o Contrato de Cessão, à </w:t>
      </w:r>
      <w:r w:rsidR="00CD488E" w:rsidRPr="00DD1917">
        <w:rPr>
          <w:rFonts w:ascii="Tahoma" w:hAnsi="Tahoma" w:cs="Tahoma"/>
          <w:sz w:val="21"/>
          <w:szCs w:val="21"/>
        </w:rPr>
        <w:lastRenderedPageBreak/>
        <w:t>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36"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3D6F8980"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w:t>
      </w:r>
      <w:r w:rsidRPr="00EA4B41">
        <w:rPr>
          <w:rFonts w:ascii="Tahoma" w:hAnsi="Tahoma" w:cs="Tahoma"/>
          <w:sz w:val="21"/>
          <w:szCs w:val="21"/>
        </w:rPr>
        <w:lastRenderedPageBreak/>
        <w:t xml:space="preserve">II; </w:t>
      </w:r>
    </w:p>
    <w:p w14:paraId="2D34F599" w14:textId="77777777" w:rsidR="003005D0" w:rsidRPr="00381BE2" w:rsidRDefault="003005D0" w:rsidP="00381BE2">
      <w:pPr>
        <w:pStyle w:val="PargrafodaLista"/>
        <w:rPr>
          <w:rFonts w:ascii="Tahoma" w:hAnsi="Tahoma"/>
          <w:sz w:val="21"/>
        </w:rPr>
      </w:pPr>
    </w:p>
    <w:p w14:paraId="0314A8B1" w14:textId="5ABBBB3F" w:rsidR="003005D0" w:rsidRPr="00381BE2" w:rsidRDefault="003005D0" w:rsidP="000317EF">
      <w:pPr>
        <w:pStyle w:val="PargrafodaLista"/>
        <w:widowControl w:val="0"/>
        <w:numPr>
          <w:ilvl w:val="0"/>
          <w:numId w:val="94"/>
        </w:numPr>
        <w:suppressAutoHyphens/>
        <w:spacing w:line="320" w:lineRule="exact"/>
        <w:ind w:left="567" w:hanging="567"/>
        <w:jc w:val="both"/>
        <w:rPr>
          <w:rFonts w:ascii="Tahoma" w:hAnsi="Tahoma"/>
          <w:sz w:val="21"/>
        </w:rPr>
      </w:pPr>
      <w:r w:rsidRPr="00BC0B38">
        <w:rPr>
          <w:rFonts w:ascii="Tahoma" w:hAnsi="Tahoma" w:cs="Tahoma"/>
          <w:sz w:val="21"/>
          <w:szCs w:val="21"/>
        </w:rPr>
        <w:t>Amortização obrigatória do Valor Principal (“</w:t>
      </w:r>
      <w:r w:rsidRPr="00BC0B38">
        <w:rPr>
          <w:rFonts w:ascii="Tahoma" w:hAnsi="Tahoma" w:cs="Tahoma"/>
          <w:sz w:val="21"/>
          <w:szCs w:val="21"/>
          <w:u w:val="single"/>
        </w:rPr>
        <w:t>Amortização Antecipada Compulsória</w:t>
      </w:r>
      <w:r w:rsidRPr="00BC0B38">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AFAD7E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r w:rsidR="00257154">
        <w:rPr>
          <w:rFonts w:ascii="Tahoma" w:hAnsi="Tahoma" w:cs="Tahoma"/>
          <w:spacing w:val="-3"/>
          <w:sz w:val="21"/>
          <w:szCs w:val="21"/>
        </w:rPr>
        <w:t>i</w:t>
      </w:r>
      <w:r w:rsidRPr="00EA4B41">
        <w:rPr>
          <w:rFonts w:ascii="Tahoma" w:hAnsi="Tahoma" w:cs="Tahoma"/>
          <w:spacing w:val="-3"/>
          <w:sz w:val="21"/>
          <w:szCs w:val="21"/>
        </w:rPr>
        <w:t xml:space="preserve">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36"/>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477DDC9"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37" w:name="_Ref522213160"/>
      <w:r w:rsidRPr="00DD1917">
        <w:rPr>
          <w:rFonts w:ascii="Tahoma" w:hAnsi="Tahoma" w:cs="Tahoma"/>
          <w:spacing w:val="-3"/>
          <w:sz w:val="21"/>
          <w:szCs w:val="21"/>
        </w:rPr>
        <w:lastRenderedPageBreak/>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37"/>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38"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38"/>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w:t>
      </w:r>
      <w:r w:rsidRPr="00DD1917">
        <w:rPr>
          <w:rFonts w:ascii="Tahoma" w:hAnsi="Tahoma" w:cs="Tahoma"/>
          <w:sz w:val="21"/>
          <w:szCs w:val="21"/>
        </w:rPr>
        <w:lastRenderedPageBreak/>
        <w:t>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39"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4852D94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25ADC81C" w14:textId="74EB8EBD"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77777777" w:rsidR="00771D71" w:rsidRPr="00F23BD8" w:rsidRDefault="00771D71">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40" w:name="_Hlk40200683"/>
      <w:r>
        <w:rPr>
          <w:rFonts w:ascii="Tahoma" w:eastAsia="MS Mincho" w:hAnsi="Tahoma" w:cs="Tahoma"/>
          <w:b/>
          <w:bCs/>
          <w:sz w:val="21"/>
          <w:szCs w:val="21"/>
          <w:lang w:eastAsia="ja-JP"/>
        </w:rPr>
        <w:t>LUCAS CORRENTE LUZ E ESPOSA</w:t>
      </w:r>
    </w:p>
    <w:p w14:paraId="12ACA1DD" w14:textId="06EC6E9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5D260D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At.: </w:t>
      </w:r>
      <w:r w:rsidRPr="00DD1917">
        <w:rPr>
          <w:rFonts w:ascii="Tahoma" w:eastAsia="MS Mincho" w:hAnsi="Tahoma" w:cs="Tahoma"/>
          <w:sz w:val="21"/>
          <w:szCs w:val="21"/>
          <w:highlight w:val="yellow"/>
          <w:lang w:eastAsia="ja-JP"/>
        </w:rPr>
        <w:t>[=]</w:t>
      </w:r>
    </w:p>
    <w:p w14:paraId="05308A03" w14:textId="5032EB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Tel.: </w:t>
      </w:r>
      <w:r w:rsidRPr="00DD1917">
        <w:rPr>
          <w:rFonts w:ascii="Tahoma" w:eastAsia="MS Mincho" w:hAnsi="Tahoma" w:cs="Tahoma"/>
          <w:sz w:val="21"/>
          <w:szCs w:val="21"/>
          <w:highlight w:val="yellow"/>
          <w:lang w:eastAsia="ja-JP"/>
        </w:rPr>
        <w:t>[=]</w:t>
      </w:r>
    </w:p>
    <w:p w14:paraId="322B53F5" w14:textId="4C71C8A4" w:rsidR="00A717AF" w:rsidRPr="00381BE2" w:rsidRDefault="00A717AF">
      <w:pPr>
        <w:widowControl w:val="0"/>
        <w:spacing w:line="320" w:lineRule="exact"/>
        <w:ind w:left="567"/>
        <w:contextualSpacing/>
        <w:jc w:val="both"/>
        <w:rPr>
          <w:rFonts w:ascii="Tahoma" w:hAnsi="Tahoma"/>
          <w:sz w:val="21"/>
        </w:rPr>
      </w:pPr>
      <w:r w:rsidRPr="00381BE2">
        <w:rPr>
          <w:rFonts w:ascii="Tahoma" w:hAnsi="Tahoma"/>
          <w:color w:val="000000"/>
          <w:sz w:val="21"/>
        </w:rPr>
        <w:t xml:space="preserve">E-mail: </w:t>
      </w:r>
      <w:r w:rsidRPr="00DD1917">
        <w:rPr>
          <w:rFonts w:ascii="Tahoma" w:eastAsia="MS Mincho" w:hAnsi="Tahoma" w:cs="Tahoma"/>
          <w:sz w:val="21"/>
          <w:szCs w:val="21"/>
          <w:highlight w:val="yellow"/>
          <w:lang w:eastAsia="ja-JP"/>
        </w:rPr>
        <w:t>[=]</w:t>
      </w:r>
    </w:p>
    <w:bookmarkEnd w:id="40"/>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7ED343BC" w14:textId="3DB44EC2"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09DA8A3F" w14:textId="39DA5CD5"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FF64B9C" w14:textId="62F8656A"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46BF6667" w14:textId="6E5782E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bookmarkEnd w:id="39"/>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7FBFBFDB"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0F2410">
        <w:rPr>
          <w:rFonts w:ascii="Tahoma" w:hAnsi="Tahoma" w:cs="Tahoma"/>
          <w:sz w:val="21"/>
          <w:szCs w:val="21"/>
        </w:rPr>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Urban 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w:t>
      </w:r>
      <w:r w:rsidRPr="00DD1917">
        <w:rPr>
          <w:rFonts w:ascii="Tahoma" w:hAnsi="Tahoma" w:cs="Tahoma"/>
          <w:sz w:val="21"/>
          <w:szCs w:val="21"/>
        </w:rPr>
        <w:lastRenderedPageBreak/>
        <w:t xml:space="preserve">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D96A006"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860BF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860BF3" w:rsidRPr="00DD1917">
        <w:rPr>
          <w:rFonts w:ascii="Tahoma" w:hAnsi="Tahoma" w:cs="Tahoma"/>
          <w:sz w:val="21"/>
          <w:szCs w:val="21"/>
          <w:highlight w:val="yellow"/>
        </w:rPr>
        <w:t>[•]</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1D502BAA"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78A9C38B"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600DC3E9"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14:paraId="6D5A730E" w14:textId="77777777" w:rsidTr="00432A5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 xml:space="preserve">Data </w:t>
            </w:r>
            <w:r w:rsidRPr="00DD1917">
              <w:rPr>
                <w:rFonts w:ascii="Tahoma" w:hAnsi="Tahoma" w:cs="Tahoma"/>
                <w:color w:val="000000"/>
                <w:sz w:val="21"/>
                <w:szCs w:val="21"/>
              </w:rPr>
              <w:t>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77777777" w:rsidR="00381BE2" w:rsidRPr="00381BE2" w:rsidRDefault="00381BE2" w:rsidP="00381BE2">
            <w:pPr>
              <w:spacing w:line="320" w:lineRule="exact"/>
              <w:jc w:val="center"/>
              <w:rPr>
                <w:rFonts w:ascii="Tahoma" w:hAnsi="Tahoma"/>
                <w:color w:val="000000"/>
                <w:sz w:val="21"/>
              </w:rPr>
            </w:pPr>
            <w:r w:rsidRPr="00DD1917">
              <w:rPr>
                <w:rFonts w:ascii="Tahoma" w:hAnsi="Tahoma" w:cs="Tahoma"/>
                <w:color w:val="000000"/>
                <w:sz w:val="21"/>
                <w:szCs w:val="21"/>
              </w:rPr>
              <w:t>Pagamento de</w:t>
            </w:r>
            <w:r w:rsidRPr="00381BE2">
              <w:rPr>
                <w:rFonts w:ascii="Tahoma" w:hAnsi="Tahoma"/>
                <w:color w:val="000000"/>
                <w:sz w:val="21"/>
              </w:rPr>
              <w:t xml:space="preserv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Tai</w:t>
            </w:r>
          </w:p>
        </w:tc>
      </w:tr>
      <w:tr w:rsidR="00381BE2" w:rsidRPr="00DD1917" w14:paraId="2512E55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77777777" w:rsidR="00381BE2" w:rsidRPr="00381BE2" w:rsidRDefault="00381BE2" w:rsidP="00381BE2">
            <w:pPr>
              <w:spacing w:line="320" w:lineRule="exact"/>
              <w:jc w:val="center"/>
              <w:rPr>
                <w:rFonts w:ascii="Tahoma" w:hAnsi="Tahoma"/>
                <w:color w:val="000000"/>
                <w:sz w:val="21"/>
              </w:rPr>
            </w:pPr>
          </w:p>
        </w:tc>
      </w:tr>
      <w:tr w:rsidR="00381BE2" w:rsidRPr="00DD1917" w14:paraId="3216E92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77777777" w:rsidR="00381BE2" w:rsidRPr="00381BE2" w:rsidRDefault="00381BE2" w:rsidP="00381BE2">
            <w:pPr>
              <w:spacing w:line="320" w:lineRule="exact"/>
              <w:jc w:val="center"/>
              <w:rPr>
                <w:rFonts w:ascii="Tahoma" w:hAnsi="Tahoma"/>
                <w:color w:val="000000"/>
                <w:sz w:val="21"/>
              </w:rPr>
            </w:pPr>
          </w:p>
        </w:tc>
      </w:tr>
      <w:tr w:rsidR="00381BE2" w:rsidRPr="00DD1917" w14:paraId="6B3415B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77777777" w:rsidR="00381BE2" w:rsidRPr="00381BE2" w:rsidRDefault="00381BE2" w:rsidP="00381BE2">
            <w:pPr>
              <w:spacing w:line="320" w:lineRule="exact"/>
              <w:jc w:val="center"/>
              <w:rPr>
                <w:rFonts w:ascii="Tahoma" w:hAnsi="Tahoma"/>
                <w:color w:val="000000"/>
                <w:sz w:val="21"/>
              </w:rPr>
            </w:pPr>
          </w:p>
        </w:tc>
      </w:tr>
      <w:tr w:rsidR="00381BE2" w:rsidRPr="00DD1917" w14:paraId="77E3FBB0"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77777777" w:rsidR="00381BE2" w:rsidRPr="00381BE2" w:rsidRDefault="00381BE2" w:rsidP="00381BE2">
            <w:pPr>
              <w:spacing w:line="320" w:lineRule="exact"/>
              <w:jc w:val="center"/>
              <w:rPr>
                <w:rFonts w:ascii="Tahoma" w:hAnsi="Tahoma"/>
                <w:color w:val="000000"/>
                <w:sz w:val="21"/>
              </w:rPr>
            </w:pPr>
          </w:p>
        </w:tc>
      </w:tr>
      <w:tr w:rsidR="00381BE2" w:rsidRPr="00DD1917" w14:paraId="6774C6F1"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77777777" w:rsidR="00381BE2" w:rsidRPr="00381BE2" w:rsidRDefault="00381BE2" w:rsidP="00381BE2">
            <w:pPr>
              <w:spacing w:line="320" w:lineRule="exact"/>
              <w:jc w:val="center"/>
              <w:rPr>
                <w:rFonts w:ascii="Tahoma" w:hAnsi="Tahoma"/>
                <w:color w:val="000000"/>
                <w:sz w:val="21"/>
              </w:rPr>
            </w:pPr>
          </w:p>
        </w:tc>
      </w:tr>
      <w:tr w:rsidR="00381BE2" w:rsidRPr="00DD1917" w14:paraId="365AD02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77777777" w:rsidR="00381BE2" w:rsidRPr="00381BE2" w:rsidRDefault="00381BE2" w:rsidP="00381BE2">
            <w:pPr>
              <w:spacing w:line="320" w:lineRule="exact"/>
              <w:jc w:val="center"/>
              <w:rPr>
                <w:rFonts w:ascii="Tahoma" w:hAnsi="Tahoma"/>
                <w:color w:val="000000"/>
                <w:sz w:val="21"/>
              </w:rPr>
            </w:pPr>
          </w:p>
        </w:tc>
      </w:tr>
      <w:tr w:rsidR="00381BE2" w:rsidRPr="00DD1917" w14:paraId="4EB0B8D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77777777" w:rsidR="00381BE2" w:rsidRPr="00381BE2" w:rsidRDefault="00381BE2" w:rsidP="00381BE2">
            <w:pPr>
              <w:spacing w:line="320" w:lineRule="exact"/>
              <w:jc w:val="center"/>
              <w:rPr>
                <w:rFonts w:ascii="Tahoma" w:hAnsi="Tahoma"/>
                <w:color w:val="000000"/>
                <w:sz w:val="21"/>
              </w:rPr>
            </w:pPr>
          </w:p>
        </w:tc>
      </w:tr>
      <w:tr w:rsidR="00381BE2" w:rsidRPr="00DD1917" w14:paraId="54A6FDB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77777777" w:rsidR="00381BE2" w:rsidRPr="00381BE2" w:rsidRDefault="00381BE2" w:rsidP="00381BE2">
            <w:pPr>
              <w:spacing w:line="320" w:lineRule="exact"/>
              <w:jc w:val="center"/>
              <w:rPr>
                <w:rFonts w:ascii="Tahoma" w:hAnsi="Tahoma"/>
                <w:color w:val="000000"/>
                <w:sz w:val="21"/>
              </w:rPr>
            </w:pPr>
          </w:p>
        </w:tc>
      </w:tr>
      <w:tr w:rsidR="00381BE2" w:rsidRPr="00DD1917" w14:paraId="6572608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77777777" w:rsidR="00381BE2" w:rsidRPr="00381BE2" w:rsidRDefault="00381BE2" w:rsidP="00381BE2">
            <w:pPr>
              <w:spacing w:line="320" w:lineRule="exact"/>
              <w:jc w:val="center"/>
              <w:rPr>
                <w:rFonts w:ascii="Tahoma" w:hAnsi="Tahoma"/>
                <w:color w:val="000000"/>
                <w:sz w:val="21"/>
              </w:rPr>
            </w:pPr>
          </w:p>
        </w:tc>
      </w:tr>
      <w:tr w:rsidR="00381BE2" w:rsidRPr="00DD1917" w14:paraId="0AD48B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77777777" w:rsidR="00381BE2" w:rsidRPr="00381BE2" w:rsidRDefault="00381BE2" w:rsidP="00381BE2">
            <w:pPr>
              <w:spacing w:line="320" w:lineRule="exact"/>
              <w:jc w:val="center"/>
              <w:rPr>
                <w:rFonts w:ascii="Tahoma" w:hAnsi="Tahoma"/>
                <w:color w:val="000000"/>
                <w:sz w:val="21"/>
              </w:rPr>
            </w:pPr>
          </w:p>
        </w:tc>
      </w:tr>
      <w:tr w:rsidR="00381BE2" w:rsidRPr="00DD1917" w14:paraId="7F813C2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7777777" w:rsidR="00381BE2" w:rsidRPr="00381BE2" w:rsidRDefault="00381BE2" w:rsidP="00381BE2">
            <w:pPr>
              <w:spacing w:line="320" w:lineRule="exact"/>
              <w:jc w:val="center"/>
              <w:rPr>
                <w:rFonts w:ascii="Tahoma" w:hAnsi="Tahoma"/>
                <w:color w:val="000000"/>
                <w:sz w:val="21"/>
              </w:rPr>
            </w:pPr>
          </w:p>
        </w:tc>
      </w:tr>
      <w:tr w:rsidR="00381BE2" w:rsidRPr="00DD1917" w14:paraId="4AFB032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77777777" w:rsidR="00381BE2" w:rsidRPr="00381BE2" w:rsidRDefault="00381BE2" w:rsidP="00381BE2">
            <w:pPr>
              <w:spacing w:line="320" w:lineRule="exact"/>
              <w:jc w:val="center"/>
              <w:rPr>
                <w:rFonts w:ascii="Tahoma" w:hAnsi="Tahoma"/>
                <w:color w:val="000000"/>
                <w:sz w:val="21"/>
              </w:rPr>
            </w:pPr>
          </w:p>
        </w:tc>
      </w:tr>
      <w:tr w:rsidR="00381BE2" w:rsidRPr="00DD1917" w14:paraId="18D3360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7777777" w:rsidR="00381BE2" w:rsidRPr="00381BE2" w:rsidRDefault="00381BE2" w:rsidP="00381BE2">
            <w:pPr>
              <w:spacing w:line="320" w:lineRule="exact"/>
              <w:jc w:val="center"/>
              <w:rPr>
                <w:rFonts w:ascii="Tahoma" w:hAnsi="Tahoma"/>
                <w:color w:val="000000"/>
                <w:sz w:val="21"/>
              </w:rPr>
            </w:pPr>
          </w:p>
        </w:tc>
      </w:tr>
      <w:tr w:rsidR="00381BE2" w:rsidRPr="00DD1917" w14:paraId="6CD4BD4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77777777" w:rsidR="00381BE2" w:rsidRPr="00381BE2" w:rsidRDefault="00381BE2" w:rsidP="00381BE2">
            <w:pPr>
              <w:spacing w:line="320" w:lineRule="exact"/>
              <w:jc w:val="center"/>
              <w:rPr>
                <w:rFonts w:ascii="Tahoma" w:hAnsi="Tahoma"/>
                <w:color w:val="000000"/>
                <w:sz w:val="21"/>
              </w:rPr>
            </w:pPr>
          </w:p>
        </w:tc>
      </w:tr>
      <w:tr w:rsidR="00381BE2" w:rsidRPr="00DD1917" w14:paraId="5CEF04E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77777777" w:rsidR="00381BE2" w:rsidRPr="00381BE2" w:rsidRDefault="00381BE2" w:rsidP="00381BE2">
            <w:pPr>
              <w:spacing w:line="320" w:lineRule="exact"/>
              <w:jc w:val="center"/>
              <w:rPr>
                <w:rFonts w:ascii="Tahoma" w:hAnsi="Tahoma"/>
                <w:color w:val="000000"/>
                <w:sz w:val="21"/>
              </w:rPr>
            </w:pPr>
          </w:p>
        </w:tc>
      </w:tr>
      <w:tr w:rsidR="00381BE2" w:rsidRPr="00DD1917" w14:paraId="08496AD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77777777" w:rsidR="00381BE2" w:rsidRPr="00381BE2" w:rsidRDefault="00381BE2" w:rsidP="00381BE2">
            <w:pPr>
              <w:spacing w:line="320" w:lineRule="exact"/>
              <w:jc w:val="center"/>
              <w:rPr>
                <w:rFonts w:ascii="Tahoma" w:hAnsi="Tahoma"/>
                <w:color w:val="000000"/>
                <w:sz w:val="21"/>
              </w:rPr>
            </w:pPr>
          </w:p>
        </w:tc>
      </w:tr>
      <w:tr w:rsidR="00381BE2" w:rsidRPr="00DD1917" w14:paraId="11DC4E5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7777777" w:rsidR="00381BE2" w:rsidRPr="00381BE2" w:rsidRDefault="00381BE2" w:rsidP="00381BE2">
            <w:pPr>
              <w:spacing w:line="320" w:lineRule="exact"/>
              <w:jc w:val="center"/>
              <w:rPr>
                <w:rFonts w:ascii="Tahoma" w:hAnsi="Tahoma"/>
                <w:color w:val="000000"/>
                <w:sz w:val="21"/>
              </w:rPr>
            </w:pPr>
          </w:p>
        </w:tc>
      </w:tr>
      <w:tr w:rsidR="00381BE2" w:rsidRPr="00DD1917" w14:paraId="6B4A4E0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77777777" w:rsidR="00381BE2" w:rsidRPr="00381BE2" w:rsidRDefault="00381BE2" w:rsidP="00381BE2">
            <w:pPr>
              <w:spacing w:line="320" w:lineRule="exact"/>
              <w:jc w:val="center"/>
              <w:rPr>
                <w:rFonts w:ascii="Tahoma" w:hAnsi="Tahoma"/>
                <w:color w:val="000000"/>
                <w:sz w:val="21"/>
              </w:rPr>
            </w:pPr>
          </w:p>
        </w:tc>
      </w:tr>
      <w:tr w:rsidR="00381BE2" w:rsidRPr="00DD1917" w14:paraId="1958540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77777777" w:rsidR="00381BE2" w:rsidRPr="00381BE2" w:rsidRDefault="00381BE2" w:rsidP="00381BE2">
            <w:pPr>
              <w:spacing w:line="320" w:lineRule="exact"/>
              <w:jc w:val="center"/>
              <w:rPr>
                <w:rFonts w:ascii="Tahoma" w:hAnsi="Tahoma"/>
                <w:color w:val="000000"/>
                <w:sz w:val="21"/>
              </w:rPr>
            </w:pPr>
          </w:p>
        </w:tc>
      </w:tr>
      <w:tr w:rsidR="00381BE2" w:rsidRPr="00DD1917" w14:paraId="3B91901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77777777" w:rsidR="00381BE2" w:rsidRPr="00381BE2" w:rsidRDefault="00381BE2" w:rsidP="00381BE2">
            <w:pPr>
              <w:spacing w:line="320" w:lineRule="exact"/>
              <w:jc w:val="center"/>
              <w:rPr>
                <w:rFonts w:ascii="Tahoma" w:hAnsi="Tahoma"/>
                <w:color w:val="000000"/>
                <w:sz w:val="21"/>
              </w:rPr>
            </w:pPr>
          </w:p>
        </w:tc>
      </w:tr>
      <w:tr w:rsidR="00381BE2" w:rsidRPr="00DD1917" w14:paraId="0F3368C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77777777" w:rsidR="00381BE2" w:rsidRPr="00381BE2" w:rsidRDefault="00381BE2" w:rsidP="00381BE2">
            <w:pPr>
              <w:spacing w:line="320" w:lineRule="exact"/>
              <w:jc w:val="center"/>
              <w:rPr>
                <w:rFonts w:ascii="Tahoma" w:hAnsi="Tahoma"/>
                <w:color w:val="000000"/>
                <w:sz w:val="21"/>
              </w:rPr>
            </w:pPr>
          </w:p>
        </w:tc>
      </w:tr>
      <w:tr w:rsidR="00381BE2" w:rsidRPr="00DD1917" w14:paraId="6F8E627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77777777" w:rsidR="00381BE2" w:rsidRPr="00381BE2" w:rsidRDefault="00381BE2" w:rsidP="00381BE2">
            <w:pPr>
              <w:spacing w:line="320" w:lineRule="exact"/>
              <w:jc w:val="center"/>
              <w:rPr>
                <w:rFonts w:ascii="Tahoma" w:hAnsi="Tahoma"/>
                <w:color w:val="000000"/>
                <w:sz w:val="21"/>
              </w:rPr>
            </w:pPr>
          </w:p>
        </w:tc>
      </w:tr>
      <w:tr w:rsidR="00381BE2" w:rsidRPr="00DD1917" w14:paraId="07496FD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77777777" w:rsidR="00381BE2" w:rsidRPr="00381BE2" w:rsidRDefault="00381BE2" w:rsidP="00381BE2">
            <w:pPr>
              <w:spacing w:line="320" w:lineRule="exact"/>
              <w:jc w:val="center"/>
              <w:rPr>
                <w:rFonts w:ascii="Tahoma" w:hAnsi="Tahoma"/>
                <w:color w:val="000000"/>
                <w:sz w:val="21"/>
              </w:rPr>
            </w:pPr>
          </w:p>
        </w:tc>
      </w:tr>
      <w:tr w:rsidR="00381BE2" w:rsidRPr="00DD1917" w14:paraId="591071A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77777777" w:rsidR="00381BE2" w:rsidRPr="00381BE2" w:rsidRDefault="00381BE2" w:rsidP="00381BE2">
            <w:pPr>
              <w:spacing w:line="320" w:lineRule="exact"/>
              <w:jc w:val="center"/>
              <w:rPr>
                <w:rFonts w:ascii="Tahoma" w:hAnsi="Tahoma"/>
                <w:color w:val="000000"/>
                <w:sz w:val="21"/>
              </w:rPr>
            </w:pPr>
          </w:p>
        </w:tc>
      </w:tr>
      <w:tr w:rsidR="00381BE2" w:rsidRPr="00DD1917" w14:paraId="2443330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77777777" w:rsidR="00381BE2" w:rsidRPr="00381BE2" w:rsidRDefault="00381BE2" w:rsidP="00381BE2">
            <w:pPr>
              <w:spacing w:line="320" w:lineRule="exact"/>
              <w:jc w:val="center"/>
              <w:rPr>
                <w:rFonts w:ascii="Tahoma" w:hAnsi="Tahoma"/>
                <w:color w:val="000000"/>
                <w:sz w:val="21"/>
              </w:rPr>
            </w:pPr>
          </w:p>
        </w:tc>
      </w:tr>
      <w:tr w:rsidR="00381BE2" w:rsidRPr="00DD1917" w14:paraId="1D4E738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77777777" w:rsidR="00381BE2" w:rsidRPr="00381BE2" w:rsidRDefault="00381BE2" w:rsidP="00381BE2">
            <w:pPr>
              <w:spacing w:line="320" w:lineRule="exact"/>
              <w:jc w:val="center"/>
              <w:rPr>
                <w:rFonts w:ascii="Tahoma" w:hAnsi="Tahoma"/>
                <w:color w:val="000000"/>
                <w:sz w:val="21"/>
              </w:rPr>
            </w:pPr>
          </w:p>
        </w:tc>
      </w:tr>
      <w:tr w:rsidR="00381BE2" w:rsidRPr="00DD1917" w14:paraId="3C02785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77777777" w:rsidR="00381BE2" w:rsidRPr="00381BE2" w:rsidRDefault="00381BE2" w:rsidP="00381BE2">
            <w:pPr>
              <w:spacing w:line="320" w:lineRule="exact"/>
              <w:jc w:val="center"/>
              <w:rPr>
                <w:rFonts w:ascii="Tahoma" w:hAnsi="Tahoma"/>
                <w:color w:val="000000"/>
                <w:sz w:val="21"/>
              </w:rPr>
            </w:pPr>
          </w:p>
        </w:tc>
      </w:tr>
      <w:tr w:rsidR="00381BE2" w:rsidRPr="00DD1917" w14:paraId="59A5659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77777777" w:rsidR="00381BE2" w:rsidRPr="00381BE2" w:rsidRDefault="00381BE2" w:rsidP="00381BE2">
            <w:pPr>
              <w:spacing w:line="320" w:lineRule="exact"/>
              <w:jc w:val="center"/>
              <w:rPr>
                <w:rFonts w:ascii="Tahoma" w:hAnsi="Tahoma"/>
                <w:color w:val="000000"/>
                <w:sz w:val="21"/>
              </w:rPr>
            </w:pPr>
          </w:p>
        </w:tc>
      </w:tr>
      <w:tr w:rsidR="00381BE2" w:rsidRPr="00DD1917" w14:paraId="3C5A02E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77777777" w:rsidR="00381BE2" w:rsidRPr="00381BE2" w:rsidRDefault="00381BE2" w:rsidP="00381BE2">
            <w:pPr>
              <w:spacing w:line="320" w:lineRule="exact"/>
              <w:jc w:val="center"/>
              <w:rPr>
                <w:rFonts w:ascii="Tahoma" w:hAnsi="Tahoma"/>
                <w:color w:val="000000"/>
                <w:sz w:val="21"/>
              </w:rPr>
            </w:pPr>
          </w:p>
        </w:tc>
      </w:tr>
      <w:tr w:rsidR="00381BE2" w:rsidRPr="00DD1917" w14:paraId="3B2A126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77777777" w:rsidR="00381BE2" w:rsidRPr="00381BE2" w:rsidRDefault="00381BE2" w:rsidP="00381BE2">
            <w:pPr>
              <w:spacing w:line="320" w:lineRule="exact"/>
              <w:jc w:val="center"/>
              <w:rPr>
                <w:rFonts w:ascii="Tahoma" w:hAnsi="Tahoma"/>
                <w:color w:val="000000"/>
                <w:sz w:val="21"/>
              </w:rPr>
            </w:pPr>
          </w:p>
        </w:tc>
      </w:tr>
      <w:tr w:rsidR="00381BE2" w:rsidRPr="00DD1917" w14:paraId="60F48727"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777777" w:rsidR="00381BE2" w:rsidRPr="00381BE2" w:rsidRDefault="00381BE2" w:rsidP="00381BE2">
            <w:pPr>
              <w:spacing w:line="320" w:lineRule="exact"/>
              <w:jc w:val="center"/>
              <w:rPr>
                <w:rFonts w:ascii="Tahoma" w:hAnsi="Tahoma"/>
                <w:color w:val="000000"/>
                <w:sz w:val="21"/>
              </w:rPr>
            </w:pPr>
          </w:p>
        </w:tc>
      </w:tr>
      <w:tr w:rsidR="00381BE2" w:rsidRPr="00DD1917" w14:paraId="0E7230A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77777777" w:rsidR="00381BE2" w:rsidRPr="00381BE2" w:rsidRDefault="00381BE2" w:rsidP="00381BE2">
            <w:pPr>
              <w:spacing w:line="320" w:lineRule="exact"/>
              <w:jc w:val="center"/>
              <w:rPr>
                <w:rFonts w:ascii="Tahoma" w:hAnsi="Tahoma"/>
                <w:color w:val="000000"/>
                <w:sz w:val="21"/>
              </w:rPr>
            </w:pPr>
          </w:p>
        </w:tc>
      </w:tr>
      <w:tr w:rsidR="00381BE2" w:rsidRPr="00DD1917" w14:paraId="6B0B61C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77777777" w:rsidR="00381BE2" w:rsidRPr="00381BE2" w:rsidRDefault="00381BE2" w:rsidP="00381BE2">
            <w:pPr>
              <w:spacing w:line="320" w:lineRule="exact"/>
              <w:jc w:val="center"/>
              <w:rPr>
                <w:rFonts w:ascii="Tahoma" w:hAnsi="Tahoma"/>
                <w:color w:val="000000"/>
                <w:sz w:val="21"/>
              </w:rPr>
            </w:pPr>
          </w:p>
        </w:tc>
      </w:tr>
      <w:tr w:rsidR="00381BE2" w:rsidRPr="00DD1917" w14:paraId="41CC92A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7777777" w:rsidR="00381BE2" w:rsidRPr="00381BE2" w:rsidRDefault="00381BE2" w:rsidP="00381BE2">
            <w:pPr>
              <w:spacing w:line="320" w:lineRule="exact"/>
              <w:jc w:val="center"/>
              <w:rPr>
                <w:rFonts w:ascii="Tahoma" w:hAnsi="Tahoma"/>
                <w:color w:val="000000"/>
                <w:sz w:val="21"/>
              </w:rPr>
            </w:pPr>
          </w:p>
        </w:tc>
      </w:tr>
      <w:tr w:rsidR="00381BE2" w:rsidRPr="00DD1917" w14:paraId="25D32F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77777777" w:rsidR="00381BE2" w:rsidRPr="00381BE2" w:rsidRDefault="00381BE2" w:rsidP="00381BE2">
            <w:pPr>
              <w:spacing w:line="320" w:lineRule="exact"/>
              <w:jc w:val="center"/>
              <w:rPr>
                <w:rFonts w:ascii="Tahoma" w:hAnsi="Tahoma"/>
                <w:color w:val="000000"/>
                <w:sz w:val="21"/>
              </w:rPr>
            </w:pPr>
          </w:p>
        </w:tc>
      </w:tr>
      <w:tr w:rsidR="00381BE2" w:rsidRPr="00DD1917" w14:paraId="16446DD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77777777" w:rsidR="00381BE2" w:rsidRPr="00381BE2" w:rsidRDefault="00381BE2" w:rsidP="00381BE2">
            <w:pPr>
              <w:spacing w:line="320" w:lineRule="exact"/>
              <w:jc w:val="center"/>
              <w:rPr>
                <w:rFonts w:ascii="Tahoma" w:hAnsi="Tahoma"/>
                <w:color w:val="000000"/>
                <w:sz w:val="21"/>
              </w:rPr>
            </w:pPr>
          </w:p>
        </w:tc>
      </w:tr>
      <w:tr w:rsidR="00381BE2" w:rsidRPr="00DD1917" w14:paraId="37D6C61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77777777" w:rsidR="00381BE2" w:rsidRPr="00381BE2" w:rsidRDefault="00381BE2" w:rsidP="00381BE2">
            <w:pPr>
              <w:spacing w:line="320" w:lineRule="exact"/>
              <w:jc w:val="center"/>
              <w:rPr>
                <w:rFonts w:ascii="Tahoma" w:hAnsi="Tahoma"/>
                <w:color w:val="000000"/>
                <w:sz w:val="21"/>
              </w:rPr>
            </w:pPr>
          </w:p>
        </w:tc>
      </w:tr>
      <w:tr w:rsidR="00381BE2" w:rsidRPr="00DD1917" w14:paraId="2F63FB3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7777777" w:rsidR="00381BE2" w:rsidRPr="00381BE2" w:rsidRDefault="00381BE2" w:rsidP="00381BE2">
            <w:pPr>
              <w:spacing w:line="320" w:lineRule="exact"/>
              <w:jc w:val="center"/>
              <w:rPr>
                <w:rFonts w:ascii="Tahoma" w:hAnsi="Tahoma"/>
                <w:color w:val="000000"/>
                <w:sz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381BE2" w:rsidRDefault="00476488" w:rsidP="00381BE2">
      <w:pPr>
        <w:spacing w:line="320" w:lineRule="exact"/>
        <w:contextualSpacing/>
        <w:jc w:val="center"/>
        <w:rPr>
          <w:rFonts w:ascii="Tahoma" w:hAnsi="Tahoma"/>
          <w:b/>
          <w:sz w:val="21"/>
        </w:rPr>
      </w:pPr>
      <w:r w:rsidRPr="00DD1917">
        <w:rPr>
          <w:rFonts w:ascii="Tahoma" w:hAnsi="Tahoma" w:cs="Tahoma"/>
          <w:b/>
          <w:bCs/>
          <w:sz w:val="21"/>
          <w:szCs w:val="21"/>
        </w:rPr>
        <w:br w:type="page"/>
      </w:r>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0A2A0295"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7353" w:rsidRPr="00DD1917">
        <w:rPr>
          <w:rFonts w:ascii="Tahoma" w:hAnsi="Tahoma" w:cs="Tahoma"/>
          <w:sz w:val="21"/>
          <w:szCs w:val="21"/>
        </w:rPr>
        <w:t xml:space="preserve"> de </w:t>
      </w:r>
      <w:r w:rsidR="00DD145B" w:rsidRPr="00DD1917">
        <w:rPr>
          <w:rFonts w:ascii="Tahoma" w:hAnsi="Tahoma" w:cs="Tahoma"/>
          <w:sz w:val="21"/>
          <w:szCs w:val="21"/>
          <w:highlight w:val="yellow"/>
        </w:rPr>
        <w:t>[•]</w:t>
      </w:r>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3799ED1F" w:rsidR="00B761F7" w:rsidRPr="00DD1917" w:rsidRDefault="00B761F7">
      <w:pPr>
        <w:spacing w:line="320" w:lineRule="exact"/>
        <w:ind w:left="2552" w:hanging="1843"/>
        <w:contextualSpacing/>
        <w:jc w:val="both"/>
        <w:rPr>
          <w:rFonts w:ascii="Tahoma" w:hAnsi="Tahoma" w:cs="Tahoma"/>
          <w:bCs/>
          <w:sz w:val="21"/>
          <w:szCs w:val="21"/>
        </w:rPr>
      </w:pPr>
      <w:bookmarkStart w:id="41"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26148666"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 xml:space="preserve">dcp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dcp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dcp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249C1F9D"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dct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 xml:space="preserve">de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o dct será igual a 30</w:t>
      </w:r>
      <w:r w:rsidR="00447164" w:rsidRPr="00DD1917">
        <w:rPr>
          <w:rFonts w:ascii="Tahoma" w:hAnsi="Tahoma" w:cs="Tahoma"/>
          <w:sz w:val="21"/>
          <w:szCs w:val="21"/>
        </w:rPr>
        <w:t>.</w:t>
      </w:r>
    </w:p>
    <w:bookmarkEnd w:id="41"/>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42" w:name="_Hlk40074068"/>
      <w:r w:rsidRPr="00DD1917">
        <w:rPr>
          <w:rFonts w:ascii="Tahoma" w:hAnsi="Tahoma" w:cs="Tahoma"/>
          <w:bCs/>
          <w:sz w:val="21"/>
          <w:szCs w:val="21"/>
        </w:rPr>
        <w:t xml:space="preserve">dcp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r w:rsidRPr="00DD1917">
        <w:rPr>
          <w:rFonts w:ascii="Tahoma" w:hAnsi="Tahoma" w:cs="Tahoma"/>
          <w:bCs/>
          <w:sz w:val="21"/>
          <w:szCs w:val="21"/>
        </w:rPr>
        <w:t>dct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42"/>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i-ésima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381BE2" w:rsidRDefault="00CD0FC4">
      <w:pPr>
        <w:pStyle w:val="Recuodecorpodetexto"/>
        <w:widowControl w:val="0"/>
        <w:spacing w:after="0" w:line="320" w:lineRule="exact"/>
        <w:ind w:left="0" w:right="-8"/>
        <w:contextualSpacing/>
        <w:jc w:val="center"/>
        <w:rPr>
          <w:rFonts w:ascii="Tahoma" w:hAnsi="Tahoma"/>
          <w:b/>
          <w:sz w:val="21"/>
        </w:rPr>
      </w:pPr>
    </w:p>
    <w:tbl>
      <w:tblPr>
        <w:tblW w:w="10055" w:type="dxa"/>
        <w:jc w:val="center"/>
        <w:tblCellMar>
          <w:left w:w="70" w:type="dxa"/>
          <w:right w:w="70" w:type="dxa"/>
        </w:tblCellMar>
        <w:tblLook w:val="04A0" w:firstRow="1" w:lastRow="0" w:firstColumn="1" w:lastColumn="0" w:noHBand="0" w:noVBand="1"/>
      </w:tblPr>
      <w:tblGrid>
        <w:gridCol w:w="3339"/>
        <w:gridCol w:w="1748"/>
        <w:gridCol w:w="979"/>
        <w:gridCol w:w="709"/>
        <w:gridCol w:w="1717"/>
        <w:gridCol w:w="725"/>
        <w:gridCol w:w="838"/>
      </w:tblGrid>
      <w:tr w:rsidR="00711DAA"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381BE2" w:rsidRDefault="002C3688"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381BE2" w:rsidRDefault="00B23543"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381BE2" w:rsidRDefault="00A318C4"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785DB18C"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Montante de recursos destinados ao Empreendimento</w:t>
            </w:r>
            <w:r w:rsidR="00862DF2" w:rsidRPr="00381BE2">
              <w:rPr>
                <w:rFonts w:ascii="Tahoma" w:hAnsi="Tahoma"/>
                <w:color w:val="FFFFFF"/>
                <w:sz w:val="21"/>
              </w:rPr>
              <w:t xml:space="preserve"> Alvo</w:t>
            </w:r>
            <w:r w:rsidRPr="00381BE2">
              <w:rPr>
                <w:rFonts w:ascii="Tahoma" w:hAnsi="Tahoma"/>
                <w:color w:val="FFFFFF"/>
                <w:sz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327B8E9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Cronograma Estimado</w:t>
            </w:r>
          </w:p>
        </w:tc>
      </w:tr>
      <w:tr w:rsidR="00711DAA"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3DD52056" w:rsidR="002C3688" w:rsidRPr="00381BE2" w:rsidRDefault="002C3688" w:rsidP="00381BE2">
            <w:pPr>
              <w:widowControl w:val="0"/>
              <w:spacing w:line="320" w:lineRule="exact"/>
              <w:contextualSpacing/>
              <w:jc w:val="center"/>
              <w:rPr>
                <w:rFonts w:ascii="Tahoma" w:hAnsi="Tahoma"/>
                <w:color w:val="FFFFFF"/>
                <w:sz w:val="21"/>
              </w:rPr>
            </w:pPr>
          </w:p>
        </w:tc>
        <w:tc>
          <w:tcPr>
            <w:tcW w:w="916" w:type="pct"/>
            <w:vMerge/>
            <w:tcBorders>
              <w:left w:val="nil"/>
              <w:bottom w:val="single" w:sz="4" w:space="0" w:color="auto"/>
              <w:right w:val="single" w:sz="4" w:space="0" w:color="auto"/>
            </w:tcBorders>
            <w:shd w:val="clear" w:color="000000" w:fill="44546A"/>
            <w:vAlign w:val="center"/>
          </w:tcPr>
          <w:p w14:paraId="512716E6" w14:textId="09A8BFD7" w:rsidR="002C3688" w:rsidRPr="00381BE2" w:rsidRDefault="002C3688" w:rsidP="00381BE2">
            <w:pPr>
              <w:widowControl w:val="0"/>
              <w:spacing w:line="320" w:lineRule="exact"/>
              <w:contextualSpacing/>
              <w:jc w:val="center"/>
              <w:rPr>
                <w:rFonts w:ascii="Tahoma" w:hAnsi="Tahoma"/>
                <w:color w:val="FFFFFF"/>
                <w:sz w:val="21"/>
              </w:rPr>
            </w:pPr>
          </w:p>
        </w:tc>
        <w:tc>
          <w:tcPr>
            <w:tcW w:w="564" w:type="pct"/>
            <w:vMerge/>
            <w:tcBorders>
              <w:left w:val="nil"/>
              <w:bottom w:val="single" w:sz="4" w:space="0" w:color="auto"/>
              <w:right w:val="single" w:sz="4" w:space="0" w:color="auto"/>
            </w:tcBorders>
            <w:shd w:val="clear" w:color="000000" w:fill="44546A"/>
            <w:vAlign w:val="center"/>
          </w:tcPr>
          <w:p w14:paraId="63A649C6" w14:textId="29D45EC4" w:rsidR="002C3688" w:rsidRPr="00381BE2" w:rsidRDefault="002C3688" w:rsidP="00381BE2">
            <w:pPr>
              <w:widowControl w:val="0"/>
              <w:spacing w:line="320" w:lineRule="exact"/>
              <w:contextualSpacing/>
              <w:jc w:val="center"/>
              <w:rPr>
                <w:rFonts w:ascii="Tahoma" w:hAnsi="Tahoma"/>
                <w:color w:val="FFFFFF"/>
                <w:sz w:val="21"/>
              </w:rPr>
            </w:pPr>
          </w:p>
        </w:tc>
        <w:tc>
          <w:tcPr>
            <w:tcW w:w="494" w:type="pct"/>
            <w:vMerge/>
            <w:tcBorders>
              <w:left w:val="nil"/>
              <w:bottom w:val="single" w:sz="4" w:space="0" w:color="auto"/>
              <w:right w:val="single" w:sz="4" w:space="0" w:color="auto"/>
            </w:tcBorders>
            <w:shd w:val="clear" w:color="000000" w:fill="44546A"/>
            <w:vAlign w:val="center"/>
          </w:tcPr>
          <w:p w14:paraId="7D69110F" w14:textId="53445FDE" w:rsidR="002C3688" w:rsidRPr="00381BE2" w:rsidRDefault="002C3688" w:rsidP="00381BE2">
            <w:pPr>
              <w:widowControl w:val="0"/>
              <w:spacing w:line="320" w:lineRule="exact"/>
              <w:contextualSpacing/>
              <w:rPr>
                <w:rFonts w:ascii="Tahoma" w:hAnsi="Tahoma"/>
                <w:color w:val="FFFFFF"/>
                <w:sz w:val="21"/>
              </w:rPr>
            </w:pPr>
          </w:p>
        </w:tc>
        <w:tc>
          <w:tcPr>
            <w:tcW w:w="987" w:type="pct"/>
            <w:vMerge/>
            <w:tcBorders>
              <w:left w:val="nil"/>
              <w:bottom w:val="single" w:sz="4" w:space="0" w:color="auto"/>
              <w:right w:val="single" w:sz="4" w:space="0" w:color="auto"/>
            </w:tcBorders>
            <w:shd w:val="clear" w:color="000000" w:fill="44546A"/>
            <w:vAlign w:val="center"/>
          </w:tcPr>
          <w:p w14:paraId="42C06E60" w14:textId="011E9940" w:rsidR="002C3688" w:rsidRPr="00381BE2" w:rsidRDefault="002C3688" w:rsidP="00381BE2">
            <w:pPr>
              <w:widowControl w:val="0"/>
              <w:spacing w:line="320" w:lineRule="exact"/>
              <w:contextualSpacing/>
              <w:rPr>
                <w:rFonts w:ascii="Tahoma" w:hAnsi="Tahoma"/>
                <w:color w:val="FFFFFF"/>
                <w:sz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0DE9D850" w:rsidR="002C3688" w:rsidRPr="00381BE2" w:rsidRDefault="002C3688" w:rsidP="00381BE2">
            <w:pPr>
              <w:widowControl w:val="0"/>
              <w:spacing w:line="320" w:lineRule="exact"/>
              <w:contextualSpacing/>
              <w:jc w:val="center"/>
              <w:rPr>
                <w:rFonts w:ascii="Tahoma" w:hAnsi="Tahoma"/>
                <w:color w:val="FFFFFF" w:themeColor="background1"/>
                <w:sz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711DAA"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F1C210C" w:rsidR="002C3688" w:rsidRPr="00381BE2" w:rsidRDefault="002C3688" w:rsidP="00381BE2">
            <w:pPr>
              <w:widowControl w:val="0"/>
              <w:spacing w:line="320" w:lineRule="exact"/>
              <w:contextualSpacing/>
              <w:jc w:val="center"/>
              <w:rPr>
                <w:rFonts w:ascii="Tahoma" w:hAnsi="Tahoma"/>
                <w:sz w:val="21"/>
              </w:rPr>
            </w:pPr>
            <w:r w:rsidRPr="00381BE2">
              <w:rPr>
                <w:rFonts w:ascii="Tahoma" w:hAnsi="Tahoma"/>
                <w:sz w:val="21"/>
              </w:rPr>
              <w:t xml:space="preserve">Empreendimento </w:t>
            </w:r>
            <w:r w:rsidR="00F122DB">
              <w:rPr>
                <w:rFonts w:ascii="Tahoma" w:hAnsi="Tahoma" w:cs="Tahoma"/>
                <w:sz w:val="21"/>
                <w:szCs w:val="21"/>
              </w:rPr>
              <w:t>Urban Residence</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381BE2" w:rsidRDefault="00A318C4">
            <w:pPr>
              <w:widowControl w:val="0"/>
              <w:spacing w:line="320" w:lineRule="exact"/>
              <w:contextualSpacing/>
              <w:jc w:val="center"/>
              <w:rPr>
                <w:rFonts w:ascii="Tahoma" w:hAnsi="Tahoma"/>
                <w:color w:val="000000"/>
                <w:sz w:val="21"/>
              </w:rPr>
            </w:pPr>
            <w:r w:rsidRPr="00381BE2">
              <w:rPr>
                <w:rFonts w:ascii="Tahoma" w:hAnsi="Tahoma"/>
                <w:sz w:val="21"/>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552CA03D" w:rsidR="002C3688" w:rsidRPr="00381BE2" w:rsidRDefault="005F3803">
            <w:pPr>
              <w:widowControl w:val="0"/>
              <w:spacing w:line="320" w:lineRule="exact"/>
              <w:contextualSpacing/>
              <w:jc w:val="center"/>
              <w:rPr>
                <w:rFonts w:ascii="Tahoma" w:hAnsi="Tahoma"/>
                <w:color w:val="000000"/>
                <w:sz w:val="21"/>
              </w:rPr>
            </w:pPr>
            <w:r>
              <w:rPr>
                <w:rFonts w:ascii="Tahoma" w:hAnsi="Tahoma" w:cs="Tahoma"/>
                <w:sz w:val="21"/>
                <w:szCs w:val="21"/>
                <w:lang w:eastAsia="pt-BR"/>
              </w:rPr>
              <w:t>126.471</w:t>
            </w:r>
          </w:p>
        </w:tc>
        <w:tc>
          <w:tcPr>
            <w:tcW w:w="494" w:type="pct"/>
            <w:tcBorders>
              <w:top w:val="nil"/>
              <w:left w:val="nil"/>
              <w:bottom w:val="single" w:sz="4" w:space="0" w:color="auto"/>
              <w:right w:val="single" w:sz="4" w:space="0" w:color="auto"/>
            </w:tcBorders>
            <w:vAlign w:val="center"/>
          </w:tcPr>
          <w:p w14:paraId="0D06D0AF" w14:textId="2C0C2246"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688B904C"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4D2BAEA4"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Pr="00381BE2" w:rsidRDefault="005E77B0">
      <w:pPr>
        <w:spacing w:line="320" w:lineRule="exact"/>
        <w:contextualSpacing/>
        <w:rPr>
          <w:rFonts w:ascii="Tahoma" w:hAnsi="Tahoma"/>
          <w:b/>
          <w:sz w:val="21"/>
        </w:rPr>
        <w:sectPr w:rsidR="005E77B0" w:rsidRPr="00381BE2"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1259F1DB"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381BE2" w:rsidRDefault="0078009A" w:rsidP="00381BE2">
      <w:pPr>
        <w:spacing w:line="320" w:lineRule="exact"/>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56F" w14:textId="77777777" w:rsidR="007E2C15" w:rsidRDefault="007E2C15">
      <w:r>
        <w:separator/>
      </w:r>
    </w:p>
    <w:p w14:paraId="4E8CDB41" w14:textId="77777777" w:rsidR="007E2C15" w:rsidRDefault="007E2C15"/>
  </w:endnote>
  <w:endnote w:type="continuationSeparator" w:id="0">
    <w:p w14:paraId="5E2BE8FB" w14:textId="77777777" w:rsidR="007E2C15" w:rsidRDefault="007E2C15">
      <w:r>
        <w:continuationSeparator/>
      </w:r>
    </w:p>
    <w:p w14:paraId="5595CCF5" w14:textId="77777777" w:rsidR="007E2C15" w:rsidRDefault="007E2C15"/>
  </w:endnote>
  <w:endnote w:type="continuationNotice" w:id="1">
    <w:p w14:paraId="5911E63F" w14:textId="77777777" w:rsidR="007E2C15" w:rsidRDefault="007E2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F8D3" w14:textId="77777777" w:rsidR="007E2C15" w:rsidRDefault="007E2C15">
      <w:r>
        <w:separator/>
      </w:r>
    </w:p>
    <w:p w14:paraId="3B6189F9" w14:textId="77777777" w:rsidR="007E2C15" w:rsidRDefault="007E2C15"/>
  </w:footnote>
  <w:footnote w:type="continuationSeparator" w:id="0">
    <w:p w14:paraId="47300951" w14:textId="77777777" w:rsidR="007E2C15" w:rsidRDefault="007E2C15">
      <w:r>
        <w:continuationSeparator/>
      </w:r>
    </w:p>
    <w:p w14:paraId="18E23C6C" w14:textId="77777777" w:rsidR="007E2C15" w:rsidRDefault="007E2C15"/>
  </w:footnote>
  <w:footnote w:type="continuationNotice" w:id="1">
    <w:p w14:paraId="15AE84CC" w14:textId="77777777" w:rsidR="007E2C15" w:rsidRDefault="007E2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AA2C" w14:textId="5D8153B5" w:rsidR="007E2C15" w:rsidRDefault="007E2C15" w:rsidP="007E2C15">
    <w:pPr>
      <w:pStyle w:val="Cabealho"/>
      <w:jc w:val="right"/>
      <w:rPr>
        <w:ins w:id="43" w:author="Bruno Dissenha Pigatto" w:date="2020-09-28T13:24:00Z"/>
      </w:rPr>
    </w:pPr>
    <w:ins w:id="44" w:author="Bruno Dissenha Pigatto" w:date="2020-09-28T13:24:00Z">
      <w:r>
        <w:t>Comentários MC</w:t>
      </w:r>
    </w:ins>
  </w:p>
  <w:p w14:paraId="45753C2B" w14:textId="61FC005C" w:rsidR="007E2C15" w:rsidRDefault="007E2C15" w:rsidP="007E2C15">
    <w:pPr>
      <w:pStyle w:val="Cabealho"/>
      <w:jc w:val="right"/>
    </w:pPr>
    <w:ins w:id="45" w:author="Bruno Dissenha Pigatto" w:date="2020-09-28T13:24:00Z">
      <w:r>
        <w:t>28.09.2020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
  </w:num>
  <w:num w:numId="3">
    <w:abstractNumId w:val="77"/>
  </w:num>
  <w:num w:numId="4">
    <w:abstractNumId w:val="56"/>
  </w:num>
  <w:num w:numId="5">
    <w:abstractNumId w:val="8"/>
  </w:num>
  <w:num w:numId="6">
    <w:abstractNumId w:val="52"/>
  </w:num>
  <w:num w:numId="7">
    <w:abstractNumId w:val="66"/>
  </w:num>
  <w:num w:numId="8">
    <w:abstractNumId w:val="49"/>
  </w:num>
  <w:num w:numId="9">
    <w:abstractNumId w:val="33"/>
  </w:num>
  <w:num w:numId="10">
    <w:abstractNumId w:val="70"/>
  </w:num>
  <w:num w:numId="11">
    <w:abstractNumId w:val="89"/>
  </w:num>
  <w:num w:numId="12">
    <w:abstractNumId w:val="10"/>
  </w:num>
  <w:num w:numId="13">
    <w:abstractNumId w:val="17"/>
  </w:num>
  <w:num w:numId="14">
    <w:abstractNumId w:val="74"/>
  </w:num>
  <w:num w:numId="15">
    <w:abstractNumId w:val="39"/>
  </w:num>
  <w:num w:numId="16">
    <w:abstractNumId w:val="68"/>
  </w:num>
  <w:num w:numId="17">
    <w:abstractNumId w:val="2"/>
  </w:num>
  <w:num w:numId="18">
    <w:abstractNumId w:val="30"/>
  </w:num>
  <w:num w:numId="19">
    <w:abstractNumId w:val="20"/>
  </w:num>
  <w:num w:numId="20">
    <w:abstractNumId w:val="65"/>
  </w:num>
  <w:num w:numId="21">
    <w:abstractNumId w:val="13"/>
  </w:num>
  <w:num w:numId="22">
    <w:abstractNumId w:val="36"/>
  </w:num>
  <w:num w:numId="23">
    <w:abstractNumId w:val="88"/>
  </w:num>
  <w:num w:numId="24">
    <w:abstractNumId w:val="23"/>
  </w:num>
  <w:num w:numId="25">
    <w:abstractNumId w:val="26"/>
  </w:num>
  <w:num w:numId="26">
    <w:abstractNumId w:val="41"/>
  </w:num>
  <w:num w:numId="27">
    <w:abstractNumId w:val="73"/>
  </w:num>
  <w:num w:numId="28">
    <w:abstractNumId w:val="24"/>
  </w:num>
  <w:num w:numId="29">
    <w:abstractNumId w:val="71"/>
  </w:num>
  <w:num w:numId="30">
    <w:abstractNumId w:val="0"/>
  </w:num>
  <w:num w:numId="31">
    <w:abstractNumId w:val="31"/>
  </w:num>
  <w:num w:numId="32">
    <w:abstractNumId w:val="75"/>
  </w:num>
  <w:num w:numId="33">
    <w:abstractNumId w:val="57"/>
  </w:num>
  <w:num w:numId="34">
    <w:abstractNumId w:val="55"/>
  </w:num>
  <w:num w:numId="35">
    <w:abstractNumId w:val="1"/>
  </w:num>
  <w:num w:numId="36">
    <w:abstractNumId w:val="45"/>
  </w:num>
  <w:num w:numId="37">
    <w:abstractNumId w:val="4"/>
  </w:num>
  <w:num w:numId="38">
    <w:abstractNumId w:val="9"/>
  </w:num>
  <w:num w:numId="39">
    <w:abstractNumId w:val="92"/>
  </w:num>
  <w:num w:numId="40">
    <w:abstractNumId w:val="3"/>
  </w:num>
  <w:num w:numId="41">
    <w:abstractNumId w:val="91"/>
  </w:num>
  <w:num w:numId="42">
    <w:abstractNumId w:val="11"/>
  </w:num>
  <w:num w:numId="43">
    <w:abstractNumId w:val="94"/>
  </w:num>
  <w:num w:numId="44">
    <w:abstractNumId w:val="62"/>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 w:numId="48">
    <w:abstractNumId w:val="47"/>
  </w:num>
  <w:num w:numId="49">
    <w:abstractNumId w:val="86"/>
  </w:num>
  <w:num w:numId="50">
    <w:abstractNumId w:val="7"/>
  </w:num>
  <w:num w:numId="51">
    <w:abstractNumId w:val="79"/>
  </w:num>
  <w:num w:numId="52">
    <w:abstractNumId w:val="35"/>
  </w:num>
  <w:num w:numId="53">
    <w:abstractNumId w:val="58"/>
  </w:num>
  <w:num w:numId="54">
    <w:abstractNumId w:val="38"/>
  </w:num>
  <w:num w:numId="55">
    <w:abstractNumId w:val="15"/>
  </w:num>
  <w:num w:numId="56">
    <w:abstractNumId w:val="25"/>
  </w:num>
  <w:num w:numId="57">
    <w:abstractNumId w:val="93"/>
  </w:num>
  <w:num w:numId="58">
    <w:abstractNumId w:val="19"/>
  </w:num>
  <w:num w:numId="59">
    <w:abstractNumId w:val="21"/>
  </w:num>
  <w:num w:numId="60">
    <w:abstractNumId w:val="50"/>
  </w:num>
  <w:num w:numId="61">
    <w:abstractNumId w:val="76"/>
  </w:num>
  <w:num w:numId="62">
    <w:abstractNumId w:val="80"/>
  </w:num>
  <w:num w:numId="63">
    <w:abstractNumId w:val="59"/>
  </w:num>
  <w:num w:numId="64">
    <w:abstractNumId w:val="37"/>
  </w:num>
  <w:num w:numId="65">
    <w:abstractNumId w:val="16"/>
  </w:num>
  <w:num w:numId="66">
    <w:abstractNumId w:val="6"/>
  </w:num>
  <w:num w:numId="67">
    <w:abstractNumId w:val="69"/>
  </w:num>
  <w:num w:numId="68">
    <w:abstractNumId w:val="46"/>
  </w:num>
  <w:num w:numId="69">
    <w:abstractNumId w:val="14"/>
  </w:num>
  <w:num w:numId="70">
    <w:abstractNumId w:val="22"/>
  </w:num>
  <w:num w:numId="71">
    <w:abstractNumId w:val="60"/>
  </w:num>
  <w:num w:numId="72">
    <w:abstractNumId w:val="78"/>
  </w:num>
  <w:num w:numId="73">
    <w:abstractNumId w:val="84"/>
  </w:num>
  <w:num w:numId="74">
    <w:abstractNumId w:val="32"/>
  </w:num>
  <w:num w:numId="75">
    <w:abstractNumId w:val="63"/>
  </w:num>
  <w:num w:numId="76">
    <w:abstractNumId w:val="34"/>
  </w:num>
  <w:num w:numId="77">
    <w:abstractNumId w:val="83"/>
  </w:num>
  <w:num w:numId="78">
    <w:abstractNumId w:val="72"/>
  </w:num>
  <w:num w:numId="79">
    <w:abstractNumId w:val="48"/>
  </w:num>
  <w:num w:numId="80">
    <w:abstractNumId w:val="87"/>
  </w:num>
  <w:num w:numId="81">
    <w:abstractNumId w:val="82"/>
  </w:num>
  <w:num w:numId="82">
    <w:abstractNumId w:val="67"/>
  </w:num>
  <w:num w:numId="83">
    <w:abstractNumId w:val="64"/>
  </w:num>
  <w:num w:numId="84">
    <w:abstractNumId w:val="28"/>
  </w:num>
  <w:num w:numId="85">
    <w:abstractNumId w:val="42"/>
  </w:num>
  <w:num w:numId="86">
    <w:abstractNumId w:val="44"/>
  </w:num>
  <w:num w:numId="87">
    <w:abstractNumId w:val="18"/>
  </w:num>
  <w:num w:numId="88">
    <w:abstractNumId w:val="29"/>
  </w:num>
  <w:num w:numId="89">
    <w:abstractNumId w:val="81"/>
  </w:num>
  <w:num w:numId="90">
    <w:abstractNumId w:val="40"/>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85"/>
  </w:num>
  <w:num w:numId="95">
    <w:abstractNumId w:val="27"/>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F5D"/>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70872"/>
    <w:rsid w:val="003709CB"/>
    <w:rsid w:val="00370E36"/>
    <w:rsid w:val="0037116E"/>
    <w:rsid w:val="00371517"/>
    <w:rsid w:val="00371FCA"/>
    <w:rsid w:val="003725BF"/>
    <w:rsid w:val="003726A4"/>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47D1"/>
    <w:rsid w:val="00A04B1F"/>
    <w:rsid w:val="00A05D9D"/>
    <w:rsid w:val="00A060B4"/>
    <w:rsid w:val="00A078FE"/>
    <w:rsid w:val="00A1085A"/>
    <w:rsid w:val="00A111CA"/>
    <w:rsid w:val="00A15CAC"/>
    <w:rsid w:val="00A16CF6"/>
    <w:rsid w:val="00A17277"/>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5E03"/>
    <w:rsid w:val="00EF64E6"/>
    <w:rsid w:val="00EF667A"/>
    <w:rsid w:val="00EF6EC0"/>
    <w:rsid w:val="00F0062F"/>
    <w:rsid w:val="00F00A4E"/>
    <w:rsid w:val="00F00E2A"/>
    <w:rsid w:val="00F011F5"/>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4206C"/>
    <w:rsid w:val="00F420FC"/>
    <w:rsid w:val="00F42A56"/>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A1"/>
    <w:rsid w:val="00FC7055"/>
    <w:rsid w:val="00FC78C4"/>
    <w:rsid w:val="00FC7CEB"/>
    <w:rsid w:val="00FD1A42"/>
    <w:rsid w:val="00FD1C41"/>
    <w:rsid w:val="00FD1EA5"/>
    <w:rsid w:val="00FD2FB4"/>
    <w:rsid w:val="00FD319E"/>
    <w:rsid w:val="00FD614D"/>
    <w:rsid w:val="00FD6A60"/>
    <w:rsid w:val="00FD6D6B"/>
    <w:rsid w:val="00FE1109"/>
    <w:rsid w:val="00FE2A08"/>
    <w:rsid w:val="00FE2BBE"/>
    <w:rsid w:val="00FE3D26"/>
    <w:rsid w:val="00FE3ED5"/>
    <w:rsid w:val="00FE43EF"/>
    <w:rsid w:val="00FE4DE4"/>
    <w:rsid w:val="00FE53B4"/>
    <w:rsid w:val="00FE56FD"/>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purl.org/dc/terms/"/>
    <ds:schemaRef ds:uri="http://schemas.microsoft.com/office/2006/documentManagement/types"/>
    <ds:schemaRef ds:uri="6d1f4d57-ec2f-4615-a139-a4f77c0b172f"/>
    <ds:schemaRef ds:uri="http://schemas.microsoft.com/office/2006/metadata/properties"/>
    <ds:schemaRef ds:uri="http://www.w3.org/XML/1998/namespace"/>
    <ds:schemaRef ds:uri="http://purl.org/dc/elements/1.1/"/>
    <ds:schemaRef ds:uri="http://schemas.microsoft.com/office/infopath/2007/PartnerControls"/>
    <ds:schemaRef ds:uri="31adb176-178c-41bb-8643-04db008b5e14"/>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11253</Words>
  <Characters>60767</Characters>
  <Application>Microsoft Office Word</Application>
  <DocSecurity>0</DocSecurity>
  <Lines>506</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Manassero Campello Advogados</cp:lastModifiedBy>
  <cp:revision>4</cp:revision>
  <cp:lastPrinted>2019-11-12T22:01:00Z</cp:lastPrinted>
  <dcterms:created xsi:type="dcterms:W3CDTF">2020-09-28T17:20:00Z</dcterms:created>
  <dcterms:modified xsi:type="dcterms:W3CDTF">2020-09-29T03:16:00Z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