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50EBF24A" w:rsidR="00FC5538" w:rsidRPr="009D383E" w:rsidRDefault="00A34192" w:rsidP="00AA2991">
      <w:pPr>
        <w:widowControl w:val="0"/>
        <w:spacing w:line="320" w:lineRule="exact"/>
        <w:contextualSpacing/>
        <w:jc w:val="center"/>
        <w:rPr>
          <w:rFonts w:ascii="Trebuchet MS" w:hAnsi="Trebuchet MS"/>
          <w:sz w:val="21"/>
          <w:szCs w:val="21"/>
        </w:rPr>
      </w:pPr>
      <w:r w:rsidRPr="009D383E">
        <w:rPr>
          <w:rFonts w:ascii="Trebuchet MS" w:hAnsi="Trebuchet MS" w:cstheme="minorHAnsi"/>
          <w:sz w:val="21"/>
          <w:szCs w:val="21"/>
          <w:highlight w:val="yellow"/>
        </w:rPr>
        <w:t>[=]</w:t>
      </w:r>
      <w:r w:rsidR="009F4B19"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Pr="009D383E">
        <w:rPr>
          <w:rFonts w:ascii="Trebuchet MS" w:hAnsi="Trebuchet MS" w:cstheme="minorHAnsi"/>
          <w:sz w:val="21"/>
          <w:szCs w:val="21"/>
        </w:rPr>
        <w:t xml:space="preserve">setembro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r w:rsidR="00A84880">
        <w:rPr>
          <w:rFonts w:ascii="Trebuchet MS" w:eastAsia="Arial Unicode MS" w:hAnsi="Trebuchet MS"/>
          <w:sz w:val="21"/>
          <w:szCs w:val="21"/>
        </w:rPr>
        <w:t>cj.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2A592646"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3815D3"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w:t>
      </w:r>
      <w:r w:rsidRPr="009D383E">
        <w:rPr>
          <w:rFonts w:ascii="Trebuchet MS" w:hAnsi="Trebuchet MS"/>
          <w:sz w:val="21"/>
          <w:szCs w:val="21"/>
        </w:rPr>
        <w:lastRenderedPageBreak/>
        <w:t xml:space="preserve">12.5.887.766 SSP/SP e 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r w:rsidRPr="009D383E">
        <w:rPr>
          <w:rFonts w:ascii="Trebuchet MS" w:hAnsi="Trebuchet MS"/>
          <w:b/>
          <w:bCs/>
          <w:sz w:val="21"/>
          <w:szCs w:val="21"/>
        </w:rPr>
        <w:t>Simei de Britto Gomes Safatle</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Astério</w:t>
      </w:r>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22385871"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BC6332"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e, em conjunto com Arthur, Astério, Fernando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0D2517ED" w:rsidR="00675F7E" w:rsidRPr="009D383E"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lastRenderedPageBreak/>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r w:rsidRPr="009D383E">
        <w:rPr>
          <w:rFonts w:ascii="Trebuchet MS" w:hAnsi="Trebuchet MS"/>
          <w:b/>
          <w:sz w:val="21"/>
          <w:szCs w:val="21"/>
        </w:rPr>
        <w:t>Astério Vaz Safatle</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Simei</w:t>
      </w:r>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725976EA" w:rsidR="00675F7E" w:rsidRPr="009D383E"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BC6332">
        <w:rPr>
          <w:rFonts w:ascii="Trebuchet MS" w:hAnsi="Trebuchet MS"/>
          <w:b/>
          <w:bCs/>
          <w:sz w:val="21"/>
          <w:szCs w:val="21"/>
        </w:rPr>
        <w:t>ANDREA NASSER SETTON</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r w:rsidR="004F14B8">
        <w:rPr>
          <w:rFonts w:ascii="Trebuchet MS" w:hAnsi="Trebuchet MS"/>
          <w:sz w:val="21"/>
          <w:szCs w:val="21"/>
          <w:lang w:val="pt-BR"/>
        </w:rPr>
        <w:t>de comunhão 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em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r w:rsidR="00675F7E" w:rsidRPr="009D383E">
        <w:rPr>
          <w:rFonts w:ascii="Trebuchet MS" w:hAnsi="Trebuchet MS"/>
          <w:sz w:val="21"/>
          <w:szCs w:val="21"/>
        </w:rPr>
        <w:t>Simei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4241B8B0"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F27F18">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789F3FE6" w:rsidR="00704452" w:rsidRPr="009D383E" w:rsidRDefault="00095CF7" w:rsidP="00AA2991">
      <w:pPr>
        <w:pStyle w:val="Nvel11a"/>
        <w:widowControl w:val="0"/>
        <w:numPr>
          <w:ilvl w:val="0"/>
          <w:numId w:val="6"/>
        </w:numPr>
        <w:spacing w:line="320" w:lineRule="exact"/>
        <w:ind w:left="709" w:hanging="709"/>
        <w:rPr>
          <w:sz w:val="21"/>
          <w:szCs w:val="21"/>
        </w:rPr>
      </w:pPr>
      <w:bookmarkStart w:id="5"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6" w:name="_Hlk83066391"/>
      <w:r w:rsidR="00D32EC7" w:rsidRPr="009D383E">
        <w:rPr>
          <w:sz w:val="21"/>
          <w:szCs w:val="21"/>
        </w:rPr>
        <w:t xml:space="preserve">composta por </w:t>
      </w:r>
      <w:bookmarkEnd w:id="6"/>
      <w:r w:rsidR="00B3602C">
        <w:rPr>
          <w:sz w:val="21"/>
          <w:szCs w:val="21"/>
        </w:rPr>
        <w:t>100.000</w:t>
      </w:r>
      <w:r w:rsidR="00B3602C" w:rsidRPr="009D383E">
        <w:rPr>
          <w:sz w:val="21"/>
          <w:szCs w:val="21"/>
        </w:rPr>
        <w:t xml:space="preserve"> (</w:t>
      </w:r>
      <w:r w:rsidR="00B3602C">
        <w:rPr>
          <w:sz w:val="21"/>
          <w:szCs w:val="21"/>
        </w:rPr>
        <w:t>cem mil</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7" w:name="_Hlk93416266"/>
      <w:r w:rsidR="00D32EC7" w:rsidRPr="009D383E">
        <w:rPr>
          <w:sz w:val="21"/>
          <w:szCs w:val="21"/>
        </w:rPr>
        <w:t>R$ </w:t>
      </w:r>
      <w:r w:rsidR="00B3602C">
        <w:rPr>
          <w:sz w:val="21"/>
          <w:szCs w:val="21"/>
        </w:rPr>
        <w:t>1.000,00</w:t>
      </w:r>
      <w:r w:rsidR="00B3602C" w:rsidRPr="009D383E">
        <w:rPr>
          <w:sz w:val="21"/>
          <w:szCs w:val="21"/>
        </w:rPr>
        <w:t xml:space="preserve"> </w:t>
      </w:r>
      <w:bookmarkEnd w:id="7"/>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8"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8"/>
      <w:r w:rsidR="00D32EC7" w:rsidRPr="009D383E">
        <w:rPr>
          <w:sz w:val="21"/>
          <w:szCs w:val="21"/>
        </w:rPr>
        <w:t xml:space="preserve">, perfazendo o montante total de </w:t>
      </w:r>
      <w:r w:rsidR="00F73B5E" w:rsidRPr="009D383E">
        <w:rPr>
          <w:sz w:val="21"/>
          <w:szCs w:val="21"/>
        </w:rPr>
        <w:t>R$ </w:t>
      </w:r>
      <w:r w:rsidR="00B3602C">
        <w:rPr>
          <w:sz w:val="21"/>
          <w:szCs w:val="21"/>
        </w:rPr>
        <w:t>100.000.000,00</w:t>
      </w:r>
      <w:r w:rsidR="00B3602C" w:rsidRPr="009D383E">
        <w:rPr>
          <w:sz w:val="21"/>
          <w:szCs w:val="21"/>
        </w:rPr>
        <w:t xml:space="preserve"> (</w:t>
      </w:r>
      <w:r w:rsidR="00B3602C">
        <w:rPr>
          <w:sz w:val="21"/>
          <w:szCs w:val="21"/>
        </w:rPr>
        <w:t>cem milhões de reais</w:t>
      </w:r>
      <w:r w:rsidR="00B3602C" w:rsidRPr="009D383E">
        <w:rPr>
          <w:sz w:val="21"/>
          <w:szCs w:val="21"/>
        </w:rPr>
        <w:t xml:space="preserve">) </w:t>
      </w:r>
      <w:r w:rsidR="00D32EC7" w:rsidRPr="009D383E">
        <w:rPr>
          <w:sz w:val="21"/>
          <w:szCs w:val="21"/>
        </w:rPr>
        <w:t xml:space="preserve">na respectiva data de emissão </w:t>
      </w:r>
      <w:bookmarkStart w:id="9"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9"/>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5"/>
      <w:r w:rsidR="003D2810" w:rsidRPr="009D383E">
        <w:rPr>
          <w:sz w:val="21"/>
          <w:szCs w:val="21"/>
        </w:rPr>
        <w:t xml:space="preserve"> </w:t>
      </w:r>
      <w:r w:rsidR="003D2810" w:rsidRPr="00AA2991">
        <w:rPr>
          <w:b/>
          <w:bCs/>
          <w:sz w:val="21"/>
          <w:szCs w:val="21"/>
          <w:highlight w:val="yellow"/>
        </w:rPr>
        <w:t>[Nota Riza: Definição dos valores entre os Investidores]</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1BC802AF"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lastRenderedPageBreak/>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F27F18">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10"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11" w:name="_Hlk104271984"/>
      <w:r w:rsidR="0025405B" w:rsidRPr="009D383E">
        <w:rPr>
          <w:b/>
          <w:bCs/>
          <w:sz w:val="21"/>
          <w:szCs w:val="21"/>
          <w:u w:val="single"/>
        </w:rPr>
        <w:t>Anexo V</w:t>
      </w:r>
      <w:r w:rsidR="0025405B" w:rsidRPr="009D383E">
        <w:rPr>
          <w:sz w:val="21"/>
          <w:szCs w:val="21"/>
        </w:rPr>
        <w:t xml:space="preserve"> </w:t>
      </w:r>
      <w:bookmarkEnd w:id="11"/>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12"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12"/>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10"/>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40D8A892"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7E5A94" w:rsidRPr="00AA2991">
        <w:rPr>
          <w:b/>
          <w:sz w:val="21"/>
          <w:szCs w:val="21"/>
          <w:highlight w:val="yellow"/>
        </w:rPr>
        <w:t>[SPE Pintassilgo]</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na </w:t>
      </w:r>
      <w:r w:rsidR="007E5A94" w:rsidRPr="00AA2991">
        <w:rPr>
          <w:sz w:val="21"/>
          <w:szCs w:val="21"/>
          <w:highlight w:val="yellow"/>
        </w:rPr>
        <w:t>[</w:t>
      </w:r>
      <w:r w:rsidR="00662204" w:rsidRPr="00AA2991">
        <w:rPr>
          <w:sz w:val="21"/>
          <w:szCs w:val="21"/>
          <w:highlight w:val="yellow"/>
        </w:rPr>
        <w:t>Rua</w:t>
      </w:r>
      <w:r w:rsidR="007E5A94" w:rsidRPr="00AA2991">
        <w:rPr>
          <w:sz w:val="21"/>
          <w:szCs w:val="21"/>
          <w:highlight w:val="yellow"/>
        </w:rPr>
        <w:t>/Avenida]</w:t>
      </w:r>
      <w:r w:rsidR="00662204" w:rsidRPr="009D383E">
        <w:rPr>
          <w:sz w:val="21"/>
          <w:szCs w:val="21"/>
        </w:rPr>
        <w:t xml:space="preserve"> </w:t>
      </w:r>
      <w:r w:rsidR="007E5A94" w:rsidRPr="00AA2991">
        <w:rPr>
          <w:sz w:val="21"/>
          <w:szCs w:val="21"/>
          <w:highlight w:val="yellow"/>
        </w:rPr>
        <w:t>[=]</w:t>
      </w:r>
      <w:r w:rsidR="00662204" w:rsidRPr="009D383E">
        <w:rPr>
          <w:sz w:val="21"/>
          <w:szCs w:val="21"/>
        </w:rPr>
        <w:t xml:space="preserve">, nº </w:t>
      </w:r>
      <w:r w:rsidR="007E5A94" w:rsidRPr="009D383E">
        <w:rPr>
          <w:sz w:val="21"/>
          <w:szCs w:val="21"/>
          <w:highlight w:val="yellow"/>
        </w:rPr>
        <w:t>[=]</w:t>
      </w:r>
      <w:r w:rsidR="00662204" w:rsidRPr="009D383E">
        <w:rPr>
          <w:sz w:val="21"/>
          <w:szCs w:val="21"/>
        </w:rPr>
        <w:t xml:space="preserve">, bairro </w:t>
      </w:r>
      <w:r w:rsidR="00ED7285" w:rsidRPr="00AA2991">
        <w:rPr>
          <w:sz w:val="21"/>
          <w:szCs w:val="21"/>
          <w:highlight w:val="yellow"/>
        </w:rPr>
        <w:t>[=]</w:t>
      </w:r>
      <w:r w:rsidR="00662204" w:rsidRPr="009D383E">
        <w:rPr>
          <w:sz w:val="21"/>
          <w:szCs w:val="21"/>
        </w:rPr>
        <w:t>,</w:t>
      </w:r>
      <w:r w:rsidR="00662204" w:rsidRPr="009D383E">
        <w:rPr>
          <w:rFonts w:cstheme="minorHAnsi"/>
          <w:sz w:val="21"/>
          <w:szCs w:val="21"/>
          <w:lang w:eastAsia="pt-BR"/>
        </w:rPr>
        <w:t xml:space="preserve"> </w:t>
      </w:r>
      <w:r w:rsidR="00662204" w:rsidRPr="009D383E">
        <w:rPr>
          <w:sz w:val="21"/>
          <w:szCs w:val="21"/>
        </w:rPr>
        <w:t>inscrita no CNPJ/ME sob o nº </w:t>
      </w:r>
      <w:r w:rsidR="00ED7285" w:rsidRPr="00AA2991">
        <w:rPr>
          <w:color w:val="202124"/>
          <w:sz w:val="21"/>
          <w:szCs w:val="21"/>
          <w:highlight w:val="yellow"/>
          <w:shd w:val="clear" w:color="auto" w:fill="FFFFFF"/>
        </w:rPr>
        <w:t>[=]</w:t>
      </w:r>
      <w:r w:rsidR="00EC3AC8" w:rsidRPr="009D383E">
        <w:rPr>
          <w:color w:val="202124"/>
          <w:sz w:val="21"/>
          <w:szCs w:val="21"/>
          <w:shd w:val="clear" w:color="auto" w:fill="FFFFFF"/>
        </w:rPr>
        <w:t xml:space="preserve"> (“</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725DDE" w:rsidRPr="00725DDE">
        <w:rPr>
          <w:sz w:val="21"/>
          <w:szCs w:val="21"/>
          <w:highlight w:val="yellow"/>
        </w:rPr>
        <w:t>[</w:t>
      </w:r>
      <w:r w:rsidR="00DA4C58" w:rsidRPr="00725DDE">
        <w:rPr>
          <w:sz w:val="21"/>
          <w:szCs w:val="21"/>
          <w:highlight w:val="yellow"/>
        </w:rPr>
        <w:t>50.000</w:t>
      </w:r>
      <w:r w:rsidR="002331CD" w:rsidRPr="00725DDE">
        <w:rPr>
          <w:sz w:val="21"/>
          <w:szCs w:val="21"/>
          <w:highlight w:val="yellow"/>
        </w:rPr>
        <w:t xml:space="preserve"> (</w:t>
      </w:r>
      <w:r w:rsidR="00DA4C58" w:rsidRPr="00725DDE">
        <w:rPr>
          <w:sz w:val="21"/>
          <w:szCs w:val="21"/>
          <w:highlight w:val="yellow"/>
        </w:rPr>
        <w:t>cinquenta mil</w:t>
      </w:r>
      <w:r w:rsidR="002331CD" w:rsidRPr="00725DDE">
        <w:rPr>
          <w:sz w:val="21"/>
          <w:szCs w:val="21"/>
          <w:highlight w:val="yellow"/>
        </w:rPr>
        <w:t>)</w:t>
      </w:r>
      <w:r w:rsidR="00725DDE" w:rsidRPr="00725DDE">
        <w:rPr>
          <w:sz w:val="21"/>
          <w:szCs w:val="21"/>
          <w:highlight w:val="yellow"/>
        </w:rPr>
        <w:t>]</w:t>
      </w:r>
      <w:r w:rsidR="002331CD" w:rsidRPr="00725DDE">
        <w:rPr>
          <w:sz w:val="21"/>
          <w:szCs w:val="21"/>
          <w:highlight w:val="yellow"/>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todas com valor nominal unitário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1.000,00</w:t>
      </w:r>
      <w:r w:rsidR="002331CD" w:rsidRPr="00725DDE">
        <w:rPr>
          <w:sz w:val="21"/>
          <w:szCs w:val="21"/>
          <w:highlight w:val="yellow"/>
        </w:rPr>
        <w:t xml:space="preserve"> (</w:t>
      </w:r>
      <w:r w:rsidR="00E94D5D" w:rsidRPr="00725DDE">
        <w:rPr>
          <w:sz w:val="21"/>
          <w:szCs w:val="21"/>
          <w:highlight w:val="yellow"/>
        </w:rPr>
        <w:t>um mil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50.000.000,00</w:t>
      </w:r>
      <w:r w:rsidR="002331CD" w:rsidRPr="00725DDE">
        <w:rPr>
          <w:sz w:val="21"/>
          <w:szCs w:val="21"/>
          <w:highlight w:val="yellow"/>
        </w:rPr>
        <w:t xml:space="preserve"> (</w:t>
      </w:r>
      <w:r w:rsidR="00E94D5D" w:rsidRPr="00725DDE">
        <w:rPr>
          <w:sz w:val="21"/>
          <w:szCs w:val="21"/>
          <w:highlight w:val="yellow"/>
        </w:rPr>
        <w:t>cinquenta milhões de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1F9369B3"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C36BA0" w:rsidRPr="009D383E">
        <w:rPr>
          <w:i/>
          <w:sz w:val="21"/>
          <w:szCs w:val="21"/>
          <w:highlight w:val="yellow"/>
        </w:rPr>
        <w:t>[SPE Pintassilgo]</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lastRenderedPageBreak/>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9D383E">
        <w:rPr>
          <w:b/>
          <w:bCs/>
          <w:sz w:val="21"/>
          <w:szCs w:val="21"/>
          <w:u w:val="single"/>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7A666086"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104D66" w:rsidRPr="009D383E">
        <w:rPr>
          <w:sz w:val="21"/>
          <w:szCs w:val="21"/>
        </w:rPr>
        <w:t>ê</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3" w:name="_Hlk83112588"/>
      <w:r w:rsidRPr="009D383E">
        <w:rPr>
          <w:sz w:val="21"/>
          <w:szCs w:val="21"/>
        </w:rPr>
        <w:t>Escritura de Emissão de CCI</w:t>
      </w:r>
      <w:bookmarkEnd w:id="13"/>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4"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5" w:name="_Hlk83113716"/>
      <w:r w:rsidRPr="009D383E">
        <w:rPr>
          <w:sz w:val="21"/>
          <w:szCs w:val="21"/>
          <w:u w:val="single"/>
        </w:rPr>
        <w:t>CRI</w:t>
      </w:r>
      <w:r w:rsidRPr="009D383E">
        <w:rPr>
          <w:sz w:val="21"/>
          <w:szCs w:val="21"/>
        </w:rPr>
        <w:t>”</w:t>
      </w:r>
      <w:bookmarkEnd w:id="15"/>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6" w:name="_Hlk83112907"/>
      <w:r w:rsidRPr="009D383E">
        <w:rPr>
          <w:sz w:val="21"/>
          <w:szCs w:val="21"/>
        </w:rPr>
        <w:t>(“</w:t>
      </w:r>
      <w:r w:rsidRPr="009D383E">
        <w:rPr>
          <w:sz w:val="21"/>
          <w:szCs w:val="21"/>
          <w:u w:val="single"/>
        </w:rPr>
        <w:t>Operação de Securitização</w:t>
      </w:r>
      <w:r w:rsidRPr="009D383E">
        <w:rPr>
          <w:sz w:val="21"/>
          <w:szCs w:val="21"/>
        </w:rPr>
        <w:t>”)</w:t>
      </w:r>
      <w:bookmarkEnd w:id="16"/>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4"/>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7" w:name="_Ref83820260"/>
      <w:r w:rsidRPr="009D383E">
        <w:rPr>
          <w:sz w:val="21"/>
          <w:szCs w:val="21"/>
        </w:rPr>
        <w:t xml:space="preserve">os CRI serão objeto de distribuição primária por meio de oferta pública, com esforços </w:t>
      </w:r>
      <w:r w:rsidRPr="009D383E">
        <w:rPr>
          <w:sz w:val="21"/>
          <w:szCs w:val="21"/>
        </w:rPr>
        <w:lastRenderedPageBreak/>
        <w:t xml:space="preserve">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17"/>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18"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670F7DF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8F4257" w:rsidRPr="00AA2991">
        <w:rPr>
          <w:rFonts w:ascii="Trebuchet MS" w:hAnsi="Trebuchet MS"/>
          <w:sz w:val="21"/>
          <w:szCs w:val="21"/>
          <w:highlight w:val="yellow"/>
          <w:lang w:val="pt-BR"/>
        </w:rPr>
        <w:t>[=]</w:t>
      </w:r>
      <w:r w:rsidRPr="009D383E">
        <w:rPr>
          <w:rFonts w:ascii="Trebuchet MS" w:hAnsi="Trebuchet MS"/>
          <w:sz w:val="21"/>
          <w:szCs w:val="21"/>
        </w:rPr>
        <w:t xml:space="preserve"> 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AA2991">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55302B0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2F25F0" w:rsidRPr="009D383E">
        <w:rPr>
          <w:rFonts w:ascii="Trebuchet MS" w:hAnsi="Trebuchet MS"/>
          <w:sz w:val="21"/>
          <w:szCs w:val="21"/>
          <w:highlight w:val="yellow"/>
          <w:lang w:val="pt-BR"/>
        </w:rPr>
        <w:t>[=]</w:t>
      </w:r>
      <w:r w:rsidR="002F25F0" w:rsidRPr="009D383E">
        <w:rPr>
          <w:rFonts w:ascii="Trebuchet MS" w:hAnsi="Trebuchet MS"/>
          <w:sz w:val="21"/>
          <w:szCs w:val="21"/>
        </w:rPr>
        <w:t xml:space="preserve"> 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080B402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EF60A0" w:rsidRPr="009D383E">
        <w:rPr>
          <w:rFonts w:ascii="Trebuchet MS" w:hAnsi="Trebuchet MS"/>
          <w:sz w:val="21"/>
          <w:szCs w:val="21"/>
          <w:highlight w:val="yellow"/>
          <w:lang w:val="pt-BR"/>
        </w:rPr>
        <w:t>[=]</w:t>
      </w:r>
      <w:r w:rsidR="00EF60A0" w:rsidRPr="009D383E">
        <w:rPr>
          <w:rFonts w:ascii="Trebuchet MS" w:hAnsi="Trebuchet MS"/>
          <w:sz w:val="21"/>
          <w:szCs w:val="21"/>
        </w:rPr>
        <w:t xml:space="preserve"> 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431899AC"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8B28C4" w:rsidRPr="009D383E">
        <w:rPr>
          <w:rFonts w:ascii="Trebuchet MS" w:hAnsi="Trebuchet MS"/>
          <w:sz w:val="21"/>
          <w:szCs w:val="21"/>
          <w:highlight w:val="yellow"/>
          <w:lang w:val="pt-BR"/>
        </w:rPr>
        <w:t>[=]</w:t>
      </w:r>
      <w:r w:rsidR="008B28C4" w:rsidRPr="009D383E">
        <w:rPr>
          <w:rFonts w:ascii="Trebuchet MS" w:hAnsi="Trebuchet MS"/>
          <w:sz w:val="21"/>
          <w:szCs w:val="21"/>
        </w:rPr>
        <w:t xml:space="preserve"> 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E87C74" w:rsidRPr="009D383E">
        <w:rPr>
          <w:rFonts w:ascii="Trebuchet MS" w:hAnsi="Trebuchet MS"/>
          <w:sz w:val="21"/>
          <w:szCs w:val="21"/>
          <w:highlight w:val="yellow"/>
          <w:lang w:val="pt-BR"/>
        </w:rPr>
        <w:t>[=]</w:t>
      </w:r>
      <w:r w:rsidR="00E87C74" w:rsidRPr="009D383E">
        <w:rPr>
          <w:rFonts w:ascii="Trebuchet MS" w:hAnsi="Trebuchet MS"/>
          <w:sz w:val="21"/>
          <w:szCs w:val="21"/>
          <w:lang w:val="pt-BR"/>
        </w:rPr>
        <w:t xml:space="preserve"> 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019278E8"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w:t>
      </w:r>
      <w:r w:rsidR="00B0635C" w:rsidRPr="00AA2991">
        <w:rPr>
          <w:rFonts w:ascii="Trebuchet MS" w:hAnsi="Trebuchet MS"/>
          <w:sz w:val="21"/>
          <w:szCs w:val="21"/>
          <w:lang w:val="pt-BR"/>
        </w:rPr>
        <w:lastRenderedPageBreak/>
        <w:t xml:space="preserve">Emissão e cláusula </w:t>
      </w:r>
      <w:r w:rsidR="00B0635C" w:rsidRPr="00AA2991">
        <w:rPr>
          <w:rFonts w:ascii="Trebuchet MS" w:hAnsi="Trebuchet MS"/>
          <w:sz w:val="21"/>
          <w:szCs w:val="21"/>
          <w:highlight w:val="yellow"/>
          <w:lang w:val="pt-BR"/>
        </w:rPr>
        <w:t>[=]</w:t>
      </w:r>
      <w:r w:rsidR="00B0635C" w:rsidRPr="00AA2991">
        <w:rPr>
          <w:rFonts w:ascii="Trebuchet MS" w:hAnsi="Trebuchet MS"/>
          <w:sz w:val="21"/>
          <w:szCs w:val="21"/>
          <w:lang w:val="pt-BR"/>
        </w:rPr>
        <w:t xml:space="preserve"> 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63C774AB"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ME 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F27F18">
        <w:rPr>
          <w:sz w:val="21"/>
          <w:szCs w:val="21"/>
        </w:rPr>
        <w:t>4.5</w:t>
      </w:r>
      <w:r w:rsidR="00503D65" w:rsidRPr="009D383E">
        <w:rPr>
          <w:sz w:val="21"/>
          <w:szCs w:val="21"/>
        </w:rPr>
        <w:fldChar w:fldCharType="end"/>
      </w:r>
      <w:r w:rsidR="00C16FFD" w:rsidRPr="009D383E">
        <w:rPr>
          <w:sz w:val="21"/>
          <w:szCs w:val="21"/>
        </w:rPr>
        <w:t xml:space="preserve"> deste instrumento</w:t>
      </w:r>
      <w:bookmarkEnd w:id="18"/>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19" w:name="_Hlk84436993"/>
      <w:r w:rsidR="002C6C96" w:rsidRPr="009D383E">
        <w:rPr>
          <w:rFonts w:cs="Tahoma"/>
          <w:sz w:val="21"/>
          <w:szCs w:val="21"/>
        </w:rPr>
        <w:t>DEFINIÇÕES E INTERPRETAÇÃO DAS DISPOSIÇÕES</w:t>
      </w:r>
      <w:bookmarkEnd w:id="19"/>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20"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21"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20"/>
      <w:bookmarkEnd w:id="21"/>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r w:rsidR="001E5CF0" w:rsidRPr="009D383E">
        <w:rPr>
          <w:rFonts w:cs="Tahoma"/>
          <w:b/>
          <w:bCs/>
          <w:i/>
          <w:iCs/>
          <w:sz w:val="21"/>
          <w:szCs w:val="21"/>
          <w:highlight w:val="yellow"/>
        </w:rPr>
        <w:t>Sign-Off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436C6AA3"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27F18">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0EECD921"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27F18">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0A399885"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F27F18">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Astério</w:t>
            </w:r>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452535" w:rsidRPr="009D383E">
              <w:rPr>
                <w:rFonts w:ascii="Trebuchet MS" w:hAnsi="Trebuchet MS"/>
                <w:b/>
                <w:bCs/>
                <w:sz w:val="21"/>
                <w:szCs w:val="21"/>
              </w:rPr>
              <w:t>Astério Vaz Safatle</w:t>
            </w:r>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40708888"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r w:rsidRPr="009D383E">
              <w:rPr>
                <w:rFonts w:ascii="Trebuchet MS" w:hAnsi="Trebuchet MS"/>
                <w:b/>
                <w:bCs/>
                <w:sz w:val="21"/>
                <w:szCs w:val="21"/>
              </w:rPr>
              <w:t>Astério</w:t>
            </w:r>
            <w:r w:rsidR="00472EE2" w:rsidRPr="009D383E">
              <w:rPr>
                <w:rFonts w:ascii="Trebuchet MS" w:hAnsi="Trebuchet MS"/>
                <w:b/>
                <w:bCs/>
                <w:sz w:val="21"/>
                <w:szCs w:val="21"/>
              </w:rPr>
              <w:t xml:space="preserve"> Vaz Safatle</w:t>
            </w:r>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Setton</w:t>
            </w:r>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w:t>
            </w:r>
            <w:r w:rsidRPr="009D383E">
              <w:rPr>
                <w:rFonts w:ascii="Trebuchet MS" w:hAnsi="Trebuchet MS"/>
                <w:sz w:val="21"/>
                <w:szCs w:val="21"/>
              </w:rPr>
              <w:lastRenderedPageBreak/>
              <w:t xml:space="preserve">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Banco Liquidante dos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0BBB81E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F27F18">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490B2E3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752C9F80"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4BD99D96"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67340268"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r w:rsidRPr="009D383E">
              <w:rPr>
                <w:rFonts w:ascii="Trebuchet MS" w:hAnsi="Trebuchet MS"/>
                <w:b/>
                <w:bCs/>
                <w:sz w:val="21"/>
                <w:szCs w:val="21"/>
              </w:rPr>
              <w:t>Simei de Britto Gomes Safatle</w:t>
            </w:r>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Setton</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(b) Sinco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1429F33B"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2719FF" w:rsidRPr="009D383E">
              <w:rPr>
                <w:rFonts w:ascii="Trebuchet MS" w:hAnsi="Trebuchet MS"/>
                <w:sz w:val="21"/>
                <w:szCs w:val="21"/>
                <w:highlight w:val="yellow"/>
              </w:rPr>
              <w:t>[=]</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2719FF" w:rsidRPr="009D383E">
              <w:rPr>
                <w:rFonts w:ascii="Trebuchet MS" w:hAnsi="Trebuchet MS"/>
                <w:sz w:val="21"/>
                <w:szCs w:val="21"/>
                <w:highlight w:val="yellow"/>
              </w:rPr>
              <w:t>[=]</w:t>
            </w:r>
            <w:r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2719FF" w:rsidRPr="009D383E">
              <w:rPr>
                <w:rFonts w:ascii="Trebuchet MS" w:hAnsi="Trebuchet MS"/>
                <w:sz w:val="21"/>
                <w:szCs w:val="21"/>
                <w:highlight w:val="yellow"/>
              </w:rPr>
              <w:t>[=]</w:t>
            </w:r>
            <w:r w:rsidRPr="009D383E">
              <w:rPr>
                <w:rFonts w:ascii="Trebuchet MS" w:hAnsi="Trebuchet MS"/>
                <w:sz w:val="21"/>
                <w:szCs w:val="21"/>
              </w:rPr>
              <w:t xml:space="preserve"> (cód. </w:t>
            </w:r>
            <w:r w:rsidR="002719FF" w:rsidRPr="009D383E">
              <w:rPr>
                <w:rFonts w:ascii="Trebuchet MS" w:hAnsi="Trebuchet MS"/>
                <w:sz w:val="21"/>
                <w:szCs w:val="21"/>
                <w:highlight w:val="yellow"/>
              </w:rPr>
              <w:t>[=]</w:t>
            </w:r>
            <w:r w:rsidRPr="009D383E">
              <w:rPr>
                <w:rFonts w:ascii="Trebuchet MS" w:hAnsi="Trebuchet MS"/>
                <w:sz w:val="21"/>
                <w:szCs w:val="21"/>
              </w:rPr>
              <w:t>), 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r w:rsidR="00E91FB4" w:rsidRPr="00962D7C">
              <w:rPr>
                <w:rFonts w:ascii="Trebuchet MS" w:hAnsi="Trebuchet MS"/>
                <w:b/>
                <w:bCs/>
                <w:color w:val="000000" w:themeColor="text1"/>
                <w:sz w:val="21"/>
                <w:szCs w:val="21"/>
                <w:highlight w:val="yellow"/>
              </w:rPr>
              <w:t>[Nota Riza: Lote 5, já temos conta?]</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 xml:space="preserve">Instrumento Particular de Alienação Fiduciária de Quotas em Garantia </w:t>
            </w:r>
            <w:r w:rsidRPr="009D383E">
              <w:rPr>
                <w:rFonts w:ascii="Trebuchet MS" w:hAnsi="Trebuchet MS" w:cs="Trebuchet MS"/>
                <w:i/>
                <w:color w:val="000000"/>
                <w:sz w:val="21"/>
                <w:szCs w:val="21"/>
              </w:rPr>
              <w:lastRenderedPageBreak/>
              <w:t>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7116F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 xml:space="preserve">stado de São Paulo, na Rua Joaquim Floriano, nº 100, 5º andar,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088DF04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24FD8D7E"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13566C4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753027FE"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38079BB1"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0EF401A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5A26D1C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Data do Resgate Antecipado </w:t>
            </w:r>
            <w:r w:rsidRPr="009D383E">
              <w:rPr>
                <w:rFonts w:ascii="Trebuchet MS" w:hAnsi="Trebuchet MS" w:cs="Trebuchet MS"/>
                <w:sz w:val="21"/>
                <w:szCs w:val="21"/>
                <w:u w:val="single"/>
              </w:rPr>
              <w:lastRenderedPageBreak/>
              <w:t>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lastRenderedPageBreak/>
              <w:t xml:space="preserve">Tem o significado que lhe é atribuído na cláusula 7.2.1.1 </w:t>
            </w:r>
            <w:r w:rsidR="009E6AB3" w:rsidRPr="009D383E">
              <w:rPr>
                <w:rFonts w:ascii="Trebuchet MS" w:hAnsi="Trebuchet MS"/>
                <w:bCs/>
                <w:sz w:val="21"/>
                <w:szCs w:val="21"/>
              </w:rPr>
              <w:lastRenderedPageBreak/>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43AA2FA4"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6C361E8D"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(iii)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6365552C"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1BF3DC11"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5213012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06D17E32"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7987C61F"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73777AD6"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w:t>
            </w:r>
            <w:r w:rsidRPr="009D383E">
              <w:rPr>
                <w:rFonts w:ascii="Trebuchet MS" w:hAnsi="Trebuchet MS" w:cs="Trebuchet MS"/>
                <w:bCs/>
                <w:sz w:val="21"/>
                <w:szCs w:val="21"/>
              </w:rPr>
              <w:lastRenderedPageBreak/>
              <w:t xml:space="preserve">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que afete a validade ou exequibilidade de qualquer previsão material estabelecida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0AC6DCF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5B86377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w:t>
            </w:r>
            <w:r w:rsidRPr="009D383E">
              <w:rPr>
                <w:rFonts w:ascii="Trebuchet MS" w:hAnsi="Trebuchet MS"/>
                <w:sz w:val="21"/>
                <w:szCs w:val="21"/>
              </w:rPr>
              <w:lastRenderedPageBreak/>
              <w:t xml:space="preserve">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devidamente autorizada a atuar como escriturador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w:t>
            </w:r>
            <w:r w:rsidRPr="009D383E">
              <w:rPr>
                <w:rFonts w:ascii="Trebuchet MS" w:hAnsi="Trebuchet MS" w:cs="Leelawadee UI"/>
                <w:sz w:val="21"/>
                <w:szCs w:val="21"/>
              </w:rPr>
              <w:lastRenderedPageBreak/>
              <w:t xml:space="preserve">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lastRenderedPageBreak/>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3F4812B1"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fldChar w:fldCharType="separate"/>
            </w:r>
            <w:r w:rsidR="00F27F18">
              <w:rPr>
                <w:rFonts w:ascii="Trebuchet MS" w:hAnsi="Trebuchet MS"/>
                <w:b/>
                <w:sz w:val="21"/>
                <w:szCs w:val="21"/>
              </w:rPr>
              <w:t>Erro! Fonte de referência não encontrada.</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22"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nos termos do 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23" w:name="_Hlk103331814"/>
            <w:bookmarkEnd w:id="22"/>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52C7B6B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Inhambuque, nºs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e na Rua Indiaroba, nºs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p>
        </w:tc>
      </w:tr>
      <w:bookmarkEnd w:id="23"/>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291EA8E6"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24"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24"/>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78F5B01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60B2CF54"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7BFBADB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U.S. Foreign Corrupt Practices Act of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UK Bribery Act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Normas Antilavagem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79F623B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15A540E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2844766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3811E83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1915E9EA"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4C346467"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(ii)</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w:t>
            </w:r>
            <w:r w:rsidRPr="009D383E">
              <w:rPr>
                <w:rFonts w:ascii="Trebuchet MS" w:hAnsi="Trebuchet MS"/>
                <w:sz w:val="21"/>
                <w:szCs w:val="21"/>
                <w:lang w:eastAsia="x-none"/>
              </w:rPr>
              <w:lastRenderedPageBreak/>
              <w:t xml:space="preserve">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48182867"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72A3C0C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6446F716"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42FF0A7C"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7A7A870A"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6DABB6C3"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F27F18">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1C1D4371"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78AF4A41"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 xml:space="preserve">que dispõe sobre o dever de verificação da adequação dos </w:t>
            </w:r>
            <w:r w:rsidRPr="009D383E">
              <w:rPr>
                <w:rFonts w:ascii="Trebuchet MS" w:hAnsi="Trebuchet MS"/>
                <w:color w:val="000000" w:themeColor="text1"/>
                <w:sz w:val="21"/>
                <w:szCs w:val="21"/>
              </w:rPr>
              <w:lastRenderedPageBreak/>
              <w:t>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458E9BF6"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27F18">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Ricardo Setton</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67561531"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Servicer</w:t>
            </w:r>
            <w:r>
              <w:rPr>
                <w:rFonts w:ascii="Trebuchet MS" w:hAnsi="Trebuchet MS" w:cs="Trebuchet MS"/>
                <w:sz w:val="21"/>
                <w:szCs w:val="21"/>
              </w:rPr>
              <w:t>”</w:t>
            </w:r>
          </w:p>
        </w:tc>
        <w:tc>
          <w:tcPr>
            <w:tcW w:w="3076" w:type="pct"/>
            <w:tcMar>
              <w:top w:w="28" w:type="dxa"/>
              <w:left w:w="28" w:type="dxa"/>
              <w:bottom w:w="28" w:type="dxa"/>
              <w:right w:w="28" w:type="dxa"/>
            </w:tcMar>
          </w:tcPr>
          <w:p w14:paraId="72799F13" w14:textId="7C682625" w:rsidR="00E21061" w:rsidRPr="009D383E" w:rsidRDefault="00E21061"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62D7C">
              <w:rPr>
                <w:rFonts w:ascii="Trebuchet MS" w:hAnsi="Trebuchet MS"/>
                <w:color w:val="000000" w:themeColor="text1"/>
                <w:sz w:val="21"/>
                <w:szCs w:val="21"/>
                <w:highlight w:val="yellow"/>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qual(is)quer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b/>
                <w:bCs/>
                <w:sz w:val="21"/>
                <w:szCs w:val="21"/>
                <w:highlight w:val="yellow"/>
              </w:rPr>
              <w:t>[SPE Pintassilgo]</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Simei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Simei de Britto Gomes Safatle</w:t>
            </w:r>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6FBE8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w:t>
            </w:r>
            <w:r w:rsidRPr="009D383E">
              <w:rPr>
                <w:rFonts w:ascii="Trebuchet MS" w:hAnsi="Trebuchet MS" w:cs="Tahoma"/>
                <w:i/>
                <w:sz w:val="21"/>
                <w:szCs w:val="21"/>
              </w:rPr>
              <w:lastRenderedPageBreak/>
              <w:t xml:space="preserve">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Pr="009D383E">
              <w:rPr>
                <w:rFonts w:ascii="Trebuchet MS" w:hAnsi="Trebuchet MS" w:cs="Tahoma"/>
                <w:i/>
                <w:sz w:val="21"/>
                <w:szCs w:val="21"/>
                <w:highlight w:val="yellow"/>
              </w:rPr>
              <w:t>[SPE Pintassilgo]</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r w:rsidR="003B717A">
              <w:rPr>
                <w:rFonts w:ascii="Trebuchet MS" w:hAnsi="Trebuchet MS"/>
                <w:sz w:val="21"/>
                <w:szCs w:val="21"/>
              </w:rPr>
              <w:t>ii</w:t>
            </w:r>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1E6CB8D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6BDEEFDD"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4BFBE51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2A7B5C2E"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198FE2FF"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4062ACE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27F18">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28D90769"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3319F0B6"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sidRPr="009D383E">
              <w:rPr>
                <w:rFonts w:ascii="Trebuchet MS" w:hAnsi="Trebuchet MS"/>
                <w:sz w:val="21"/>
                <w:szCs w:val="21"/>
                <w:u w:val="single"/>
              </w:rPr>
              <w:lastRenderedPageBreak/>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lastRenderedPageBreak/>
              <w:t xml:space="preserve">O Valor Nominal Unitário Indianópolis, acrescido das </w:t>
            </w:r>
            <w:r w:rsidRPr="009D383E">
              <w:rPr>
                <w:rFonts w:ascii="Trebuchet MS" w:hAnsi="Trebuchet MS"/>
                <w:bCs/>
                <w:sz w:val="21"/>
                <w:szCs w:val="21"/>
              </w:rPr>
              <w:lastRenderedPageBreak/>
              <w:t xml:space="preserve">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3F7CA34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27F18">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4061555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27F18">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as referências a quaisquer documentos ou instrumentos significam uma referência a tais documentos ou instrumentos da maneira que se encontrem em vigor, conforme aditados </w:t>
      </w:r>
      <w:r w:rsidRPr="00AA2991">
        <w:rPr>
          <w:rFonts w:ascii="Trebuchet MS" w:hAnsi="Trebuchet MS" w:cs="Tahoma"/>
          <w:sz w:val="21"/>
          <w:szCs w:val="21"/>
        </w:rPr>
        <w:lastRenderedPageBreak/>
        <w:t>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6" w:name="_Ref85107546"/>
      <w:bookmarkStart w:id="27"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8"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27"/>
      <w:bookmarkEnd w:id="28"/>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1CCBED74"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nas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F27F18">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9" w:name="_DV_M13"/>
      <w:bookmarkStart w:id="30" w:name="_Toc499990313"/>
      <w:bookmarkEnd w:id="29"/>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30"/>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31" w:name="_DV_M14"/>
      <w:bookmarkEnd w:id="31"/>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32"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72397E93"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33" w:name="_Ref92880625"/>
      <w:r w:rsidRPr="009D383E">
        <w:rPr>
          <w:color w:val="000000" w:themeColor="text1"/>
          <w:sz w:val="21"/>
          <w:szCs w:val="21"/>
        </w:rPr>
        <w:t xml:space="preserve">A presente </w:t>
      </w:r>
      <w:bookmarkStart w:id="34" w:name="_Hlk524912737"/>
      <w:r w:rsidRPr="009D383E">
        <w:rPr>
          <w:color w:val="000000" w:themeColor="text1"/>
          <w:sz w:val="21"/>
          <w:szCs w:val="21"/>
        </w:rPr>
        <w:t>Emissão</w:t>
      </w:r>
      <w:bookmarkStart w:id="35" w:name="_Hlk524912753"/>
      <w:bookmarkEnd w:id="34"/>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35"/>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r w:rsidR="006E39CC" w:rsidRPr="009D383E">
        <w:rPr>
          <w:color w:val="000000" w:themeColor="text1"/>
          <w:sz w:val="21"/>
          <w:szCs w:val="21"/>
        </w:rPr>
        <w:t>setembro</w:t>
      </w:r>
      <w:r w:rsidR="00E02E64"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32"/>
      <w:bookmarkEnd w:id="33"/>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xml:space="preserve">, bem como de seus termos e </w:t>
      </w:r>
      <w:r w:rsidRPr="009D383E">
        <w:rPr>
          <w:rFonts w:ascii="Trebuchet MS" w:hAnsi="Trebuchet MS"/>
          <w:sz w:val="21"/>
          <w:szCs w:val="21"/>
        </w:rPr>
        <w:lastRenderedPageBreak/>
        <w:t>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36"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67FC7694"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AB2522" w:rsidRPr="009D383E">
        <w:rPr>
          <w:color w:val="000000" w:themeColor="text1"/>
          <w:sz w:val="21"/>
          <w:szCs w:val="21"/>
        </w:rPr>
        <w:t>setembro</w:t>
      </w:r>
      <w:r w:rsidR="009C176C" w:rsidRPr="009D383E">
        <w:rPr>
          <w:color w:val="000000" w:themeColor="text1"/>
          <w:sz w:val="21"/>
          <w:szCs w:val="21"/>
        </w:rPr>
        <w:t xml:space="preserve"> 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36"/>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37"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Maracatins,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37"/>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38"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38"/>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39" w:name="_DV_M45"/>
      <w:bookmarkEnd w:id="39"/>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40"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w:t>
      </w:r>
      <w:r w:rsidR="007D584B" w:rsidRPr="009D383E">
        <w:rPr>
          <w:rFonts w:cs="Tahoma"/>
          <w:sz w:val="21"/>
          <w:szCs w:val="21"/>
        </w:rPr>
        <w:lastRenderedPageBreak/>
        <w:t xml:space="preserve">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40"/>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41"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41"/>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.pdf</w:t>
      </w:r>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lastRenderedPageBreak/>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.pdf</w:t>
      </w:r>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.pdf</w:t>
      </w:r>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74948939"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r w:rsidR="001D0E64" w:rsidRPr="00E675A1">
        <w:rPr>
          <w:b/>
          <w:bCs/>
          <w:sz w:val="21"/>
          <w:szCs w:val="21"/>
          <w:highlight w:val="yellow"/>
        </w:rPr>
        <w:t xml:space="preserve">[Nota PMK: Solicitação de </w:t>
      </w:r>
      <w:r w:rsidR="001D0E64" w:rsidRPr="00E675A1">
        <w:rPr>
          <w:b/>
          <w:bCs/>
          <w:sz w:val="21"/>
          <w:szCs w:val="21"/>
          <w:highlight w:val="yellow"/>
        </w:rPr>
        <w:lastRenderedPageBreak/>
        <w:t>alteração de prazo da parte da CPSec]</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42" w:name="_DV_M41"/>
      <w:bookmarkStart w:id="43" w:name="_DV_M46"/>
      <w:bookmarkStart w:id="44" w:name="_DV_M47"/>
      <w:bookmarkEnd w:id="42"/>
      <w:bookmarkEnd w:id="43"/>
      <w:bookmarkEnd w:id="44"/>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45" w:name="_DV_M49"/>
      <w:bookmarkEnd w:id="45"/>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4C0E3323"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0573D" w:rsidRPr="009D383E">
        <w:rPr>
          <w:sz w:val="21"/>
          <w:szCs w:val="21"/>
          <w:highlight w:val="yellow"/>
        </w:rPr>
        <w:t>[</w:t>
      </w:r>
      <w:r w:rsidR="00C0573D">
        <w:rPr>
          <w:sz w:val="21"/>
          <w:szCs w:val="21"/>
          <w:highlight w:val="yellow"/>
        </w:rPr>
        <w:t>100.000.000,00</w:t>
      </w:r>
      <w:r w:rsidR="00C0573D" w:rsidRPr="009D383E">
        <w:rPr>
          <w:sz w:val="21"/>
          <w:szCs w:val="21"/>
          <w:highlight w:val="yellow"/>
        </w:rPr>
        <w:t>]</w:t>
      </w:r>
      <w:r w:rsidR="00C0573D" w:rsidRPr="009D383E">
        <w:rPr>
          <w:sz w:val="21"/>
          <w:szCs w:val="21"/>
        </w:rPr>
        <w:t xml:space="preserve"> (</w:t>
      </w:r>
      <w:r w:rsidR="00C0573D" w:rsidRPr="009D383E">
        <w:rPr>
          <w:sz w:val="21"/>
          <w:szCs w:val="21"/>
          <w:highlight w:val="yellow"/>
        </w:rPr>
        <w:t>[</w:t>
      </w:r>
      <w:r w:rsidR="00C0573D">
        <w:rPr>
          <w:sz w:val="21"/>
          <w:szCs w:val="21"/>
          <w:highlight w:val="yellow"/>
        </w:rPr>
        <w:t>cem milhões de reais</w:t>
      </w:r>
      <w:r w:rsidR="00C0573D" w:rsidRPr="009D383E">
        <w:rPr>
          <w:sz w:val="21"/>
          <w:szCs w:val="21"/>
          <w:highlight w:val="yellow"/>
        </w:rPr>
        <w:t>]</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46" w:name="_DV_M52"/>
      <w:bookmarkEnd w:id="46"/>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47"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52" w:name="_Ref92905796"/>
      <w:bookmarkStart w:id="53" w:name="_Ref92916403"/>
      <w:bookmarkStart w:id="54" w:name="_Ref99967900"/>
      <w:r w:rsidRPr="009D383E">
        <w:rPr>
          <w:rFonts w:cs="Tahoma"/>
          <w:b/>
          <w:kern w:val="20"/>
          <w:sz w:val="21"/>
          <w:szCs w:val="21"/>
        </w:rPr>
        <w:t>Destinação dos Recursos</w:t>
      </w:r>
      <w:bookmarkEnd w:id="52"/>
      <w:bookmarkEnd w:id="53"/>
      <w:bookmarkEnd w:id="54"/>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57CC9DE8"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55"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 xml:space="preserve">os </w:t>
      </w:r>
      <w:r w:rsidRPr="009D383E">
        <w:rPr>
          <w:rFonts w:cstheme="minorHAnsi"/>
          <w:sz w:val="21"/>
          <w:szCs w:val="21"/>
        </w:rPr>
        <w:lastRenderedPageBreak/>
        <w:t>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55"/>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6AAAA508"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27F18">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7C3C6CA7"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Pr="00962D7C">
        <w:rPr>
          <w:rFonts w:cs="Tahoma"/>
          <w:sz w:val="21"/>
          <w:szCs w:val="21"/>
          <w:highlight w:val="yellow"/>
        </w:rPr>
        <w:t>[=]</w:t>
      </w:r>
      <w:r w:rsidRPr="003343D7">
        <w:rPr>
          <w:rFonts w:cs="Tahoma"/>
          <w:sz w:val="21"/>
          <w:szCs w:val="21"/>
        </w:rPr>
        <w:t xml:space="preserve"> (</w:t>
      </w:r>
      <w:r w:rsidRPr="00E675A1">
        <w:rPr>
          <w:rFonts w:cs="Tahoma"/>
          <w:sz w:val="21"/>
          <w:szCs w:val="21"/>
          <w:highlight w:val="yellow"/>
        </w:rPr>
        <w:t>[=]</w:t>
      </w:r>
      <w:r w:rsidRPr="003343D7">
        <w:rPr>
          <w:rFonts w:cs="Tahoma"/>
          <w:sz w:val="21"/>
          <w:szCs w:val="21"/>
        </w:rPr>
        <w:t>). 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449D39B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56" w:name="_Hlk86932000"/>
      <w:bookmarkStart w:id="57" w:name="_Ref12256824"/>
      <w:bookmarkStart w:id="58" w:name="_Ref513016921"/>
      <w:bookmarkStart w:id="59" w:name="_Ref515020080"/>
      <w:bookmarkStart w:id="60" w:name="_DV_C74"/>
      <w:bookmarkStart w:id="61"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(ii)</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56"/>
      <w:r w:rsidR="00C32596" w:rsidRPr="009D383E">
        <w:rPr>
          <w:sz w:val="21"/>
          <w:szCs w:val="21"/>
        </w:rPr>
        <w:t xml:space="preserve">, tendo em vista a continuidade da obrigação deste com relação à verificação da Destinação </w:t>
      </w:r>
      <w:r w:rsidR="001E5ABD">
        <w:rPr>
          <w:sz w:val="21"/>
          <w:szCs w:val="21"/>
        </w:rPr>
        <w:t>Futura</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62"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w:t>
      </w:r>
      <w:r w:rsidRPr="009D383E">
        <w:rPr>
          <w:rFonts w:cs="Tahoma"/>
          <w:sz w:val="21"/>
          <w:szCs w:val="21"/>
        </w:rPr>
        <w:lastRenderedPageBreak/>
        <w:t xml:space="preserve">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(ii)</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62"/>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63" w:name="_Hlk79408236"/>
      <w:r w:rsidRPr="009D383E">
        <w:rPr>
          <w:rFonts w:cs="Tahoma"/>
          <w:sz w:val="21"/>
          <w:szCs w:val="21"/>
        </w:rPr>
        <w:t xml:space="preserve">a Titular das Notas Comerciais, </w:t>
      </w:r>
      <w:bookmarkStart w:id="64"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64"/>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65"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65"/>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63"/>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66"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66"/>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1B96FB91"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67"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27F18">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 xml:space="preserve">serão executadas considerando as normas específicas para </w:t>
      </w:r>
      <w:r w:rsidRPr="009D383E">
        <w:rPr>
          <w:rFonts w:cstheme="minorHAnsi"/>
          <w:sz w:val="21"/>
          <w:szCs w:val="21"/>
        </w:rPr>
        <w:lastRenderedPageBreak/>
        <w:t>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67"/>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68"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68"/>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57"/>
    <w:bookmarkEnd w:id="58"/>
    <w:bookmarkEnd w:id="59"/>
    <w:bookmarkEnd w:id="60"/>
    <w:bookmarkEnd w:id="61"/>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w:t>
      </w:r>
      <w:r w:rsidRPr="009D383E">
        <w:rPr>
          <w:rFonts w:cs="Tahoma"/>
          <w:kern w:val="20"/>
          <w:sz w:val="21"/>
          <w:szCs w:val="21"/>
        </w:rPr>
        <w:lastRenderedPageBreak/>
        <w:t xml:space="preserve">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69"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w:t>
      </w:r>
      <w:r w:rsidRPr="009D383E">
        <w:rPr>
          <w:rFonts w:cs="Tahoma"/>
          <w:kern w:val="20"/>
          <w:sz w:val="21"/>
          <w:szCs w:val="21"/>
        </w:rPr>
        <w:lastRenderedPageBreak/>
        <w:t xml:space="preserve">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69"/>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70"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70"/>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71"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71"/>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411335D3" w:rsidR="00B44CAE" w:rsidRPr="009D383E" w:rsidRDefault="00B44CAE" w:rsidP="00AA2991">
      <w:pPr>
        <w:pStyle w:val="Nvel111a1"/>
        <w:widowControl w:val="0"/>
        <w:spacing w:line="320" w:lineRule="exact"/>
        <w:ind w:left="709" w:hanging="709"/>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F26AA5">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1904AA0F" w:rsidR="001F7D59" w:rsidRPr="009D383E" w:rsidRDefault="001F7D59" w:rsidP="00F26AA5">
      <w:pPr>
        <w:pStyle w:val="Nvel111a1"/>
        <w:widowControl w:val="0"/>
        <w:tabs>
          <w:tab w:val="left" w:pos="1134"/>
        </w:tabs>
        <w:spacing w:line="320" w:lineRule="exact"/>
        <w:ind w:left="709" w:hanging="709"/>
        <w:contextualSpacing/>
        <w:rPr>
          <w:sz w:val="21"/>
          <w:szCs w:val="21"/>
        </w:rPr>
      </w:pPr>
      <w:bookmarkStart w:id="72"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F26AA5">
      <w:pPr>
        <w:pStyle w:val="Nvel111a1"/>
        <w:widowControl w:val="0"/>
        <w:numPr>
          <w:ilvl w:val="0"/>
          <w:numId w:val="0"/>
        </w:numPr>
        <w:spacing w:line="320" w:lineRule="exact"/>
        <w:rPr>
          <w:sz w:val="21"/>
          <w:szCs w:val="21"/>
        </w:rPr>
      </w:pPr>
    </w:p>
    <w:p w14:paraId="7F183A08" w14:textId="3B791B9C" w:rsidR="00F26AA5" w:rsidRPr="00F26AA5" w:rsidRDefault="00F26AA5" w:rsidP="00962D7C">
      <w:pPr>
        <w:pStyle w:val="Nvel111a1"/>
        <w:tabs>
          <w:tab w:val="clear" w:pos="2126"/>
          <w:tab w:val="num" w:pos="709"/>
        </w:tabs>
        <w:spacing w:line="320" w:lineRule="exact"/>
        <w:ind w:left="709" w:hanging="709"/>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(ii)</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(iii)</w:t>
      </w:r>
      <w:r w:rsidRPr="00F26AA5">
        <w:rPr>
          <w:sz w:val="21"/>
          <w:szCs w:val="21"/>
        </w:rPr>
        <w:t xml:space="preserve"> do Contrato de Cessão Fiduciária </w:t>
      </w:r>
      <w:r>
        <w:rPr>
          <w:sz w:val="21"/>
          <w:szCs w:val="21"/>
        </w:rPr>
        <w:t>Indianópolis</w:t>
      </w:r>
      <w:r w:rsidRPr="00F26AA5">
        <w:rPr>
          <w:sz w:val="21"/>
          <w:szCs w:val="21"/>
        </w:rPr>
        <w:t>;</w:t>
      </w:r>
    </w:p>
    <w:p w14:paraId="2A3EA815" w14:textId="77777777" w:rsidR="006225E4" w:rsidRDefault="006225E4" w:rsidP="00962D7C">
      <w:pPr>
        <w:pStyle w:val="PargrafodaLista"/>
        <w:spacing w:line="320" w:lineRule="exact"/>
        <w:rPr>
          <w:sz w:val="21"/>
          <w:szCs w:val="21"/>
        </w:rPr>
      </w:pPr>
    </w:p>
    <w:p w14:paraId="5EF8A701" w14:textId="5D24228D" w:rsidR="00AE0398" w:rsidRPr="009D383E" w:rsidRDefault="00AE0398" w:rsidP="00F26AA5">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1642C8">
        <w:rPr>
          <w:rFonts w:cs="Tahoma"/>
          <w:sz w:val="21"/>
          <w:szCs w:val="21"/>
        </w:rPr>
        <w:t>Lote 5</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r w:rsidR="00631209">
        <w:rPr>
          <w:sz w:val="21"/>
          <w:szCs w:val="21"/>
        </w:rPr>
        <w:t xml:space="preserve"> </w:t>
      </w:r>
    </w:p>
    <w:p w14:paraId="5D0CB075" w14:textId="77777777" w:rsidR="00AE0398" w:rsidRPr="009D383E" w:rsidRDefault="00AE0398" w:rsidP="00F26AA5">
      <w:pPr>
        <w:pStyle w:val="Nvel111a1"/>
        <w:widowControl w:val="0"/>
        <w:numPr>
          <w:ilvl w:val="0"/>
          <w:numId w:val="0"/>
        </w:numPr>
        <w:spacing w:line="320" w:lineRule="exact"/>
        <w:rPr>
          <w:sz w:val="21"/>
          <w:szCs w:val="21"/>
        </w:rPr>
      </w:pPr>
    </w:p>
    <w:bookmarkEnd w:id="72"/>
    <w:p w14:paraId="7D45D690" w14:textId="11EB4104" w:rsidR="007E561D" w:rsidRPr="009D383E" w:rsidRDefault="007E561D" w:rsidP="00F26AA5">
      <w:pPr>
        <w:pStyle w:val="Nvel111a1"/>
        <w:widowControl w:val="0"/>
        <w:spacing w:line="320" w:lineRule="exact"/>
        <w:ind w:left="709" w:hanging="709"/>
        <w:rPr>
          <w:sz w:val="21"/>
          <w:szCs w:val="21"/>
        </w:rPr>
      </w:pPr>
      <w:r w:rsidRPr="009D383E">
        <w:rPr>
          <w:sz w:val="21"/>
          <w:szCs w:val="21"/>
        </w:rPr>
        <w:lastRenderedPageBreak/>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62F42095"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6BD3A35F" w14:textId="77777777" w:rsidR="008860AA"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Normas Anti</w:t>
      </w:r>
      <w:r w:rsidR="00912343" w:rsidRPr="009D383E">
        <w:rPr>
          <w:sz w:val="21"/>
          <w:szCs w:val="21"/>
        </w:rPr>
        <w:t>l</w:t>
      </w:r>
      <w:r w:rsidR="002B2A35" w:rsidRPr="009D383E">
        <w:rPr>
          <w:sz w:val="21"/>
          <w:szCs w:val="21"/>
        </w:rPr>
        <w:t>avagem de Dinheiro, Legislação Socioambiental e LGPD</w:t>
      </w:r>
      <w:r w:rsidR="008860AA">
        <w:rPr>
          <w:sz w:val="21"/>
          <w:szCs w:val="21"/>
        </w:rPr>
        <w:t>; e</w:t>
      </w:r>
    </w:p>
    <w:p w14:paraId="312F5359" w14:textId="77777777" w:rsidR="008860AA" w:rsidRDefault="008860AA" w:rsidP="00962D7C">
      <w:pPr>
        <w:pStyle w:val="PargrafodaLista"/>
        <w:rPr>
          <w:sz w:val="21"/>
          <w:szCs w:val="21"/>
        </w:rPr>
      </w:pPr>
    </w:p>
    <w:p w14:paraId="3243AF0F" w14:textId="5AFF1D68" w:rsidR="0093005C" w:rsidRPr="009D383E" w:rsidRDefault="008860AA" w:rsidP="00AA2991">
      <w:pPr>
        <w:pStyle w:val="Nvel111a1"/>
        <w:widowControl w:val="0"/>
        <w:spacing w:line="320" w:lineRule="exact"/>
        <w:ind w:left="709" w:hanging="709"/>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legal opinion</w:t>
      </w:r>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73" w:name="_Ref6138938"/>
      <w:bookmarkStart w:id="74"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73"/>
      <w:bookmarkEnd w:id="74"/>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5FAF6DD4"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27F18">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w:t>
      </w:r>
      <w:r w:rsidR="002C7A44" w:rsidRPr="009D383E">
        <w:rPr>
          <w:sz w:val="21"/>
          <w:szCs w:val="21"/>
        </w:rPr>
        <w:lastRenderedPageBreak/>
        <w:t xml:space="preserve">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75" w:name="_Ref6146414"/>
      <w:bookmarkStart w:id="76"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75"/>
    <w:bookmarkEnd w:id="76"/>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7D9B2D43"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77" w:name="_Ref92889876"/>
      <w:bookmarkStart w:id="78"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075747"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77"/>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79" w:name="_DV_M82"/>
      <w:bookmarkStart w:id="80" w:name="_DV_M83"/>
      <w:bookmarkEnd w:id="79"/>
      <w:bookmarkEnd w:id="80"/>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435A7EA0"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1" w:name="_DV_M84"/>
      <w:bookmarkStart w:id="82" w:name="_DV_M85"/>
      <w:bookmarkEnd w:id="81"/>
      <w:bookmarkEnd w:id="82"/>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 </w:t>
      </w:r>
      <w:r w:rsidR="00BF72D7" w:rsidRPr="00962D7C">
        <w:rPr>
          <w:sz w:val="21"/>
          <w:szCs w:val="21"/>
          <w:highlight w:val="yellow"/>
        </w:rPr>
        <w:t>[</w:t>
      </w:r>
      <w:r w:rsidR="00CA32DF" w:rsidRPr="00962D7C">
        <w:rPr>
          <w:rFonts w:cstheme="minorHAnsi"/>
          <w:sz w:val="21"/>
          <w:szCs w:val="21"/>
          <w:highlight w:val="yellow"/>
        </w:rPr>
        <w:t>1.000,00</w:t>
      </w:r>
      <w:r w:rsidR="00BF72D7" w:rsidRPr="00962D7C">
        <w:rPr>
          <w:rFonts w:cstheme="minorHAnsi"/>
          <w:sz w:val="21"/>
          <w:szCs w:val="21"/>
          <w:highlight w:val="yellow"/>
        </w:rPr>
        <w:t>]</w:t>
      </w:r>
      <w:r w:rsidR="00CA32DF" w:rsidRPr="009D383E">
        <w:rPr>
          <w:sz w:val="21"/>
          <w:szCs w:val="21"/>
        </w:rPr>
        <w:t> (</w:t>
      </w:r>
      <w:r w:rsidR="00BF72D7" w:rsidRPr="00962D7C">
        <w:rPr>
          <w:sz w:val="21"/>
          <w:szCs w:val="21"/>
          <w:highlight w:val="yellow"/>
        </w:rPr>
        <w:t>[</w:t>
      </w:r>
      <w:r w:rsidR="00CA32DF" w:rsidRPr="00962D7C">
        <w:rPr>
          <w:rFonts w:cstheme="minorHAnsi"/>
          <w:sz w:val="21"/>
          <w:szCs w:val="21"/>
          <w:highlight w:val="yellow"/>
        </w:rPr>
        <w:t>um mil reais</w:t>
      </w:r>
      <w:r w:rsidR="00BF72D7" w:rsidRPr="00962D7C">
        <w:rPr>
          <w:rFonts w:cstheme="minorHAnsi"/>
          <w:sz w:val="21"/>
          <w:szCs w:val="21"/>
          <w:highlight w:val="yellow"/>
        </w:rPr>
        <w:t>]</w:t>
      </w:r>
      <w:r w:rsidR="00CA32DF" w:rsidRPr="009D383E">
        <w:rPr>
          <w:sz w:val="21"/>
          <w:szCs w:val="21"/>
        </w:rPr>
        <w:t xml:space="preserve">), </w:t>
      </w:r>
      <w:r w:rsidRPr="009D383E">
        <w:rPr>
          <w:sz w:val="21"/>
          <w:szCs w:val="21"/>
        </w:rPr>
        <w:t>na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12EAC206"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3" w:name="_DV_M93"/>
      <w:bookmarkEnd w:id="83"/>
      <w:r w:rsidRPr="009D383E">
        <w:rPr>
          <w:sz w:val="21"/>
          <w:szCs w:val="21"/>
          <w:u w:val="single"/>
        </w:rPr>
        <w:t>Quantidade de Notas Comerciais</w:t>
      </w:r>
      <w:r w:rsidRPr="009D383E">
        <w:rPr>
          <w:sz w:val="21"/>
          <w:szCs w:val="21"/>
        </w:rPr>
        <w:t xml:space="preserve">: Serão emitidas </w:t>
      </w:r>
      <w:bookmarkStart w:id="84" w:name="_DV_M97"/>
      <w:bookmarkStart w:id="85" w:name="_DV_M94"/>
      <w:bookmarkStart w:id="86" w:name="_DV_M95"/>
      <w:bookmarkStart w:id="87" w:name="_DV_M96"/>
      <w:bookmarkEnd w:id="84"/>
      <w:bookmarkEnd w:id="85"/>
      <w:bookmarkEnd w:id="86"/>
      <w:bookmarkEnd w:id="87"/>
      <w:r w:rsidR="00BF72D7" w:rsidRPr="009D383E">
        <w:rPr>
          <w:rFonts w:cstheme="minorHAnsi"/>
          <w:sz w:val="21"/>
          <w:szCs w:val="21"/>
          <w:highlight w:val="yellow"/>
        </w:rPr>
        <w:t>[</w:t>
      </w:r>
      <w:r w:rsidR="00BF72D7">
        <w:rPr>
          <w:rFonts w:cstheme="minorHAnsi"/>
          <w:sz w:val="21"/>
          <w:szCs w:val="21"/>
          <w:highlight w:val="yellow"/>
        </w:rPr>
        <w:t>100.000</w:t>
      </w:r>
      <w:r w:rsidR="00BF72D7" w:rsidRPr="009D383E">
        <w:rPr>
          <w:rFonts w:cstheme="minorHAnsi"/>
          <w:sz w:val="21"/>
          <w:szCs w:val="21"/>
          <w:highlight w:val="yellow"/>
        </w:rPr>
        <w:t>]</w:t>
      </w:r>
      <w:r w:rsidR="00BF72D7" w:rsidRPr="009D383E">
        <w:rPr>
          <w:sz w:val="21"/>
          <w:szCs w:val="21"/>
        </w:rPr>
        <w:t xml:space="preserve"> (</w:t>
      </w:r>
      <w:r w:rsidR="00BF72D7" w:rsidRPr="009D383E">
        <w:rPr>
          <w:rFonts w:cstheme="minorHAnsi"/>
          <w:sz w:val="21"/>
          <w:szCs w:val="21"/>
          <w:highlight w:val="yellow"/>
        </w:rPr>
        <w:t>[</w:t>
      </w:r>
      <w:r w:rsidR="00BF72D7">
        <w:rPr>
          <w:rFonts w:cstheme="minorHAnsi"/>
          <w:sz w:val="21"/>
          <w:szCs w:val="21"/>
          <w:highlight w:val="yellow"/>
        </w:rPr>
        <w:t>cem mil</w:t>
      </w:r>
      <w:r w:rsidR="00BF72D7" w:rsidRPr="009D383E">
        <w:rPr>
          <w:rFonts w:cstheme="minorHAnsi"/>
          <w:sz w:val="21"/>
          <w:szCs w:val="21"/>
          <w:highlight w:val="yellow"/>
        </w:rPr>
        <w:t>]</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3DE06794"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88"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w:t>
      </w:r>
      <w:r w:rsidR="003F7C32"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r w:rsidR="0083096D" w:rsidRPr="009D383E">
        <w:rPr>
          <w:rFonts w:cstheme="minorHAnsi"/>
          <w:sz w:val="21"/>
          <w:szCs w:val="21"/>
          <w:highlight w:val="yellow"/>
        </w:rPr>
        <w:t>[=]</w:t>
      </w:r>
      <w:r w:rsidR="001D4C21" w:rsidRPr="009D383E">
        <w:rPr>
          <w:rFonts w:eastAsia="Arial Unicode MS"/>
          <w:sz w:val="21"/>
          <w:szCs w:val="21"/>
        </w:rPr>
        <w:t xml:space="preserve"> </w:t>
      </w:r>
      <w:r w:rsidR="0034300C" w:rsidRPr="009D383E">
        <w:rPr>
          <w:sz w:val="21"/>
          <w:szCs w:val="21"/>
        </w:rPr>
        <w:t xml:space="preserve">de </w:t>
      </w:r>
      <w:r w:rsidR="00D672A4">
        <w:rPr>
          <w:rFonts w:cstheme="minorHAnsi"/>
          <w:sz w:val="21"/>
          <w:szCs w:val="21"/>
        </w:rPr>
        <w:t>dezembro</w:t>
      </w:r>
      <w:r w:rsidR="00D672A4" w:rsidRPr="009D383E">
        <w:rPr>
          <w:rFonts w:cstheme="minorHAnsi"/>
          <w:sz w:val="21"/>
          <w:szCs w:val="21"/>
        </w:rPr>
        <w:t xml:space="preserve"> </w:t>
      </w:r>
      <w:r w:rsidR="0034300C" w:rsidRPr="009D383E">
        <w:rPr>
          <w:sz w:val="21"/>
          <w:szCs w:val="21"/>
        </w:rPr>
        <w:t xml:space="preserve">de </w:t>
      </w:r>
      <w:r w:rsidR="0063739F" w:rsidRPr="009D383E">
        <w:rPr>
          <w:sz w:val="21"/>
          <w:szCs w:val="21"/>
        </w:rPr>
        <w:t>20</w:t>
      </w:r>
      <w:r w:rsidR="00D672A4">
        <w:rPr>
          <w:rFonts w:cstheme="minorHAnsi"/>
          <w:sz w:val="21"/>
          <w:szCs w:val="21"/>
        </w:rPr>
        <w:t>26</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88"/>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89" w:name="_Ref83823428"/>
      <w:r w:rsidRPr="009D383E">
        <w:rPr>
          <w:rFonts w:cs="Tahoma"/>
          <w:sz w:val="21"/>
          <w:szCs w:val="21"/>
          <w:u w:val="single"/>
        </w:rPr>
        <w:t>Preço e Forma de Subscrição</w:t>
      </w:r>
      <w:r w:rsidRPr="009D383E">
        <w:rPr>
          <w:rFonts w:cs="Tahoma"/>
          <w:sz w:val="21"/>
          <w:szCs w:val="21"/>
        </w:rPr>
        <w:t xml:space="preserve">: </w:t>
      </w:r>
      <w:bookmarkStart w:id="90"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91" w:name="_Hlk103684823"/>
      <w:r w:rsidR="00D11E75" w:rsidRPr="009D383E">
        <w:rPr>
          <w:rFonts w:cs="Tahoma"/>
          <w:sz w:val="21"/>
          <w:szCs w:val="21"/>
        </w:rPr>
        <w:t xml:space="preserve">a verificação seja concluída </w:t>
      </w:r>
      <w:bookmarkEnd w:id="91"/>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(ii)</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 xml:space="preserve">Preço </w:t>
      </w:r>
      <w:r w:rsidRPr="009D383E">
        <w:rPr>
          <w:rFonts w:cs="Tahoma"/>
          <w:sz w:val="21"/>
          <w:szCs w:val="21"/>
          <w:u w:val="single"/>
        </w:rPr>
        <w:lastRenderedPageBreak/>
        <w:t>de Subscrição</w:t>
      </w:r>
      <w:r w:rsidRPr="009D383E">
        <w:rPr>
          <w:rFonts w:cs="Tahoma"/>
          <w:sz w:val="21"/>
          <w:szCs w:val="21"/>
        </w:rPr>
        <w:t>”)</w:t>
      </w:r>
      <w:bookmarkEnd w:id="90"/>
      <w:r w:rsidRPr="009D383E">
        <w:rPr>
          <w:rFonts w:cs="Tahoma"/>
          <w:sz w:val="21"/>
          <w:szCs w:val="21"/>
        </w:rPr>
        <w:t>.</w:t>
      </w:r>
      <w:bookmarkEnd w:id="89"/>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7FD0AD95"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92" w:name="_DV_M141"/>
      <w:bookmarkStart w:id="93" w:name="_Ref83816054"/>
      <w:bookmarkEnd w:id="92"/>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à vista, na data da subscrição das Notas Comerciais</w:t>
      </w:r>
      <w:r w:rsidR="009F32B2" w:rsidRPr="009D383E">
        <w:rPr>
          <w:rFonts w:cs="Tahoma"/>
          <w:color w:val="000000"/>
          <w:kern w:val="20"/>
          <w:sz w:val="21"/>
          <w:szCs w:val="21"/>
        </w:rPr>
        <w:t xml:space="preserve"> </w:t>
      </w:r>
      <w:r w:rsidR="009F32B2" w:rsidRPr="009D383E">
        <w:rPr>
          <w:rFonts w:cs="Tahoma"/>
          <w:sz w:val="21"/>
          <w:szCs w:val="21"/>
        </w:rPr>
        <w:t>Indianópolis</w:t>
      </w:r>
      <w:r w:rsidR="00C92A5B" w:rsidRPr="009D383E">
        <w:rPr>
          <w:rFonts w:cstheme="minorHAnsi"/>
          <w:sz w:val="21"/>
          <w:szCs w:val="21"/>
        </w:rPr>
        <w:t xml:space="preserve"> (“</w:t>
      </w:r>
      <w:r w:rsidR="00C13A32" w:rsidRPr="009D383E">
        <w:rPr>
          <w:sz w:val="21"/>
          <w:szCs w:val="21"/>
          <w:u w:val="single"/>
        </w:rPr>
        <w:t>Data</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93"/>
      <w:r w:rsidR="00A14474">
        <w:rPr>
          <w:rFonts w:cs="Tahoma"/>
          <w:kern w:val="20"/>
          <w:sz w:val="21"/>
          <w:szCs w:val="21"/>
        </w:rPr>
        <w:t xml:space="preserve"> </w:t>
      </w:r>
      <w:r w:rsidR="00A14474" w:rsidRPr="00962D7C">
        <w:rPr>
          <w:rFonts w:cs="Tahoma"/>
          <w:b/>
          <w:bCs/>
          <w:kern w:val="20"/>
          <w:sz w:val="21"/>
          <w:szCs w:val="21"/>
          <w:highlight w:val="yellow"/>
        </w:rPr>
        <w:t>[Nota Lote 5: entendemos que a integralização se dará em 5 parcelas mensais no valor de R$ 20 milhões cada]</w:t>
      </w:r>
      <w:r w:rsidR="00670BCD">
        <w:rPr>
          <w:rFonts w:cs="Tahoma"/>
          <w:b/>
          <w:bCs/>
          <w:kern w:val="20"/>
          <w:sz w:val="21"/>
          <w:szCs w:val="21"/>
        </w:rPr>
        <w:t xml:space="preserve"> </w:t>
      </w:r>
      <w:r w:rsidR="00670BCD" w:rsidRPr="00962D7C">
        <w:rPr>
          <w:rFonts w:cs="Tahoma"/>
          <w:b/>
          <w:bCs/>
          <w:kern w:val="20"/>
          <w:sz w:val="21"/>
          <w:szCs w:val="21"/>
          <w:highlight w:val="yellow"/>
        </w:rPr>
        <w:t>[Nota PMK: Riza, por favor, validar]</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94" w:name="_DV_M92"/>
      <w:bookmarkStart w:id="95" w:name="_DV_M98"/>
      <w:bookmarkStart w:id="96" w:name="_DV_M99"/>
      <w:bookmarkStart w:id="97" w:name="_Ref85601569"/>
      <w:bookmarkStart w:id="98" w:name="_Toc499990343"/>
      <w:bookmarkEnd w:id="78"/>
      <w:bookmarkEnd w:id="94"/>
      <w:bookmarkEnd w:id="95"/>
      <w:bookmarkEnd w:id="96"/>
    </w:p>
    <w:p w14:paraId="03B47956" w14:textId="5644368E"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EE5342" w:rsidRPr="009D383E">
        <w:rPr>
          <w:sz w:val="21"/>
          <w:szCs w:val="21"/>
          <w:highlight w:val="yellow"/>
        </w:rPr>
        <w:t>[=]</w:t>
      </w:r>
      <w:r w:rsidRPr="009D383E">
        <w:rPr>
          <w:sz w:val="21"/>
          <w:szCs w:val="21"/>
        </w:rPr>
        <w:t xml:space="preserve"> (</w:t>
      </w:r>
      <w:r w:rsidR="00EE5342" w:rsidRPr="009D383E">
        <w:rPr>
          <w:sz w:val="21"/>
          <w:szCs w:val="21"/>
          <w:highlight w:val="yellow"/>
        </w:rPr>
        <w:t>[=]</w:t>
      </w:r>
      <w:r w:rsidRPr="009D383E">
        <w:rPr>
          <w:sz w:val="21"/>
          <w:szCs w:val="21"/>
        </w:rPr>
        <w:t xml:space="preserve">), 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535791" w:rsidRPr="009D383E">
        <w:rPr>
          <w:sz w:val="21"/>
          <w:szCs w:val="21"/>
          <w:highlight w:val="yellow"/>
        </w:rPr>
        <w:t>[=]</w:t>
      </w:r>
      <w:r w:rsidRPr="009D383E">
        <w:rPr>
          <w:sz w:val="21"/>
          <w:szCs w:val="21"/>
        </w:rPr>
        <w:t xml:space="preserve"> (</w:t>
      </w:r>
      <w:r w:rsidR="00535791" w:rsidRPr="009D383E">
        <w:rPr>
          <w:sz w:val="21"/>
          <w:szCs w:val="21"/>
          <w:highlight w:val="yellow"/>
        </w:rPr>
        <w:t>[=]</w:t>
      </w:r>
      <w:r w:rsidRPr="009D383E">
        <w:rPr>
          <w:color w:val="000000" w:themeColor="text1"/>
          <w:sz w:val="21"/>
          <w:szCs w:val="21"/>
        </w:rPr>
        <w:t>), 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99" w:name="_Ref83825548"/>
      <w:bookmarkStart w:id="100"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01"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w:t>
      </w:r>
      <w:r w:rsidR="00B20828" w:rsidRPr="009D383E">
        <w:rPr>
          <w:sz w:val="21"/>
          <w:szCs w:val="21"/>
        </w:rPr>
        <w:lastRenderedPageBreak/>
        <w:t xml:space="preserve">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01"/>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1733D16A" w:rsidR="000F15A0" w:rsidRPr="009D383E" w:rsidRDefault="000F15A0" w:rsidP="00AA2991">
      <w:pPr>
        <w:pStyle w:val="Nvel11a"/>
        <w:widowControl w:val="0"/>
        <w:numPr>
          <w:ilvl w:val="2"/>
          <w:numId w:val="74"/>
        </w:numPr>
        <w:spacing w:line="320" w:lineRule="exact"/>
        <w:ind w:left="709" w:hanging="709"/>
        <w:rPr>
          <w:sz w:val="21"/>
          <w:szCs w:val="21"/>
        </w:rPr>
      </w:pPr>
      <w:bookmarkStart w:id="102"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02"/>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5032DF0B"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03"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50,70</w:t>
      </w:r>
      <w:r w:rsidR="00B43C51" w:rsidRPr="009D383E">
        <w:rPr>
          <w:kern w:val="20"/>
          <w:sz w:val="21"/>
          <w:szCs w:val="21"/>
        </w:rPr>
        <w:t>% (</w:t>
      </w:r>
      <w:r w:rsidR="00B43C51">
        <w:rPr>
          <w:kern w:val="20"/>
          <w:sz w:val="21"/>
          <w:szCs w:val="21"/>
        </w:rPr>
        <w:t>cinquenta inteiros e setenta 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03"/>
      <w:r w:rsidR="001440CC" w:rsidRPr="009D383E">
        <w:rPr>
          <w:rFonts w:cs="Tahoma"/>
          <w:kern w:val="20"/>
          <w:sz w:val="21"/>
          <w:szCs w:val="21"/>
        </w:rPr>
        <w:t xml:space="preserve"> </w:t>
      </w:r>
      <w:r w:rsidR="001440CC" w:rsidRPr="00AA2991">
        <w:rPr>
          <w:rFonts w:cs="Tahoma"/>
          <w:b/>
          <w:bCs/>
          <w:kern w:val="20"/>
          <w:sz w:val="21"/>
          <w:szCs w:val="21"/>
          <w:highlight w:val="yellow"/>
        </w:rPr>
        <w:t xml:space="preserve">[Nota Riza: </w:t>
      </w:r>
      <w:r w:rsidR="004A3B18" w:rsidRPr="009D383E">
        <w:rPr>
          <w:rFonts w:cs="Tahoma"/>
          <w:b/>
          <w:bCs/>
          <w:kern w:val="20"/>
          <w:sz w:val="21"/>
          <w:szCs w:val="21"/>
          <w:highlight w:val="yellow"/>
        </w:rPr>
        <w:t xml:space="preserve">Revisar </w:t>
      </w:r>
      <w:r w:rsidR="001440CC" w:rsidRPr="00AA2991">
        <w:rPr>
          <w:rFonts w:cs="Tahoma"/>
          <w:b/>
          <w:bCs/>
          <w:kern w:val="20"/>
          <w:sz w:val="21"/>
          <w:szCs w:val="21"/>
          <w:highlight w:val="yellow"/>
        </w:rPr>
        <w:t>número conforme desembolso e área</w:t>
      </w:r>
      <w:r w:rsidR="007738DE">
        <w:rPr>
          <w:rFonts w:cs="Tahoma"/>
          <w:b/>
          <w:bCs/>
          <w:kern w:val="20"/>
          <w:sz w:val="21"/>
          <w:szCs w:val="21"/>
          <w:highlight w:val="yellow"/>
        </w:rPr>
        <w:t xml:space="preserve"> – bater com área privativa e demais premissas</w:t>
      </w:r>
      <w:r w:rsidR="001440CC" w:rsidRPr="00AA2991">
        <w:rPr>
          <w:rFonts w:cs="Tahoma"/>
          <w:b/>
          <w:bCs/>
          <w:kern w:val="20"/>
          <w:sz w:val="21"/>
          <w:szCs w:val="21"/>
          <w:highlight w:val="yellow"/>
        </w:rPr>
        <w:t>]</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04"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04"/>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do </w:t>
      </w:r>
      <w:r w:rsidRPr="009D383E">
        <w:rPr>
          <w:sz w:val="21"/>
          <w:szCs w:val="21"/>
          <w:lang w:val="x-none"/>
        </w:rPr>
        <w:t xml:space="preserve">Plano </w:t>
      </w:r>
      <w:r w:rsidRPr="009D383E">
        <w:rPr>
          <w:sz w:val="21"/>
          <w:szCs w:val="21"/>
          <w:lang w:val="x-none"/>
        </w:rPr>
        <w:lastRenderedPageBreak/>
        <w:t>Empresário;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05"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r w:rsidR="00673F72" w:rsidRPr="009D383E">
        <w:rPr>
          <w:i/>
          <w:iCs/>
          <w:sz w:val="21"/>
          <w:szCs w:val="21"/>
          <w:lang w:val="x-none"/>
        </w:rPr>
        <w:t>gross-up</w:t>
      </w:r>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distratos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05"/>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06"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06"/>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7813035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10,50% (dez inteiros e cinquenta centésimos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71EB1C44"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10,50% (dez inteiros e cinquenta centésimos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6BC0F954" w:rsidR="00344B3E" w:rsidRDefault="00344B3E" w:rsidP="00344B3E">
      <w:pPr>
        <w:pStyle w:val="Nvel111"/>
        <w:numPr>
          <w:ilvl w:val="0"/>
          <w:numId w:val="72"/>
        </w:numPr>
        <w:tabs>
          <w:tab w:val="left" w:pos="2410"/>
        </w:tabs>
        <w:spacing w:line="320" w:lineRule="atLeast"/>
        <w:ind w:left="1843" w:firstLine="0"/>
        <w:rPr>
          <w:sz w:val="21"/>
          <w:szCs w:val="21"/>
        </w:rPr>
      </w:pPr>
      <w:bookmarkStart w:id="107"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w:t>
      </w:r>
      <w:r w:rsidRPr="005D195E">
        <w:rPr>
          <w:sz w:val="21"/>
          <w:szCs w:val="21"/>
          <w:u w:val="single"/>
        </w:rPr>
        <w:lastRenderedPageBreak/>
        <w:t>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r w:rsidRPr="003F6D09">
        <w:rPr>
          <w:sz w:val="21"/>
          <w:szCs w:val="21"/>
        </w:rPr>
        <w:t>12,68% (doze inteiros e sessenta e oito centésimos por cento) ao ano, acrescidos de IPCA, caso a variação seja positiva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Pr>
          <w:bCs/>
          <w:color w:val="000000" w:themeColor="text1"/>
          <w:sz w:val="21"/>
          <w:szCs w:val="21"/>
        </w:rPr>
        <w:t>Na hipótese de não adimplemento do Reajuste Aprovação</w:t>
      </w:r>
      <w:r w:rsidRPr="00D51F57">
        <w:rPr>
          <w:bCs/>
          <w:color w:val="000000" w:themeColor="text1"/>
          <w:sz w:val="21"/>
          <w:szCs w:val="21"/>
        </w:rPr>
        <w:t xml:space="preserve">, haverá um acréscimo de 3,0% (três por cento) </w:t>
      </w:r>
      <w:r>
        <w:rPr>
          <w:bCs/>
          <w:color w:val="000000" w:themeColor="text1"/>
          <w:sz w:val="21"/>
          <w:szCs w:val="21"/>
        </w:rPr>
        <w:t>ao</w:t>
      </w:r>
      <w:r w:rsidRPr="00D51F57">
        <w:rPr>
          <w:bCs/>
          <w:color w:val="000000" w:themeColor="text1"/>
          <w:sz w:val="21"/>
          <w:szCs w:val="21"/>
        </w:rPr>
        <w:t xml:space="preserve"> ano, a ser calculado </w:t>
      </w:r>
      <w:r w:rsidRPr="00D14FD1">
        <w:rPr>
          <w:bCs/>
          <w:color w:val="000000" w:themeColor="text1"/>
          <w:sz w:val="21"/>
          <w:szCs w:val="21"/>
        </w:rPr>
        <w:t>com base n</w:t>
      </w:r>
      <w:r w:rsidRPr="00D51F57">
        <w:rPr>
          <w:bCs/>
          <w:color w:val="000000" w:themeColor="text1"/>
          <w:sz w:val="21"/>
          <w:szCs w:val="21"/>
        </w:rPr>
        <w:t xml:space="preserve">o </w:t>
      </w:r>
      <w:r w:rsidRPr="00D14FD1">
        <w:rPr>
          <w:bCs/>
          <w:color w:val="000000" w:themeColor="text1"/>
          <w:sz w:val="21"/>
          <w:szCs w:val="21"/>
        </w:rPr>
        <w:t>s</w:t>
      </w:r>
      <w:r w:rsidRPr="00D51F57">
        <w:rPr>
          <w:bCs/>
          <w:color w:val="000000" w:themeColor="text1"/>
          <w:sz w:val="21"/>
          <w:szCs w:val="21"/>
        </w:rPr>
        <w:t xml:space="preserve">aldo </w:t>
      </w:r>
      <w:r w:rsidRPr="00D14FD1">
        <w:rPr>
          <w:bCs/>
          <w:color w:val="000000" w:themeColor="text1"/>
          <w:sz w:val="21"/>
          <w:szCs w:val="21"/>
        </w:rPr>
        <w:t>d</w:t>
      </w:r>
      <w:r w:rsidRPr="00D51F57">
        <w:rPr>
          <w:bCs/>
          <w:color w:val="000000" w:themeColor="text1"/>
          <w:sz w:val="21"/>
          <w:szCs w:val="21"/>
        </w:rPr>
        <w:t xml:space="preserve">evedor </w:t>
      </w:r>
      <w:r w:rsidRPr="00D14FD1">
        <w:rPr>
          <w:bCs/>
          <w:color w:val="000000" w:themeColor="text1"/>
          <w:sz w:val="21"/>
          <w:szCs w:val="21"/>
        </w:rPr>
        <w:t>a</w:t>
      </w:r>
      <w:r w:rsidRPr="00D51F57">
        <w:rPr>
          <w:bCs/>
          <w:color w:val="000000" w:themeColor="text1"/>
          <w:sz w:val="21"/>
          <w:szCs w:val="21"/>
        </w:rPr>
        <w:t xml:space="preserve">tualizado da CCI </w:t>
      </w:r>
      <w:r>
        <w:rPr>
          <w:bCs/>
          <w:color w:val="000000" w:themeColor="text1"/>
          <w:sz w:val="21"/>
          <w:szCs w:val="21"/>
        </w:rPr>
        <w:t xml:space="preserve">NC </w:t>
      </w:r>
      <w:r w:rsidR="00224219">
        <w:rPr>
          <w:bCs/>
          <w:color w:val="000000" w:themeColor="text1"/>
          <w:sz w:val="21"/>
          <w:szCs w:val="21"/>
        </w:rPr>
        <w:t>Indianópolis</w:t>
      </w:r>
      <w:r>
        <w:rPr>
          <w:bCs/>
          <w:color w:val="000000" w:themeColor="text1"/>
          <w:sz w:val="21"/>
          <w:szCs w:val="21"/>
        </w:rPr>
        <w:t xml:space="preserve"> </w:t>
      </w:r>
      <w:r w:rsidRPr="00D51F57">
        <w:rPr>
          <w:bCs/>
          <w:color w:val="000000" w:themeColor="text1"/>
          <w:sz w:val="21"/>
          <w:szCs w:val="21"/>
        </w:rPr>
        <w:t>na data de notificação do descumprimento</w:t>
      </w:r>
      <w:r w:rsidRPr="00D14FD1">
        <w:rPr>
          <w:bCs/>
          <w:color w:val="000000" w:themeColor="text1"/>
          <w:sz w:val="21"/>
          <w:szCs w:val="21"/>
        </w:rPr>
        <w:t xml:space="preserve"> do </w:t>
      </w:r>
      <w:r>
        <w:rPr>
          <w:bCs/>
          <w:color w:val="000000" w:themeColor="text1"/>
          <w:sz w:val="21"/>
          <w:szCs w:val="21"/>
        </w:rPr>
        <w:t>Reajuste Aprovação</w:t>
      </w:r>
      <w:r w:rsidRPr="00D51F57">
        <w:rPr>
          <w:bCs/>
          <w:color w:val="000000" w:themeColor="text1"/>
          <w:sz w:val="21"/>
          <w:szCs w:val="21"/>
        </w:rPr>
        <w:t xml:space="preserve">, </w:t>
      </w:r>
      <w:r w:rsidRPr="00D14FD1">
        <w:rPr>
          <w:bCs/>
          <w:i/>
          <w:iCs/>
          <w:color w:val="000000" w:themeColor="text1"/>
          <w:sz w:val="21"/>
          <w:szCs w:val="21"/>
        </w:rPr>
        <w:t>pro rata temporis</w:t>
      </w:r>
      <w:r w:rsidRPr="00D51F57">
        <w:rPr>
          <w:bCs/>
          <w:color w:val="000000" w:themeColor="text1"/>
          <w:sz w:val="21"/>
          <w:szCs w:val="21"/>
        </w:rPr>
        <w:t>, com base em um ano de 360 (trezentos e sessenta) dias, desde a data da referida notificação ou última Data de Aniversário até a data do efetivo pagamento</w:t>
      </w:r>
      <w:r w:rsidRPr="00D14FD1">
        <w:rPr>
          <w:bCs/>
          <w:color w:val="000000" w:themeColor="text1"/>
          <w:sz w:val="21"/>
          <w:szCs w:val="21"/>
        </w:rPr>
        <w:t xml:space="preserve">. 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Pr>
          <w:rFonts w:cs="Tahoma"/>
          <w:sz w:val="21"/>
          <w:szCs w:val="21"/>
        </w:rPr>
        <w:t xml:space="preserve">; </w:t>
      </w:r>
      <w:r w:rsidRPr="00E675A1">
        <w:rPr>
          <w:rFonts w:cs="Tahoma"/>
          <w:b/>
          <w:bCs/>
          <w:sz w:val="21"/>
          <w:szCs w:val="21"/>
          <w:highlight w:val="yellow"/>
        </w:rPr>
        <w:t>[Nota PMK: Riza, por favor, validar racional]</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B9BBF04"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r w:rsidR="00B125C9" w:rsidRPr="009D383E">
        <w:rPr>
          <w:b/>
          <w:bCs/>
          <w:sz w:val="21"/>
          <w:szCs w:val="21"/>
        </w:rPr>
        <w:t>ii.</w:t>
      </w:r>
      <w:r w:rsidRPr="009D383E">
        <w:rPr>
          <w:b/>
          <w:bCs/>
          <w:sz w:val="21"/>
          <w:szCs w:val="21"/>
        </w:rPr>
        <w:t>a)</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962D7C">
        <w:rPr>
          <w:sz w:val="21"/>
          <w:szCs w:val="21"/>
          <w:highlight w:val="yellow"/>
        </w:rPr>
        <w:t>12,68% (doze inteiros e sessenta e oito centésimos por cento)</w:t>
      </w:r>
      <w:r w:rsidR="005D10E9" w:rsidRPr="009D383E">
        <w:rPr>
          <w:sz w:val="21"/>
          <w:szCs w:val="21"/>
        </w:rPr>
        <w:t xml:space="preserve"> ao ano, acrescidos de IPCA, caso a variação seja positiva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r w:rsidR="004902D9" w:rsidRPr="009D383E">
        <w:rPr>
          <w:b/>
          <w:bCs/>
          <w:sz w:val="21"/>
          <w:szCs w:val="21"/>
        </w:rPr>
        <w:t>ii.</w:t>
      </w:r>
      <w:r w:rsidRPr="009D383E">
        <w:rPr>
          <w:b/>
          <w:bCs/>
          <w:sz w:val="21"/>
          <w:szCs w:val="21"/>
        </w:rPr>
        <w:t>b)</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07"/>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51662CCE"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278.269.447,68</w:t>
      </w:r>
      <w:r w:rsidR="007B1FCC" w:rsidRPr="009D383E">
        <w:rPr>
          <w:sz w:val="21"/>
          <w:szCs w:val="21"/>
        </w:rPr>
        <w:t xml:space="preserve"> (</w:t>
      </w:r>
      <w:r w:rsidR="004E3768" w:rsidRPr="009D383E">
        <w:rPr>
          <w:sz w:val="21"/>
          <w:szCs w:val="21"/>
        </w:rPr>
        <w:t>duzentos e setenta e oito milhões, duzentos e sessenta e nove mil, quatrocentos e quarenta e sete reais e sessenta e oito centavos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 xml:space="preserve">do VGV Líquido </w:t>
      </w:r>
      <w:r w:rsidR="0002382C" w:rsidRPr="009D383E">
        <w:rPr>
          <w:sz w:val="21"/>
          <w:szCs w:val="21"/>
        </w:rPr>
        <w:lastRenderedPageBreak/>
        <w:t>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18F0CC72"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49,3% será transferido para a Emissora em até 3 dias úteis da Data de Verificação do mês subsequente ou do recebimento do Relatório Mensal de Vendas das Unidades Autônomas Indianópolis, o que ocorrer primeiro. </w:t>
      </w:r>
      <w:r w:rsidRPr="00962D7C">
        <w:rPr>
          <w:b/>
          <w:bCs/>
          <w:sz w:val="21"/>
          <w:szCs w:val="21"/>
          <w:highlight w:val="yellow"/>
        </w:rPr>
        <w:t>[Nota PMK: Inclusão solicitada pela CPSec]</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08"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o Servicer,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08"/>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09"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09"/>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496CCBF7"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distratos firmados no </w:t>
      </w:r>
      <w:r w:rsidRPr="009D383E">
        <w:rPr>
          <w:sz w:val="21"/>
          <w:szCs w:val="21"/>
        </w:rPr>
        <w:lastRenderedPageBreak/>
        <w:t xml:space="preserve">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r w:rsidR="00B25E5C" w:rsidRPr="00E675A1">
        <w:rPr>
          <w:b/>
          <w:bCs/>
          <w:sz w:val="21"/>
          <w:szCs w:val="21"/>
          <w:highlight w:val="yellow"/>
        </w:rPr>
        <w:t>[Nota PMK: Solicitação de alteração de prazo da parte da CPSec]</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53075FCD"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r w:rsidR="00B25E5C" w:rsidRPr="00E675A1">
        <w:rPr>
          <w:b/>
          <w:bCs/>
          <w:sz w:val="21"/>
          <w:szCs w:val="21"/>
          <w:highlight w:val="yellow"/>
        </w:rPr>
        <w:t>[Nota PMK: Solicitação de alteração de prazo da parte da CPSec]</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77777777" w:rsidR="00F729C5" w:rsidRDefault="00F729C5" w:rsidP="00F729C5">
      <w:pPr>
        <w:pStyle w:val="Nvel11"/>
        <w:widowControl w:val="0"/>
        <w:tabs>
          <w:tab w:val="left" w:pos="709"/>
        </w:tabs>
        <w:spacing w:line="320" w:lineRule="exact"/>
        <w:rPr>
          <w:b/>
          <w:bCs/>
          <w:sz w:val="21"/>
          <w:szCs w:val="21"/>
        </w:rPr>
      </w:pPr>
      <w:r>
        <w:rPr>
          <w:b/>
          <w:bCs/>
          <w:sz w:val="21"/>
          <w:szCs w:val="21"/>
        </w:rPr>
        <w:t xml:space="preserve">Ordem de Prioridade de Pagamento </w:t>
      </w:r>
      <w:r w:rsidRPr="00E675A1">
        <w:rPr>
          <w:b/>
          <w:bCs/>
          <w:sz w:val="21"/>
          <w:szCs w:val="21"/>
          <w:highlight w:val="yellow"/>
          <w:u w:val="single"/>
        </w:rPr>
        <w:t>[Nota PMK: Inclusão solicitada pela CPSec]</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agamento da despesas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42F39088"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99"/>
    <w:bookmarkEnd w:id="100"/>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796A30F3" w:rsidR="00CD5F58" w:rsidRPr="009D383E" w:rsidRDefault="008F1D7A" w:rsidP="00AA2991">
      <w:pPr>
        <w:pStyle w:val="Nvel111"/>
        <w:widowControl w:val="0"/>
        <w:numPr>
          <w:ilvl w:val="2"/>
          <w:numId w:val="62"/>
        </w:numPr>
        <w:spacing w:line="320" w:lineRule="exact"/>
        <w:ind w:left="0" w:firstLine="0"/>
        <w:rPr>
          <w:sz w:val="21"/>
          <w:szCs w:val="21"/>
        </w:rPr>
      </w:pPr>
      <w:bookmarkStart w:id="110" w:name="_Ref88145436"/>
      <w:bookmarkStart w:id="111" w:name="_Ref97577923"/>
      <w:r w:rsidRPr="009D383E">
        <w:rPr>
          <w:sz w:val="21"/>
          <w:szCs w:val="21"/>
        </w:rPr>
        <w:t xml:space="preserve">O Valor </w:t>
      </w:r>
      <w:r w:rsidRPr="009D383E">
        <w:rPr>
          <w:rFonts w:cs="Tahoma"/>
          <w:color w:val="000000"/>
          <w:kern w:val="20"/>
          <w:sz w:val="21"/>
          <w:szCs w:val="21"/>
        </w:rPr>
        <w:t>Nominal</w:t>
      </w:r>
      <w:r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 </w:t>
      </w:r>
      <w:r w:rsidR="00066AD9" w:rsidRPr="009D383E">
        <w:rPr>
          <w:sz w:val="21"/>
          <w:szCs w:val="21"/>
        </w:rPr>
        <w:t>de forma exponencial</w:t>
      </w:r>
      <w:r w:rsidR="000D2411" w:rsidRPr="009D383E">
        <w:rPr>
          <w:sz w:val="21"/>
          <w:szCs w:val="21"/>
        </w:rPr>
        <w:t>, calculada</w:t>
      </w:r>
      <w:r w:rsidR="00066AD9" w:rsidRPr="009D383E">
        <w:rPr>
          <w:sz w:val="21"/>
          <w:szCs w:val="21"/>
        </w:rPr>
        <w:t xml:space="preserve"> </w:t>
      </w:r>
      <w:r w:rsidR="00066AD9" w:rsidRPr="009D383E">
        <w:rPr>
          <w:i/>
          <w:iCs/>
          <w:sz w:val="21"/>
          <w:szCs w:val="21"/>
        </w:rPr>
        <w:t>pro-rata temporis</w:t>
      </w:r>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97"/>
      <w:bookmarkEnd w:id="110"/>
      <w:bookmarkEnd w:id="111"/>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w:lastRenderedPageBreak/>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r w:rsidRPr="009D383E">
              <w:rPr>
                <w:rFonts w:ascii="Trebuchet MS" w:eastAsia="Arial Unicode MS" w:hAnsi="Trebuchet MS"/>
                <w:i/>
                <w:sz w:val="21"/>
                <w:szCs w:val="21"/>
              </w:rPr>
              <w:t>VNa</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r w:rsidRPr="009D383E">
              <w:rPr>
                <w:rFonts w:ascii="Trebuchet MS" w:eastAsia="Arial Unicode MS" w:hAnsi="Trebuchet MS"/>
                <w:i/>
                <w:sz w:val="21"/>
                <w:szCs w:val="21"/>
              </w:rPr>
              <w:t>VNe</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p w14:paraId="4B259953" w14:textId="7BB0AFD9" w:rsidR="00985405" w:rsidRPr="009D383E" w:rsidRDefault="008E3C03"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n = número total de números índices considerados na atualização, sendo “n” um número inteiro.</w:t>
      </w:r>
    </w:p>
    <w:p w14:paraId="606BD78E" w14:textId="77777777" w:rsidR="00985405" w:rsidRPr="009D383E" w:rsidRDefault="00985405"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519B2EA6" w14:textId="46764A88" w:rsidR="002B3EFD" w:rsidRPr="009D383E" w:rsidRDefault="002B3EFD" w:rsidP="002B3EFD">
            <w:pPr>
              <w:pStyle w:val="p0"/>
              <w:tabs>
                <w:tab w:val="clear" w:pos="720"/>
              </w:tabs>
              <w:spacing w:line="320" w:lineRule="exact"/>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112"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w:t>
      </w:r>
      <w:r w:rsidR="005E2756" w:rsidRPr="009D383E">
        <w:rPr>
          <w:sz w:val="21"/>
          <w:szCs w:val="21"/>
        </w:rPr>
        <w:lastRenderedPageBreak/>
        <w:t xml:space="preserve">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112"/>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700B4B6D" w:rsidR="009E44D9" w:rsidRPr="009D383E" w:rsidRDefault="009E44D9" w:rsidP="00AA2991">
      <w:pPr>
        <w:pStyle w:val="Nvel111"/>
        <w:widowControl w:val="0"/>
        <w:numPr>
          <w:ilvl w:val="2"/>
          <w:numId w:val="62"/>
        </w:numPr>
        <w:spacing w:line="320" w:lineRule="exact"/>
        <w:ind w:left="0" w:firstLine="0"/>
        <w:rPr>
          <w:rFonts w:cstheme="minorHAnsi"/>
          <w:sz w:val="21"/>
          <w:szCs w:val="21"/>
        </w:rPr>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5.3.1 acima a cada Período de 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113"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7C5996F8" w:rsidR="00CD5F58" w:rsidRPr="009D383E" w:rsidRDefault="003C3CC3" w:rsidP="00AA2991">
      <w:pPr>
        <w:pStyle w:val="Nvel111"/>
        <w:widowControl w:val="0"/>
        <w:numPr>
          <w:ilvl w:val="2"/>
          <w:numId w:val="61"/>
        </w:numPr>
        <w:spacing w:line="320" w:lineRule="exact"/>
        <w:ind w:left="0" w:firstLine="0"/>
        <w:rPr>
          <w:sz w:val="21"/>
          <w:szCs w:val="21"/>
        </w:rPr>
      </w:pPr>
      <w:bookmarkStart w:id="114" w:name="_Ref88143819"/>
      <w:r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de forma exponencial e cumulativa </w:t>
      </w:r>
      <w:r w:rsidR="00CD5F58" w:rsidRPr="009D383E">
        <w:rPr>
          <w:i/>
          <w:iCs/>
          <w:sz w:val="21"/>
          <w:szCs w:val="21"/>
        </w:rPr>
        <w:t>pro rata temporis</w:t>
      </w:r>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962D7C">
        <w:rPr>
          <w:sz w:val="21"/>
          <w:szCs w:val="21"/>
          <w:highlight w:val="yellow"/>
        </w:rPr>
        <w:t>1</w:t>
      </w:r>
      <w:r w:rsidR="00F87FDC" w:rsidRPr="00962D7C">
        <w:rPr>
          <w:sz w:val="21"/>
          <w:szCs w:val="21"/>
          <w:highlight w:val="yellow"/>
        </w:rPr>
        <w:t>2</w:t>
      </w:r>
      <w:r w:rsidR="00EA0DE6" w:rsidRPr="00962D7C">
        <w:rPr>
          <w:sz w:val="21"/>
          <w:szCs w:val="21"/>
          <w:highlight w:val="yellow"/>
        </w:rPr>
        <w:t>,</w:t>
      </w:r>
      <w:r w:rsidR="004D1AA0" w:rsidRPr="00962D7C">
        <w:rPr>
          <w:sz w:val="21"/>
          <w:szCs w:val="21"/>
          <w:highlight w:val="yellow"/>
        </w:rPr>
        <w:t>68</w:t>
      </w:r>
      <w:r w:rsidR="00C007E5" w:rsidRPr="00962D7C">
        <w:rPr>
          <w:sz w:val="21"/>
          <w:szCs w:val="21"/>
          <w:highlight w:val="yellow"/>
        </w:rPr>
        <w:t>% (</w:t>
      </w:r>
      <w:r w:rsidR="00FB6AAC" w:rsidRPr="00962D7C">
        <w:rPr>
          <w:sz w:val="21"/>
          <w:szCs w:val="21"/>
          <w:highlight w:val="yellow"/>
        </w:rPr>
        <w:t>doze inteiros e sessenta e oito centésimos por cento</w:t>
      </w:r>
      <w:r w:rsidR="00C007E5" w:rsidRPr="00962D7C">
        <w:rPr>
          <w:sz w:val="21"/>
          <w:szCs w:val="21"/>
          <w:highlight w:val="yellow"/>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113"/>
      <w:bookmarkEnd w:id="114"/>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na respectiva data de cálculo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r w:rsidRPr="009D383E">
              <w:rPr>
                <w:rFonts w:ascii="Trebuchet MS" w:eastAsia="Arial Unicode MS" w:hAnsi="Trebuchet MS"/>
                <w:i/>
                <w:sz w:val="21"/>
                <w:szCs w:val="21"/>
              </w:rPr>
              <w:t xml:space="preserve">VNa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w:lastRenderedPageBreak/>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37A2AE7" w:rsidR="00CD5F58" w:rsidRPr="009D383E" w:rsidRDefault="00EA0DE6" w:rsidP="00AA2991">
            <w:pPr>
              <w:pStyle w:val="p0"/>
              <w:tabs>
                <w:tab w:val="clear" w:pos="720"/>
              </w:tabs>
              <w:spacing w:line="320" w:lineRule="exact"/>
              <w:ind w:firstLine="0"/>
              <w:rPr>
                <w:rFonts w:ascii="Trebuchet MS" w:hAnsi="Trebuchet MS"/>
                <w:sz w:val="21"/>
                <w:szCs w:val="21"/>
              </w:rPr>
            </w:pPr>
            <w:r w:rsidRPr="00962D7C">
              <w:rPr>
                <w:rFonts w:ascii="Trebuchet MS" w:hAnsi="Trebuchet MS"/>
                <w:sz w:val="21"/>
                <w:szCs w:val="21"/>
                <w:highlight w:val="yellow"/>
              </w:rPr>
              <w:t>1</w:t>
            </w:r>
            <w:r w:rsidR="00FB6AAC" w:rsidRPr="00962D7C">
              <w:rPr>
                <w:rFonts w:ascii="Trebuchet MS" w:hAnsi="Trebuchet MS"/>
                <w:sz w:val="21"/>
                <w:szCs w:val="21"/>
                <w:highlight w:val="yellow"/>
              </w:rPr>
              <w:t>2</w:t>
            </w:r>
            <w:r w:rsidR="00314B11" w:rsidRPr="00962D7C">
              <w:rPr>
                <w:rFonts w:ascii="Trebuchet MS" w:hAnsi="Trebuchet MS"/>
                <w:sz w:val="21"/>
                <w:szCs w:val="21"/>
                <w:highlight w:val="yellow"/>
              </w:rPr>
              <w:t>,</w:t>
            </w:r>
            <w:r w:rsidR="00FB6AAC" w:rsidRPr="00962D7C">
              <w:rPr>
                <w:rFonts w:ascii="Trebuchet MS" w:hAnsi="Trebuchet MS"/>
                <w:sz w:val="21"/>
                <w:szCs w:val="21"/>
                <w:highlight w:val="yellow"/>
              </w:rPr>
              <w:t>68</w:t>
            </w:r>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1227FBFF" w:rsidR="00DF6607" w:rsidRPr="009D383E" w:rsidRDefault="00DF6607" w:rsidP="00AA2991">
      <w:pPr>
        <w:pStyle w:val="Nvel111"/>
        <w:widowControl w:val="0"/>
        <w:numPr>
          <w:ilvl w:val="2"/>
          <w:numId w:val="61"/>
        </w:numPr>
        <w:spacing w:line="320" w:lineRule="exact"/>
        <w:ind w:left="0" w:firstLine="0"/>
        <w:rPr>
          <w:rFonts w:cstheme="minorHAnsi"/>
          <w:sz w:val="21"/>
          <w:szCs w:val="21"/>
        </w:rPr>
      </w:pPr>
      <w:r w:rsidRPr="009D383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B6499D">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50DB9CB0"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416E255"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p>
    <w:p w14:paraId="0544DA27"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i-ésima parcela de amortização, em reais, calculado com 08 (oito) casas decimais, sem arredondamento;</w:t>
      </w:r>
    </w:p>
    <w:p w14:paraId="3D71C729"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VNa =</w:t>
      </w:r>
      <w:r w:rsidRPr="00E675A1">
        <w:rPr>
          <w:rFonts w:ascii="Trebuchet MS" w:hAnsi="Trebuchet MS" w:cstheme="minorHAnsi"/>
          <w:bCs/>
          <w:i/>
          <w:iCs/>
          <w:sz w:val="21"/>
          <w:szCs w:val="21"/>
        </w:rPr>
        <w:tab/>
        <w:t>Conforme definido acima;</w:t>
      </w:r>
    </w:p>
    <w:p w14:paraId="50F24430"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lastRenderedPageBreak/>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7CD1C3BE" w14:textId="77777777" w:rsidR="00B6499D" w:rsidRPr="00411C75" w:rsidRDefault="00B6499D" w:rsidP="00B6499D">
      <w:pPr>
        <w:pStyle w:val="sub"/>
        <w:tabs>
          <w:tab w:val="left" w:pos="-2340"/>
        </w:tabs>
        <w:spacing w:line="320" w:lineRule="exact"/>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164F5ADE"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7D5DC073"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i-ésima amortização, calculado com 08 (oito) casas decimais, sem arredondamento;</w:t>
      </w:r>
    </w:p>
    <w:p w14:paraId="10ACF8C3" w14:textId="77777777" w:rsidR="00B6499D" w:rsidRPr="00E675A1" w:rsidRDefault="00B6499D" w:rsidP="00B6499D">
      <w:pPr>
        <w:pStyle w:val="sub"/>
        <w:tabs>
          <w:tab w:val="left" w:pos="-2340"/>
        </w:tabs>
        <w:spacing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VNa =</w:t>
      </w:r>
      <w:r w:rsidRPr="00E675A1">
        <w:rPr>
          <w:rFonts w:ascii="Trebuchet MS" w:hAnsi="Trebuchet MS" w:cstheme="minorHAnsi"/>
          <w:bCs/>
          <w:i/>
          <w:iCs/>
          <w:sz w:val="21"/>
          <w:szCs w:val="21"/>
        </w:rPr>
        <w:tab/>
        <w:t>Conforme definido acima;</w:t>
      </w:r>
    </w:p>
    <w:p w14:paraId="56D0036A" w14:textId="77777777" w:rsidR="00B6499D" w:rsidRPr="00E675A1" w:rsidRDefault="00B6499D" w:rsidP="00B6499D">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r>
      <w:r w:rsidRPr="00E675A1">
        <w:rPr>
          <w:rFonts w:ascii="Trebuchet MS" w:hAnsi="Trebuchet MS" w:cstheme="minorHAnsi"/>
          <w:bCs/>
          <w:i/>
          <w:iCs/>
          <w:sz w:val="21"/>
          <w:szCs w:val="21"/>
        </w:rPr>
        <w:tab/>
        <w:t>Conforme definido acima.</w:t>
      </w:r>
    </w:p>
    <w:p w14:paraId="051FEAA7" w14:textId="77777777" w:rsidR="00B6499D" w:rsidRDefault="00B6499D" w:rsidP="00B6499D">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B1FF96E" w14:textId="3479C6C9" w:rsidR="00B6499D" w:rsidRPr="009D383E" w:rsidRDefault="00B6499D" w:rsidP="00B6499D">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i-ésima parcela de amortização, “SDR” assume o lugar de “VNe”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115"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115"/>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116"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6"/>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117" w:name="_Ref85145324"/>
      <w:r w:rsidRPr="009D383E">
        <w:rPr>
          <w:sz w:val="21"/>
          <w:szCs w:val="21"/>
        </w:rPr>
        <w:lastRenderedPageBreak/>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117"/>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118"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119"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19"/>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118"/>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120"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1"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121"/>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w:t>
      </w:r>
      <w:r w:rsidRPr="009D383E">
        <w:rPr>
          <w:sz w:val="21"/>
          <w:szCs w:val="21"/>
        </w:rPr>
        <w:lastRenderedPageBreak/>
        <w:t xml:space="preserve">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4351F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122"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bookmarkEnd w:id="122"/>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127C8DA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F27F18">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3"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123"/>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65E384D4"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F27F18">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4"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w:t>
      </w:r>
      <w:r w:rsidR="00181310" w:rsidRPr="009D383E">
        <w:rPr>
          <w:sz w:val="21"/>
          <w:szCs w:val="21"/>
        </w:rPr>
        <w:lastRenderedPageBreak/>
        <w:t>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124"/>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120"/>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125"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125"/>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26"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 xml:space="preserve">deverá notificar a Emissora, no prazo de até 3 (três) Dias Úteis contados da Data de </w:t>
      </w:r>
      <w:r w:rsidRPr="009D383E">
        <w:rPr>
          <w:rFonts w:cs="Tahoma"/>
          <w:kern w:val="20"/>
          <w:sz w:val="21"/>
          <w:szCs w:val="21"/>
        </w:rPr>
        <w:lastRenderedPageBreak/>
        <w:t>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126"/>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Pr="009D383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(ii)</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11EA721F"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p>
    <w:p w14:paraId="6A28D338" w14:textId="36109E8E" w:rsidR="001239B4" w:rsidRPr="00AA2991" w:rsidRDefault="001239B4" w:rsidP="00AA2991">
      <w:pPr>
        <w:pStyle w:val="Nvel11a1"/>
        <w:widowControl w:val="0"/>
        <w:numPr>
          <w:ilvl w:val="0"/>
          <w:numId w:val="0"/>
        </w:numPr>
        <w:spacing w:line="320" w:lineRule="exact"/>
        <w:rPr>
          <w:sz w:val="21"/>
          <w:szCs w:val="21"/>
        </w:rPr>
      </w:pPr>
    </w:p>
    <w:p w14:paraId="24FD7BEB" w14:textId="3573E4A0" w:rsidR="001B6926" w:rsidRPr="00023B1B" w:rsidRDefault="001B6926" w:rsidP="009D383E">
      <w:pPr>
        <w:pStyle w:val="PargrafodaLista"/>
        <w:widowControl w:val="0"/>
        <w:spacing w:line="320" w:lineRule="exact"/>
        <w:ind w:left="709"/>
        <w:rPr>
          <w:rFonts w:ascii="Cambria Math" w:hAnsi="Cambria Math"/>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do CRI+Saldo Devedor Plano Empresário+Obras a Incorrer</m:t>
              </m:r>
            </m:den>
          </m:f>
        </m:oMath>
      </m:oMathPara>
    </w:p>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3E896B32"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 </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xml:space="preserve">: = O Saldo Devedor das CCI vinculadas aos CRI da 1ª série da 4ª emissão da </w:t>
      </w:r>
      <w:r w:rsidRPr="00023B1B">
        <w:rPr>
          <w:rFonts w:ascii="Cambria Math" w:hAnsi="Cambria Math"/>
          <w:b w:val="0"/>
          <w:bCs/>
          <w:i/>
          <w:iCs/>
          <w:color w:val="000000" w:themeColor="text1"/>
          <w:sz w:val="18"/>
          <w:szCs w:val="18"/>
        </w:rPr>
        <w:lastRenderedPageBreak/>
        <w:t>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127" w:name="_Ref88145866"/>
      <w:bookmarkStart w:id="128"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3C7544F5"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29"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27F18">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29"/>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30" w:name="_Ref83824343"/>
      <w:bookmarkStart w:id="131"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(ii)</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xml:space="preserve">, sem prejuízo, </w:t>
      </w:r>
      <w:r w:rsidR="004A200D" w:rsidRPr="009D383E">
        <w:rPr>
          <w:rFonts w:cs="Tahoma"/>
          <w:sz w:val="21"/>
          <w:szCs w:val="21"/>
        </w:rPr>
        <w:lastRenderedPageBreak/>
        <w:t>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130"/>
      <w:bookmarkEnd w:id="131"/>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127"/>
    <w:bookmarkEnd w:id="128"/>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3388124D"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132"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r w:rsidR="00C745E6" w:rsidRPr="009D383E">
        <w:rPr>
          <w:rFonts w:cs="Tahoma"/>
          <w:sz w:val="21"/>
          <w:szCs w:val="21"/>
        </w:rPr>
        <w:t>sempre que forem creditados recursos na Conta Centralizadora</w:t>
      </w:r>
      <w:r w:rsidR="00136CAE" w:rsidRPr="009D383E">
        <w:rPr>
          <w:rFonts w:cs="Tahoma"/>
          <w:sz w:val="21"/>
          <w:szCs w:val="21"/>
        </w:rPr>
        <w:t xml:space="preserve"> </w:t>
      </w:r>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3"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33"/>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4" w:name="_Ref92916267"/>
      <w:bookmarkStart w:id="135" w:name="_Ref88145552"/>
      <w:r w:rsidRPr="009D383E">
        <w:rPr>
          <w:rFonts w:cs="Tahoma"/>
          <w:sz w:val="21"/>
          <w:szCs w:val="21"/>
        </w:rPr>
        <w:lastRenderedPageBreak/>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134"/>
      <w:bookmarkEnd w:id="135"/>
      <w:r w:rsidR="00530ECA" w:rsidRPr="009D383E">
        <w:rPr>
          <w:rFonts w:cs="Tahoma"/>
          <w:sz w:val="21"/>
          <w:szCs w:val="21"/>
        </w:rPr>
        <w:t xml:space="preserve"> </w:t>
      </w:r>
    </w:p>
    <w:bookmarkEnd w:id="132"/>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6" w:name="_Toc499990365"/>
      <w:bookmarkEnd w:id="98"/>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137"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138"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139" w:name="_DV_M270"/>
      <w:bookmarkEnd w:id="138"/>
      <w:bookmarkEnd w:id="139"/>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137"/>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0" w:name="_Hlk14900369"/>
      <w:r w:rsidRPr="009D383E">
        <w:rPr>
          <w:rFonts w:ascii="Trebuchet MS" w:hAnsi="Trebuchet MS" w:cs="Tahoma"/>
          <w:sz w:val="21"/>
          <w:szCs w:val="21"/>
        </w:rPr>
        <w:t xml:space="preserve">manter a sua contabilidade atualizada e efetuar os respectivos registros de acordo com </w:t>
      </w:r>
      <w:r w:rsidRPr="009D383E">
        <w:rPr>
          <w:rFonts w:ascii="Trebuchet MS" w:hAnsi="Trebuchet MS" w:cs="Tahoma"/>
          <w:sz w:val="21"/>
          <w:szCs w:val="21"/>
        </w:rPr>
        <w:lastRenderedPageBreak/>
        <w:t>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140"/>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1"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(ii)</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(iii) </w:t>
      </w:r>
      <w:r w:rsidRPr="009D383E">
        <w:rPr>
          <w:rFonts w:ascii="Trebuchet MS" w:hAnsi="Trebuchet MS" w:cs="Tahoma"/>
          <w:w w:val="0"/>
          <w:sz w:val="21"/>
          <w:szCs w:val="21"/>
        </w:rPr>
        <w:t xml:space="preserve">abster-se de praticar atos de corrupção e de agir de forma lesiva à administração pública, nacional e estrangeira, no seu interesse ou para seu benefício, exclusivo ou não, </w:t>
      </w:r>
      <w:r w:rsidRPr="009D383E">
        <w:rPr>
          <w:rFonts w:ascii="Trebuchet MS" w:hAnsi="Trebuchet MS" w:cs="Tahoma"/>
          <w:w w:val="0"/>
          <w:sz w:val="21"/>
          <w:szCs w:val="21"/>
        </w:rPr>
        <w:lastRenderedPageBreak/>
        <w:t>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2"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Normas 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2"/>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3"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143"/>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 xml:space="preserve">avagem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 xml:space="preserve">avagem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avagem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141"/>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02DAB6D6"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144"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do Plano Empresário,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144"/>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 xml:space="preserve">tributos, taxas, contribuições de qualquer natureza, encargos ou retenções, </w:t>
      </w:r>
      <w:r w:rsidRPr="009D383E">
        <w:rPr>
          <w:rFonts w:ascii="Trebuchet MS" w:hAnsi="Trebuchet MS" w:cs="Tahoma"/>
          <w:sz w:val="21"/>
          <w:szCs w:val="21"/>
        </w:rPr>
        <w:lastRenderedPageBreak/>
        <w:t>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145" w:name="_DV_M308"/>
      <w:bookmarkStart w:id="146" w:name="_DV_M309"/>
      <w:bookmarkStart w:id="147" w:name="_DV_M311"/>
      <w:bookmarkStart w:id="148" w:name="_DV_M312"/>
      <w:bookmarkStart w:id="149" w:name="_Toc474099873"/>
      <w:bookmarkStart w:id="150" w:name="_Toc474099875"/>
      <w:bookmarkStart w:id="151" w:name="_DV_M313"/>
      <w:bookmarkStart w:id="152" w:name="_DV_M314"/>
      <w:bookmarkStart w:id="153" w:name="_DV_M315"/>
      <w:bookmarkStart w:id="154" w:name="_DV_M316"/>
      <w:bookmarkStart w:id="155" w:name="_DV_M317"/>
      <w:bookmarkStart w:id="156" w:name="_DV_M318"/>
      <w:bookmarkStart w:id="157" w:name="_DV_M319"/>
      <w:bookmarkStart w:id="158" w:name="_DV_M320"/>
      <w:bookmarkStart w:id="159" w:name="_DV_M321"/>
      <w:bookmarkStart w:id="160" w:name="_DV_M322"/>
      <w:bookmarkStart w:id="161" w:name="_DV_M323"/>
      <w:bookmarkStart w:id="162" w:name="_DV_M324"/>
      <w:bookmarkStart w:id="163" w:name="_DV_M325"/>
      <w:bookmarkStart w:id="164" w:name="_DV_M326"/>
      <w:bookmarkStart w:id="165" w:name="_DV_M327"/>
      <w:bookmarkStart w:id="166" w:name="_DV_M328"/>
      <w:bookmarkStart w:id="167" w:name="_DV_M329"/>
      <w:bookmarkStart w:id="168" w:name="_DV_M330"/>
      <w:bookmarkStart w:id="169" w:name="_DV_M331"/>
      <w:bookmarkStart w:id="170" w:name="_DV_M332"/>
      <w:bookmarkStart w:id="171" w:name="_DV_M333"/>
      <w:bookmarkStart w:id="172" w:name="_DV_M334"/>
      <w:bookmarkStart w:id="173" w:name="_DV_M335"/>
      <w:bookmarkStart w:id="174" w:name="_DV_M336"/>
      <w:bookmarkStart w:id="175" w:name="_DV_M337"/>
      <w:bookmarkStart w:id="176" w:name="_DV_M338"/>
      <w:bookmarkStart w:id="177" w:name="_DV_M339"/>
      <w:bookmarkStart w:id="178" w:name="_DV_M340"/>
      <w:bookmarkStart w:id="179" w:name="_DV_M341"/>
      <w:bookmarkStart w:id="180" w:name="_DV_M342"/>
      <w:bookmarkStart w:id="181" w:name="_DV_M343"/>
      <w:bookmarkStart w:id="182" w:name="_DV_M344"/>
      <w:bookmarkStart w:id="183" w:name="_DV_M345"/>
      <w:bookmarkStart w:id="184" w:name="_DV_M346"/>
      <w:bookmarkStart w:id="185" w:name="_DV_M347"/>
      <w:bookmarkStart w:id="186" w:name="_DV_M348"/>
      <w:bookmarkStart w:id="187" w:name="_DV_M349"/>
      <w:bookmarkStart w:id="188" w:name="_DV_M350"/>
      <w:bookmarkStart w:id="189" w:name="_DV_M351"/>
      <w:bookmarkStart w:id="190" w:name="_DV_M352"/>
      <w:bookmarkStart w:id="191" w:name="_DV_M353"/>
      <w:bookmarkStart w:id="192" w:name="_DV_M354"/>
      <w:bookmarkStart w:id="193" w:name="_DV_M355"/>
      <w:bookmarkStart w:id="194" w:name="_DV_M356"/>
      <w:bookmarkStart w:id="195" w:name="_DV_M357"/>
      <w:bookmarkStart w:id="196" w:name="_DV_M358"/>
      <w:bookmarkStart w:id="197" w:name="_DV_M359"/>
      <w:bookmarkStart w:id="198" w:name="_DV_M360"/>
      <w:bookmarkStart w:id="199" w:name="_DV_M361"/>
      <w:bookmarkStart w:id="200" w:name="_DV_M362"/>
      <w:bookmarkStart w:id="201" w:name="_DV_M363"/>
      <w:bookmarkStart w:id="202" w:name="_DV_M364"/>
      <w:bookmarkStart w:id="203" w:name="_DV_M365"/>
      <w:bookmarkStart w:id="204" w:name="_DV_M366"/>
      <w:bookmarkStart w:id="205" w:name="_DV_M367"/>
      <w:bookmarkStart w:id="206" w:name="_DV_M368"/>
      <w:bookmarkStart w:id="207" w:name="_DV_M369"/>
      <w:bookmarkStart w:id="208" w:name="_DV_M370"/>
      <w:bookmarkStart w:id="209" w:name="_DV_M371"/>
      <w:bookmarkStart w:id="210" w:name="_DV_M372"/>
      <w:bookmarkStart w:id="211" w:name="_DV_M373"/>
      <w:bookmarkStart w:id="212" w:name="_DV_M374"/>
      <w:bookmarkStart w:id="213" w:name="_DV_M375"/>
      <w:bookmarkStart w:id="214" w:name="_DV_M376"/>
      <w:bookmarkStart w:id="215" w:name="_DV_M377"/>
      <w:bookmarkStart w:id="216" w:name="_DV_M378"/>
      <w:bookmarkStart w:id="217" w:name="_DV_M379"/>
      <w:bookmarkStart w:id="218" w:name="_DV_M380"/>
      <w:bookmarkStart w:id="219" w:name="_DV_M381"/>
      <w:bookmarkStart w:id="220" w:name="_DV_M382"/>
      <w:bookmarkStart w:id="221" w:name="_DV_M383"/>
      <w:bookmarkStart w:id="222" w:name="_DV_M384"/>
      <w:bookmarkStart w:id="223" w:name="_DV_M385"/>
      <w:bookmarkStart w:id="224" w:name="_DV_M386"/>
      <w:bookmarkStart w:id="225" w:name="_DV_M387"/>
      <w:bookmarkStart w:id="226" w:name="_DV_M388"/>
      <w:bookmarkStart w:id="227" w:name="_DV_M389"/>
      <w:bookmarkStart w:id="228" w:name="_DV_M390"/>
      <w:bookmarkStart w:id="229" w:name="_DV_M391"/>
      <w:bookmarkStart w:id="230" w:name="_DV_M392"/>
      <w:bookmarkStart w:id="231" w:name="_DV_M393"/>
      <w:bookmarkStart w:id="232" w:name="_DV_M394"/>
      <w:bookmarkStart w:id="233" w:name="_DV_M395"/>
      <w:bookmarkStart w:id="234" w:name="_DV_M396"/>
      <w:bookmarkStart w:id="235" w:name="_DV_M397"/>
      <w:bookmarkStart w:id="236" w:name="_DV_M398"/>
      <w:bookmarkStart w:id="237" w:name="_DV_M399"/>
      <w:bookmarkStart w:id="238" w:name="_DV_M400"/>
      <w:bookmarkStart w:id="239" w:name="_DV_M401"/>
      <w:bookmarkStart w:id="240" w:name="_DV_M402"/>
      <w:bookmarkStart w:id="241" w:name="_DV_M405"/>
      <w:bookmarkStart w:id="242" w:name="_DV_M406"/>
      <w:bookmarkStart w:id="243" w:name="_DV_M409"/>
      <w:bookmarkStart w:id="244" w:name="_DV_M410"/>
      <w:bookmarkStart w:id="245" w:name="_DV_M411"/>
      <w:bookmarkStart w:id="246" w:name="_DV_M412"/>
      <w:bookmarkStart w:id="247" w:name="_DV_M413"/>
      <w:bookmarkStart w:id="248" w:name="_DV_M414"/>
      <w:bookmarkStart w:id="249" w:name="_DV_M419"/>
      <w:bookmarkStart w:id="250" w:name="_DV_M42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251" w:name="_DV_M421"/>
      <w:bookmarkEnd w:id="251"/>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252" w:name="_DV_M422"/>
      <w:bookmarkEnd w:id="252"/>
      <w:r w:rsidRPr="009D383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(iv)</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w:t>
      </w:r>
      <w:r w:rsidRPr="009D383E">
        <w:rPr>
          <w:rFonts w:ascii="Trebuchet MS" w:hAnsi="Trebuchet MS" w:cs="Tahoma"/>
          <w:kern w:val="20"/>
          <w:sz w:val="21"/>
          <w:szCs w:val="21"/>
        </w:rPr>
        <w:lastRenderedPageBreak/>
        <w:t xml:space="preserve">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1300F2C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F27F18">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(ii)</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 xml:space="preserve">não foi citada, notificada ou intimada, até a presente data, sobre a existência de quaisquer procedimentos, inquéritos, investigações, notificações, comunicações, reclamações ou processos judiciais, administrativos ou arbitrais, de qualquer natureza, </w:t>
      </w:r>
      <w:r w:rsidRPr="009D383E">
        <w:rPr>
          <w:rFonts w:ascii="Trebuchet MS" w:eastAsia="Arial Unicode MS" w:hAnsi="Trebuchet MS" w:cs="Tahoma"/>
          <w:sz w:val="21"/>
          <w:szCs w:val="21"/>
        </w:rPr>
        <w:lastRenderedPageBreak/>
        <w:t>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 xml:space="preserve">(ii)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Normas 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7840CD86"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253" w:name="_Ref92907839"/>
      <w:bookmarkStart w:id="254"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F27F18">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253"/>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1533DF8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F27F18">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w:t>
      </w:r>
      <w:r w:rsidRPr="009D383E">
        <w:rPr>
          <w:rFonts w:ascii="Trebuchet MS" w:hAnsi="Trebuchet MS" w:cs="Tahoma"/>
          <w:sz w:val="21"/>
          <w:szCs w:val="21"/>
        </w:rPr>
        <w:lastRenderedPageBreak/>
        <w:t xml:space="preserve">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(ii)</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 xml:space="preserve">(ii)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(iii)</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(iv)</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E72B99B"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45 (quarenta e cinco)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r w:rsidR="00736B15">
        <w:rPr>
          <w:rFonts w:ascii="Trebuchet MS" w:hAnsi="Trebuchet MS" w:cs="Tahoma"/>
          <w:sz w:val="21"/>
          <w:szCs w:val="21"/>
        </w:rPr>
        <w:t xml:space="preserve"> </w:t>
      </w:r>
      <w:r w:rsidR="00736B15" w:rsidRPr="00962D7C">
        <w:rPr>
          <w:rFonts w:ascii="Trebuchet MS" w:hAnsi="Trebuchet MS" w:cs="Tahoma"/>
          <w:b/>
          <w:bCs/>
          <w:sz w:val="21"/>
          <w:szCs w:val="21"/>
          <w:highlight w:val="yellow"/>
        </w:rPr>
        <w:t>[Nota Lote 5: sugestão de deixar o prazo do RI para até 60 dias da aprovação do projeto, o que estaria em linha com o cronograma]</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lastRenderedPageBreak/>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(ii)</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5" w:name="_Ref220836873"/>
      <w:bookmarkStart w:id="256" w:name="_Ref137475230"/>
      <w:bookmarkStart w:id="257" w:name="_Ref220836881"/>
      <w:bookmarkEnd w:id="254"/>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 xml:space="preserve">avagem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(ii)</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(ii)</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w:t>
      </w:r>
      <w:r w:rsidR="00CB39B8" w:rsidRPr="009D383E">
        <w:rPr>
          <w:rFonts w:ascii="Trebuchet MS" w:hAnsi="Trebuchet MS"/>
          <w:sz w:val="21"/>
          <w:szCs w:val="21"/>
        </w:rPr>
        <w:lastRenderedPageBreak/>
        <w:t>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258" w:name="_Hlk518573901"/>
    </w:p>
    <w:bookmarkEnd w:id="258"/>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9"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ou caso quaisquer outras pessoas naturais venham a compartilhar o controle da Emissora com os Sócios Controladores Finais da Emissora</w:t>
      </w:r>
      <w:r w:rsidRPr="009D383E">
        <w:rPr>
          <w:rFonts w:ascii="Trebuchet MS" w:hAnsi="Trebuchet MS" w:cs="Tahoma"/>
          <w:sz w:val="21"/>
          <w:szCs w:val="21"/>
        </w:rPr>
        <w:t>;</w:t>
      </w:r>
      <w:bookmarkEnd w:id="259"/>
    </w:p>
    <w:p w14:paraId="7F382755" w14:textId="77777777" w:rsidR="00F954FD" w:rsidRPr="009D383E" w:rsidRDefault="00F954FD" w:rsidP="00AA2991">
      <w:pPr>
        <w:pStyle w:val="PargrafodaLista"/>
        <w:widowControl w:val="0"/>
        <w:spacing w:line="320" w:lineRule="exact"/>
        <w:ind w:left="709" w:hanging="709"/>
        <w:rPr>
          <w:rFonts w:ascii="Trebuchet MS" w:hAnsi="Trebuchet MS" w:cs="Tahoma"/>
          <w:sz w:val="21"/>
          <w:szCs w:val="21"/>
        </w:rPr>
      </w:pPr>
    </w:p>
    <w:p w14:paraId="2E0A8F0C" w14:textId="3230E8D5" w:rsidR="00353364" w:rsidRPr="009D383E"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ingresso de quaisquer novos sócios no capital social da Emissora 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661E7F45" w14:textId="77777777" w:rsidR="00353364" w:rsidRPr="009D383E"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alteração do </w:t>
      </w:r>
      <w:r w:rsidR="00F749DA" w:rsidRPr="009D383E">
        <w:rPr>
          <w:rFonts w:ascii="Trebuchet MS" w:hAnsi="Trebuchet MS" w:cs="Tahoma"/>
          <w:sz w:val="21"/>
          <w:szCs w:val="21"/>
        </w:rPr>
        <w:t>contrato</w:t>
      </w:r>
      <w:r w:rsidRPr="009D383E">
        <w:rPr>
          <w:rFonts w:ascii="Trebuchet MS" w:hAnsi="Trebuchet MS" w:cs="Tahoma"/>
          <w:sz w:val="21"/>
          <w:szCs w:val="21"/>
        </w:rPr>
        <w:t xml:space="preserve">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(ii)</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0DA132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7A55617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Pr="009D383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9D383E">
        <w:rPr>
          <w:rFonts w:ascii="Trebuchet MS" w:hAnsi="Trebuchet MS" w:cs="Tahoma"/>
          <w:sz w:val="21"/>
          <w:szCs w:val="21"/>
        </w:rPr>
        <w:t>preferência</w:t>
      </w:r>
      <w:r w:rsidRPr="009D383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00242917" w:rsidRPr="009D383E">
        <w:rPr>
          <w:rFonts w:ascii="Trebuchet MS" w:hAnsi="Trebuchet MS" w:cs="Tahoma"/>
          <w:sz w:val="21"/>
          <w:szCs w:val="21"/>
        </w:rPr>
        <w:t xml:space="preserve">, conforme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 xml:space="preserve">propriedade ou </w:t>
      </w:r>
      <w:r w:rsidRPr="009D383E">
        <w:rPr>
          <w:rFonts w:ascii="Trebuchet MS" w:eastAsia="Arial Unicode MS" w:hAnsi="Trebuchet MS" w:cs="Tahoma"/>
          <w:w w:val="0"/>
          <w:sz w:val="21"/>
          <w:szCs w:val="21"/>
        </w:rPr>
        <w:lastRenderedPageBreak/>
        <w:t>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260" w:name="_Ref15410602"/>
    </w:p>
    <w:bookmarkEnd w:id="260"/>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w:t>
      </w:r>
      <w:r w:rsidRPr="009D383E">
        <w:rPr>
          <w:rFonts w:ascii="Trebuchet MS" w:hAnsi="Trebuchet MS" w:cs="Tahoma"/>
          <w:sz w:val="21"/>
          <w:szCs w:val="21"/>
        </w:rPr>
        <w:lastRenderedPageBreak/>
        <w:t xml:space="preserve">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261"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261"/>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262" w:name="_Ref15414362"/>
      <w:bookmarkEnd w:id="255"/>
      <w:bookmarkEnd w:id="256"/>
      <w:bookmarkEnd w:id="257"/>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2"/>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263"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264" w:name="_Hlk104377808"/>
      <w:r w:rsidRPr="009D383E">
        <w:rPr>
          <w:sz w:val="21"/>
          <w:szCs w:val="21"/>
        </w:rPr>
        <w:t xml:space="preserve">Comunicação de Vencimento Antecipado </w:t>
      </w:r>
      <w:bookmarkEnd w:id="264"/>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265"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266" w:name="_Hlk104377756"/>
      <w:r w:rsidRPr="009D383E">
        <w:rPr>
          <w:rFonts w:cs="Tahoma"/>
          <w:sz w:val="21"/>
          <w:szCs w:val="21"/>
        </w:rPr>
        <w:t xml:space="preserve">5 (cinco) Dias Úteis a contar da data de recebimento da Comunicação de Vencimento Antecipado (ou da data da realização da </w:t>
      </w:r>
      <w:bookmarkStart w:id="267"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267"/>
      <w:r w:rsidRPr="009D383E">
        <w:rPr>
          <w:rFonts w:cs="Tahoma"/>
          <w:sz w:val="21"/>
          <w:szCs w:val="21"/>
        </w:rPr>
        <w:t>)</w:t>
      </w:r>
      <w:bookmarkEnd w:id="266"/>
      <w:r w:rsidRPr="009D383E">
        <w:rPr>
          <w:rFonts w:cs="Tahoma"/>
          <w:sz w:val="21"/>
          <w:szCs w:val="21"/>
        </w:rPr>
        <w:t xml:space="preserve">, efetuar o pagamento </w:t>
      </w:r>
      <w:r w:rsidRPr="009D383E">
        <w:rPr>
          <w:rFonts w:cs="Tahoma"/>
          <w:sz w:val="21"/>
          <w:szCs w:val="21"/>
        </w:rPr>
        <w:lastRenderedPageBreak/>
        <w:t>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268"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268"/>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269"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69"/>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270"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270"/>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6A33585D"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F27F18">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271" w:name="_DV_M435"/>
      <w:bookmarkStart w:id="272" w:name="_Hlk71211485"/>
      <w:bookmarkStart w:id="273" w:name="_DV_C269"/>
      <w:bookmarkEnd w:id="136"/>
      <w:bookmarkEnd w:id="263"/>
      <w:bookmarkEnd w:id="265"/>
      <w:bookmarkEnd w:id="271"/>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491667">
        <w:rPr>
          <w:rFonts w:ascii="Trebuchet MS" w:hAnsi="Trebuchet MS"/>
          <w:bCs/>
          <w:color w:val="000000" w:themeColor="text1"/>
          <w:sz w:val="21"/>
          <w:szCs w:val="21"/>
          <w:lang w:val="en-US"/>
        </w:rPr>
        <w:t>At.: Asterio Vaz Safatle</w:t>
      </w:r>
      <w:r w:rsidR="00CF500A">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177012">
        <w:rPr>
          <w:rFonts w:ascii="Trebuchet MS" w:hAnsi="Trebuchet MS"/>
          <w:bCs/>
          <w:color w:val="000000" w:themeColor="text1"/>
          <w:sz w:val="21"/>
          <w:szCs w:val="21"/>
          <w:lang w:val="en-US"/>
        </w:rPr>
        <w:t>At.: Asterio Vaz Safatle</w:t>
      </w:r>
      <w:r>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0"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1"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274" w:name="_DV_M464"/>
      <w:bookmarkStart w:id="275" w:name="_DV_M465"/>
      <w:bookmarkStart w:id="276" w:name="_DV_M524"/>
      <w:bookmarkStart w:id="277" w:name="_DV_M525"/>
      <w:bookmarkStart w:id="278" w:name="_DV_M466"/>
      <w:bookmarkStart w:id="279" w:name="_DV_M467"/>
      <w:bookmarkStart w:id="280" w:name="_DV_M468"/>
      <w:bookmarkStart w:id="281" w:name="_DV_M470"/>
      <w:bookmarkStart w:id="282" w:name="_DV_M472"/>
      <w:bookmarkStart w:id="283" w:name="_DV_M473"/>
      <w:bookmarkStart w:id="284" w:name="_DV_M474"/>
      <w:bookmarkStart w:id="285" w:name="_DV_M476"/>
      <w:bookmarkStart w:id="286" w:name="_DV_M478"/>
      <w:bookmarkStart w:id="287" w:name="_DV_M479"/>
      <w:bookmarkStart w:id="288" w:name="_DV_M480"/>
      <w:bookmarkStart w:id="289" w:name="_DV_M481"/>
      <w:bookmarkStart w:id="290" w:name="_DV_M482"/>
      <w:bookmarkStart w:id="291" w:name="_DV_M485"/>
      <w:bookmarkStart w:id="292" w:name="_Hlk8549619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r>
        <w:rPr>
          <w:rFonts w:ascii="Trebuchet MS" w:eastAsia="Arial Unicode MS" w:hAnsi="Trebuchet MS"/>
          <w:sz w:val="21"/>
          <w:szCs w:val="21"/>
        </w:rPr>
        <w:t xml:space="preserve">cj.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66E5F564"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2"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293" w:name="_DV_M486"/>
      <w:bookmarkEnd w:id="293"/>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294"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5B905B67"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294"/>
      <w:r w:rsidR="00795DA7">
        <w:rPr>
          <w:rFonts w:cs="Tahoma"/>
          <w:color w:val="000000"/>
          <w:sz w:val="21"/>
          <w:szCs w:val="21"/>
        </w:rPr>
        <w:t xml:space="preserve"> </w:t>
      </w:r>
      <w:r w:rsidR="00795DA7" w:rsidRPr="00962D7C">
        <w:rPr>
          <w:rFonts w:cs="Tahoma"/>
          <w:b/>
          <w:bCs/>
          <w:color w:val="000000"/>
          <w:sz w:val="21"/>
          <w:szCs w:val="21"/>
          <w:highlight w:val="yellow"/>
        </w:rPr>
        <w:t>[Nota Riza: CPSec, por favor, complementar com as propostas]</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24CEEA5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bookmarkStart w:id="295" w:name="_Hlk101544977"/>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295"/>
      <w:r w:rsidRPr="009D383E">
        <w:rPr>
          <w:rFonts w:ascii="Trebuchet MS" w:hAnsi="Trebuchet MS" w:cstheme="minorHAnsi"/>
          <w:sz w:val="21"/>
          <w:szCs w:val="21"/>
          <w:lang w:val="pt-BR"/>
        </w:rPr>
        <w:t xml:space="preserve">, </w:t>
      </w:r>
      <w:bookmarkStart w:id="296"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6"/>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EFF2B40" w14:textId="4E6A0117"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distribuição no âmbito da Oferta Restrita dos CRI,</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devida à Titular das Notas Comerciais</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em parcela única </w:t>
      </w:r>
      <w:r w:rsidRPr="009D383E">
        <w:rPr>
          <w:rFonts w:ascii="Trebuchet MS" w:hAnsi="Trebuchet MS" w:cs="Leelawadee"/>
          <w:bCs/>
          <w:sz w:val="21"/>
          <w:szCs w:val="21"/>
        </w:rPr>
        <w:t>no valor R$</w:t>
      </w:r>
      <w:r w:rsidRPr="009D383E">
        <w:rPr>
          <w:rFonts w:ascii="Trebuchet MS" w:hAnsi="Trebuchet MS" w:cs="Leelawadee"/>
          <w:bCs/>
          <w:sz w:val="21"/>
          <w:szCs w:val="21"/>
          <w:lang w:val="pt-BR"/>
        </w:rPr>
        <w:t>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pag</w:t>
      </w:r>
      <w:r w:rsidRPr="009D383E">
        <w:rPr>
          <w:rFonts w:ascii="Trebuchet MS" w:hAnsi="Trebuchet MS" w:cs="Leelawadee"/>
          <w:bCs/>
          <w:sz w:val="21"/>
          <w:szCs w:val="21"/>
          <w:lang w:val="pt-BR"/>
        </w:rPr>
        <w:t>a</w:t>
      </w:r>
      <w:r w:rsidRPr="009D383E">
        <w:rPr>
          <w:rFonts w:ascii="Trebuchet MS" w:hAnsi="Trebuchet MS" w:cs="Leelawadee"/>
          <w:sz w:val="21"/>
          <w:szCs w:val="21"/>
          <w:lang w:val="pt-BR"/>
        </w:rPr>
        <w:t xml:space="preserve"> </w:t>
      </w:r>
      <w:r w:rsidRPr="009D383E">
        <w:rPr>
          <w:rFonts w:ascii="Trebuchet MS" w:hAnsi="Trebuchet MS" w:cs="Leelawadee"/>
          <w:bCs/>
          <w:sz w:val="21"/>
          <w:szCs w:val="21"/>
          <w:lang w:val="pt-BR"/>
        </w:rPr>
        <w:t xml:space="preserve">até o </w:t>
      </w:r>
      <w:r w:rsidRPr="009D383E">
        <w:rPr>
          <w:rFonts w:ascii="Trebuchet MS" w:hAnsi="Trebuchet MS" w:cs="Leelawadee"/>
          <w:bCs/>
          <w:sz w:val="21"/>
          <w:szCs w:val="21"/>
        </w:rPr>
        <w:t>1º (primeiro) Dia Útil contado da data de integralização dos CRI</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0E2AFEA2"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1D134B1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w:t>
      </w:r>
      <w:r w:rsidRPr="009D383E">
        <w:rPr>
          <w:rFonts w:ascii="Trebuchet MS" w:hAnsi="Trebuchet MS" w:cstheme="minorHAnsi"/>
          <w:sz w:val="21"/>
          <w:szCs w:val="21"/>
          <w:lang w:val="pt-BR"/>
        </w:rPr>
        <w:lastRenderedPageBreak/>
        <w:t>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F418C"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C43521"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7873C8B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3A5F9C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Escriturador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297"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bookmarkEnd w:id="297"/>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3330A9B8"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8" w:name="_Hlk101531876"/>
      <w:r w:rsidRPr="009D383E">
        <w:rPr>
          <w:rFonts w:ascii="Trebuchet MS" w:hAnsi="Trebuchet MS" w:cs="Leelawadee"/>
          <w:bCs/>
          <w:sz w:val="21"/>
          <w:szCs w:val="21"/>
        </w:rPr>
        <w:lastRenderedPageBreak/>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B870CD">
        <w:rPr>
          <w:rFonts w:ascii="Trebuchet MS" w:hAnsi="Trebuchet MS" w:cs="Leelawadee"/>
          <w:bCs/>
          <w:sz w:val="21"/>
          <w:szCs w:val="21"/>
          <w:lang w:val="pt-BR"/>
        </w:rPr>
        <w:t>7.000,00</w:t>
      </w:r>
      <w:r w:rsidR="00B870CD" w:rsidRPr="009D383E">
        <w:rPr>
          <w:rFonts w:ascii="Trebuchet MS" w:hAnsi="Trebuchet MS" w:cstheme="minorHAnsi"/>
          <w:sz w:val="21"/>
          <w:szCs w:val="21"/>
          <w:lang w:val="pt-BR"/>
        </w:rPr>
        <w:t xml:space="preserve"> (</w:t>
      </w:r>
      <w:r w:rsidR="00B870CD">
        <w:rPr>
          <w:rFonts w:ascii="Trebuchet MS" w:hAnsi="Trebuchet MS" w:cs="Leelawadee"/>
          <w:bCs/>
          <w:sz w:val="21"/>
          <w:szCs w:val="21"/>
          <w:lang w:val="pt-BR"/>
        </w:rPr>
        <w:t>sete 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B870CD">
        <w:rPr>
          <w:rFonts w:ascii="Trebuchet MS" w:hAnsi="Trebuchet MS" w:cs="Leelawadee"/>
          <w:bCs/>
          <w:sz w:val="21"/>
          <w:szCs w:val="21"/>
          <w:lang w:val="pt-BR"/>
        </w:rPr>
        <w:t>2.000,00</w:t>
      </w:r>
      <w:r w:rsidR="00B870CD" w:rsidRPr="009D383E">
        <w:rPr>
          <w:rFonts w:ascii="Trebuchet MS" w:hAnsi="Trebuchet MS" w:cs="Leelawadee"/>
          <w:bCs/>
          <w:sz w:val="21"/>
          <w:szCs w:val="21"/>
          <w:lang w:val="pt-BR"/>
        </w:rPr>
        <w:t xml:space="preserve"> (</w:t>
      </w:r>
      <w:r w:rsidR="00B870CD">
        <w:rPr>
          <w:rFonts w:ascii="Trebuchet MS" w:hAnsi="Trebuchet MS" w:cs="Leelawadee"/>
          <w:bCs/>
          <w:sz w:val="21"/>
          <w:szCs w:val="21"/>
          <w:lang w:val="pt-BR"/>
        </w:rPr>
        <w:t>dois mil 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298"/>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76B980D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9"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uma parcela única de implantação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a ser paga até o 5º (quinto) Dia Útil a contar da primeira Data de Integralização dos CRI;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parcelas semestrais de verificação da Destinação dos Recursos de destinação futura,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devida em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julho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cada ano, sendo o primeiro devido em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2023, referente ao semestre findo em dezembro de 2022; 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demais parcelas anuais no valor de R$</w:t>
      </w:r>
      <w:r w:rsidR="008C201D" w:rsidRPr="009D383E">
        <w:rPr>
          <w:rFonts w:ascii="Trebuchet MS" w:hAnsi="Trebuchet MS" w:cs="Leelawadee"/>
          <w:bCs/>
          <w:sz w:val="21"/>
          <w:szCs w:val="21"/>
          <w:lang w:val="pt-BR"/>
        </w:rPr>
        <w:t>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r w:rsidR="00494485" w:rsidRPr="009D383E">
        <w:rPr>
          <w:rFonts w:ascii="Trebuchet MS" w:hAnsi="Trebuchet MS" w:cs="Leelawadee"/>
          <w:bCs/>
          <w:i/>
          <w:iCs/>
          <w:sz w:val="21"/>
          <w:szCs w:val="21"/>
        </w:rPr>
        <w:t>abort fee</w:t>
      </w:r>
      <w:r w:rsidR="00494485" w:rsidRPr="009D383E">
        <w:rPr>
          <w:rFonts w:ascii="Trebuchet MS" w:hAnsi="Trebuchet MS" w:cs="Leelawadee"/>
          <w:bCs/>
          <w:sz w:val="21"/>
          <w:szCs w:val="21"/>
        </w:rPr>
        <w:t xml:space="preserve">”. </w:t>
      </w:r>
      <w:bookmarkStart w:id="300" w:name="_Hlk99550396"/>
      <w:r w:rsidR="00494485" w:rsidRPr="009D383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 do Agente </w:t>
      </w:r>
      <w:r w:rsidR="00494485" w:rsidRPr="009D383E">
        <w:rPr>
          <w:rFonts w:ascii="Trebuchet MS" w:hAnsi="Trebuchet MS" w:cs="Leelawadee"/>
          <w:bCs/>
          <w:sz w:val="21"/>
          <w:szCs w:val="21"/>
        </w:rPr>
        <w:lastRenderedPageBreak/>
        <w:t xml:space="preserve">Fiduciário dos CRI até o vencimento original dos CRI ou até que a destinação da totalidade dos recursos decorrentes da emissão seja efetivada e comprovada. Desta forma fica contratado e desde já ajustado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300"/>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nos termos da legislação em vigor e do Termo de Securitização</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caso de inadimplemento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reestruturação das condições dos CRI após a </w:t>
      </w:r>
      <w:r w:rsidRPr="009D383E">
        <w:rPr>
          <w:rFonts w:ascii="Trebuchet MS" w:hAnsi="Trebuchet MS" w:cs="Leelawadee"/>
          <w:bCs/>
          <w:sz w:val="21"/>
          <w:szCs w:val="21"/>
          <w:lang w:val="pt-BR"/>
        </w:rPr>
        <w:t xml:space="preserve">data de integralização dos CRI </w:t>
      </w:r>
      <w:r w:rsidRPr="009D383E">
        <w:rPr>
          <w:rFonts w:ascii="Trebuchet MS" w:hAnsi="Trebuchet MS" w:cs="Leelawadee"/>
          <w:bCs/>
          <w:sz w:val="21"/>
          <w:szCs w:val="21"/>
        </w:rPr>
        <w:t xml:space="preserve">após a </w:t>
      </w:r>
      <w:r w:rsidRPr="009D383E">
        <w:rPr>
          <w:rFonts w:ascii="Trebuchet MS" w:hAnsi="Trebuchet MS" w:cs="Leelawadee"/>
          <w:bCs/>
          <w:sz w:val="21"/>
          <w:szCs w:val="21"/>
          <w:lang w:val="pt-BR"/>
        </w:rPr>
        <w:t>data de integralização dos CRI (</w:t>
      </w:r>
      <w:r w:rsidRPr="009D383E">
        <w:rPr>
          <w:rFonts w:ascii="Trebuchet MS" w:hAnsi="Trebuchet MS" w:cs="Leelawadee"/>
          <w:bCs/>
          <w:sz w:val="21"/>
          <w:szCs w:val="21"/>
        </w:rPr>
        <w:t xml:space="preserve">incluindo, mas não se limitando,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execução das garantias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comparecimento em reuniões formais ou conferências telefônicas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r w:rsidRPr="009D383E">
        <w:rPr>
          <w:rFonts w:ascii="Trebuchet MS" w:hAnsi="Trebuchet MS" w:cs="Tahoma"/>
          <w:sz w:val="21"/>
          <w:szCs w:val="21"/>
        </w:rPr>
        <w:t xml:space="preserve">os Titulares dos CRI e demais partes da Emissão,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análise e/ou confecção de eventuais aditamentos aos Documentos da Operação e atas de assembleia</w:t>
      </w:r>
      <w:r w:rsidR="00990347" w:rsidRPr="009D383E">
        <w:rPr>
          <w:rFonts w:ascii="Trebuchet MS" w:hAnsi="Trebuchet MS" w:cs="Tahoma"/>
          <w:sz w:val="21"/>
          <w:szCs w:val="21"/>
          <w:lang w:val="pt-BR"/>
        </w:rPr>
        <w:t>s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r w:rsidRPr="009D383E">
        <w:rPr>
          <w:rFonts w:ascii="Trebuchet MS" w:hAnsi="Trebuchet MS" w:cs="Tahoma"/>
          <w:sz w:val="21"/>
          <w:szCs w:val="21"/>
        </w:rPr>
        <w:t>implementação das consequentes decisões tomadas em tais eventos</w:t>
      </w:r>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por hora-homem de trabalho dedicado</w:t>
      </w:r>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r w:rsidRPr="009D383E">
        <w:rPr>
          <w:rFonts w:ascii="Trebuchet MS" w:hAnsi="Trebuchet MS" w:cs="Tahoma"/>
          <w:sz w:val="21"/>
          <w:szCs w:val="21"/>
        </w:rPr>
        <w:t xml:space="preserve">remuneração esta a ser paga no prazo de 10 (dez) dias após a conferência e aprovação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do respectivo “</w:t>
      </w:r>
      <w:r w:rsidRPr="009D383E">
        <w:rPr>
          <w:rFonts w:ascii="Trebuchet MS" w:hAnsi="Trebuchet MS" w:cs="Tahoma"/>
          <w:i/>
          <w:iCs/>
          <w:sz w:val="21"/>
          <w:szCs w:val="21"/>
        </w:rPr>
        <w:t>Relatório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99"/>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500EE9E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anual inicial de R$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ahoma"/>
          <w:bCs/>
          <w:sz w:val="21"/>
          <w:szCs w:val="21"/>
          <w:lang w:val="pt-BR"/>
        </w:rPr>
        <w:t xml:space="preserve">, a ser corrigido anualmente, </w:t>
      </w:r>
      <w:r w:rsidRPr="009D383E">
        <w:rPr>
          <w:rFonts w:ascii="Trebuchet MS" w:hAnsi="Trebuchet MS" w:cs="Tahoma"/>
          <w:bCs/>
          <w:i/>
          <w:iCs/>
          <w:sz w:val="21"/>
          <w:szCs w:val="21"/>
          <w:lang w:val="pt-BR"/>
        </w:rPr>
        <w:t>pro rata temporis</w:t>
      </w:r>
      <w:r w:rsidRPr="009D383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0E9DF790"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301"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a ser paga até o 5º (quinto) Dia Útil contado da data de integralização </w:t>
      </w:r>
      <w:r w:rsidR="0042130D" w:rsidRPr="009D383E">
        <w:rPr>
          <w:rFonts w:ascii="Trebuchet MS" w:hAnsi="Trebuchet MS" w:cstheme="minorHAnsi"/>
          <w:sz w:val="21"/>
          <w:szCs w:val="21"/>
        </w:rPr>
        <w:t xml:space="preserve">dos </w:t>
      </w:r>
      <w:r w:rsidR="0042130D" w:rsidRPr="009D383E">
        <w:rPr>
          <w:rFonts w:ascii="Trebuchet MS" w:hAnsi="Trebuchet MS" w:cstheme="minorHAnsi"/>
          <w:sz w:val="21"/>
          <w:szCs w:val="21"/>
        </w:rPr>
        <w:lastRenderedPageBreak/>
        <w:t>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37E1E28B"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2CFD2DD5"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r w:rsidRPr="009D383E">
        <w:rPr>
          <w:rFonts w:ascii="Trebuchet MS" w:hAnsi="Trebuchet MS" w:cstheme="minorHAnsi"/>
          <w:sz w:val="21"/>
          <w:szCs w:val="21"/>
        </w:rPr>
        <w:t xml:space="preserve">itulares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301"/>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EDD2623"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04479A" w:rsidRPr="009D383E">
        <w:rPr>
          <w:rFonts w:ascii="Trebuchet MS" w:hAnsi="Trebuchet MS" w:cs="Leelawadee"/>
          <w:bCs/>
          <w:sz w:val="21"/>
          <w:szCs w:val="21"/>
          <w:highlight w:val="yellow"/>
          <w:lang w:val="pt-BR"/>
        </w:rPr>
        <w:t>[=]</w:t>
      </w:r>
      <w:r w:rsidRPr="009D383E">
        <w:rPr>
          <w:rFonts w:ascii="Trebuchet MS" w:hAnsi="Trebuchet MS" w:cstheme="minorHAnsi"/>
          <w:bCs/>
          <w:sz w:val="21"/>
          <w:szCs w:val="21"/>
          <w:lang w:val="pt-BR"/>
        </w:rPr>
        <w:t xml:space="preserve"> (</w:t>
      </w:r>
      <w:r w:rsidR="0004479A"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lastRenderedPageBreak/>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r w:rsidRPr="009D383E">
        <w:rPr>
          <w:rFonts w:ascii="Trebuchet MS" w:hAnsi="Trebuchet MS" w:cstheme="minorHAnsi"/>
          <w:sz w:val="21"/>
          <w:szCs w:val="21"/>
        </w:rPr>
        <w:t>itulares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dos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xml:space="preserve">, comprovadamente incorridas pela Titular das Notas </w:t>
      </w:r>
      <w:r w:rsidR="00806144" w:rsidRPr="009D383E">
        <w:rPr>
          <w:rFonts w:cs="Leelawadee"/>
          <w:bCs/>
          <w:sz w:val="21"/>
          <w:szCs w:val="21"/>
        </w:rPr>
        <w:lastRenderedPageBreak/>
        <w:t>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(ii)</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(iii)</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2CCD525C"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AF2AC8" w:rsidRPr="009D383E">
        <w:rPr>
          <w:rFonts w:cs="Leelawadee"/>
          <w:bCs/>
          <w:sz w:val="21"/>
          <w:szCs w:val="21"/>
          <w:highlight w:val="yellow"/>
        </w:rPr>
        <w:t>[=]</w:t>
      </w:r>
      <w:r w:rsidRPr="009D383E">
        <w:rPr>
          <w:rFonts w:cs="Leelawadee"/>
          <w:bCs/>
          <w:sz w:val="21"/>
          <w:szCs w:val="21"/>
        </w:rPr>
        <w:t xml:space="preserve"> (</w:t>
      </w:r>
      <w:r w:rsidR="00AF2AC8" w:rsidRPr="009D383E">
        <w:rPr>
          <w:rFonts w:cs="Leelawadee"/>
          <w:bCs/>
          <w:sz w:val="21"/>
          <w:szCs w:val="21"/>
          <w:highlight w:val="yellow"/>
        </w:rPr>
        <w:t>[=]</w:t>
      </w:r>
      <w:r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AF2AC8" w:rsidRPr="009D383E">
        <w:rPr>
          <w:rFonts w:cs="Leelawadee"/>
          <w:bCs/>
          <w:sz w:val="21"/>
          <w:szCs w:val="21"/>
          <w:highlight w:val="yellow"/>
        </w:rPr>
        <w:t>[=]</w:t>
      </w:r>
      <w:r w:rsidR="003966AE" w:rsidRPr="009D383E">
        <w:rPr>
          <w:rFonts w:cs="Leelawadee"/>
          <w:bCs/>
          <w:sz w:val="21"/>
          <w:szCs w:val="21"/>
        </w:rPr>
        <w:t xml:space="preserve"> (</w:t>
      </w:r>
      <w:r w:rsidR="00AF2AC8" w:rsidRPr="009D383E">
        <w:rPr>
          <w:rFonts w:cs="Leelawadee"/>
          <w:bCs/>
          <w:sz w:val="21"/>
          <w:szCs w:val="21"/>
          <w:highlight w:val="yellow"/>
        </w:rPr>
        <w:t>[=]</w:t>
      </w:r>
      <w:r w:rsidR="003966AE"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5BA7FA98"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302"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xml:space="preserve">) </w:t>
      </w:r>
      <w:bookmarkStart w:id="303" w:name="_Hlk101531622"/>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3"/>
      <w:r w:rsidRPr="009D383E">
        <w:rPr>
          <w:rFonts w:cs="Leelawadee"/>
          <w:bCs/>
          <w:sz w:val="21"/>
          <w:szCs w:val="21"/>
        </w:rPr>
        <w:t>.</w:t>
      </w:r>
      <w:bookmarkEnd w:id="302"/>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9D383E">
        <w:rPr>
          <w:rFonts w:cs="Leelawadee"/>
          <w:bCs/>
          <w:i/>
          <w:iCs/>
          <w:sz w:val="21"/>
          <w:szCs w:val="21"/>
        </w:rPr>
        <w:t>covenants</w:t>
      </w:r>
      <w:r w:rsidR="00F22A67" w:rsidRPr="009D383E">
        <w:rPr>
          <w:rFonts w:cs="Leelawadee"/>
          <w:bCs/>
          <w:sz w:val="21"/>
          <w:szCs w:val="21"/>
        </w:rPr>
        <w:t xml:space="preserve"> operacionais ou financeiros; e </w:t>
      </w:r>
      <w:r w:rsidR="00F22A67" w:rsidRPr="009D383E">
        <w:rPr>
          <w:rFonts w:cs="Leelawadee"/>
          <w:b/>
          <w:sz w:val="21"/>
          <w:szCs w:val="21"/>
        </w:rPr>
        <w:t>(ii)</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lastRenderedPageBreak/>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04" w:name="_DV_M487"/>
      <w:bookmarkEnd w:id="304"/>
      <w:bookmarkEnd w:id="292"/>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305" w:name="_DV_M488"/>
      <w:bookmarkEnd w:id="305"/>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lastRenderedPageBreak/>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306"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w:t>
      </w:r>
      <w:r w:rsidRPr="009D383E">
        <w:rPr>
          <w:rFonts w:cs="Tahoma"/>
          <w:kern w:val="20"/>
          <w:sz w:val="21"/>
          <w:szCs w:val="21"/>
        </w:rPr>
        <w:lastRenderedPageBreak/>
        <w:t>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306"/>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renuncia,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307"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307"/>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100A8DCE"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308" w:name="_DV_M436"/>
      <w:bookmarkEnd w:id="308"/>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543E4A" w:rsidRPr="009D383E">
        <w:rPr>
          <w:rFonts w:ascii="Trebuchet MS" w:hAnsi="Trebuchet MS" w:cstheme="minorHAnsi"/>
          <w:w w:val="0"/>
          <w:sz w:val="21"/>
          <w:szCs w:val="21"/>
          <w:highlight w:val="yellow"/>
        </w:rPr>
        <w:t>[=]</w:t>
      </w:r>
      <w:r w:rsidR="0070345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543E4A" w:rsidRPr="009D383E">
        <w:rPr>
          <w:rFonts w:ascii="Trebuchet MS" w:hAnsi="Trebuchet MS" w:cstheme="minorHAnsi"/>
          <w:sz w:val="21"/>
          <w:szCs w:val="21"/>
        </w:rPr>
        <w:t>setembro</w:t>
      </w:r>
      <w:r w:rsidR="00E02E64"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3"/>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7777777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490AC80"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Flávia Rezende Dias</w:t>
            </w:r>
          </w:p>
          <w:p w14:paraId="6C9951CC" w14:textId="3D364EE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370.616.918-59</w:t>
            </w:r>
          </w:p>
          <w:p w14:paraId="50E3F6EB" w14:textId="677E4B7C"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D03315">
              <w:rPr>
                <w:rFonts w:ascii="Trebuchet MS" w:hAnsi="Trebuchet MS"/>
                <w:i/>
                <w:iCs/>
                <w:sz w:val="21"/>
                <w:szCs w:val="21"/>
                <w:lang w:eastAsia="en-US"/>
              </w:rPr>
              <w:t>fdias@cpsec.com.br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7322C423"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Mara Cristina Lima</w:t>
            </w:r>
          </w:p>
          <w:p w14:paraId="35EB0B58" w14:textId="17CB68BB"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148.236.208-28</w:t>
            </w:r>
          </w:p>
          <w:p w14:paraId="151F05F7" w14:textId="717D84B4"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D03315">
              <w:rPr>
                <w:rFonts w:ascii="Trebuchet MS" w:hAnsi="Trebuchet MS"/>
                <w:i/>
                <w:iCs/>
                <w:sz w:val="21"/>
                <w:szCs w:val="21"/>
                <w:lang w:eastAsia="en-US"/>
              </w:rPr>
              <w:t>mlima@cpsec.com.br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309" w:name="_Toc83215635"/>
      <w:bookmarkStart w:id="310"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4"/>
          <w:footerReference w:type="first" r:id="rId25"/>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309"/>
      <w:bookmarkEnd w:id="310"/>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p w14:paraId="4E27E872" w14:textId="77777777" w:rsidR="00D47BBC" w:rsidRPr="009D383E" w:rsidRDefault="00D47BBC" w:rsidP="009D383E">
      <w:pPr>
        <w:widowControl w:val="0"/>
        <w:tabs>
          <w:tab w:val="left" w:pos="142"/>
        </w:tabs>
        <w:spacing w:line="320" w:lineRule="exact"/>
        <w:jc w:val="center"/>
        <w:rPr>
          <w:rFonts w:ascii="Trebuchet MS" w:hAnsi="Trebuchet MS" w:cstheme="minorHAnsi"/>
          <w:b/>
          <w:bCs/>
          <w:color w:val="000000" w:themeColor="text1"/>
          <w:w w:val="0"/>
          <w:sz w:val="21"/>
          <w:szCs w:val="21"/>
        </w:rPr>
      </w:pPr>
      <w:r w:rsidRPr="009D383E">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9D383E" w:rsidRDefault="00397553"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6"/>
          <w:footerReference w:type="first" r:id="rId27"/>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275"/>
        <w:gridCol w:w="1418"/>
        <w:gridCol w:w="1418"/>
        <w:gridCol w:w="1275"/>
        <w:gridCol w:w="1560"/>
        <w:gridCol w:w="1560"/>
        <w:gridCol w:w="1132"/>
        <w:gridCol w:w="1667"/>
      </w:tblGrid>
      <w:tr w:rsidR="001C62B8" w:rsidRPr="001C62B8"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962D7C" w:rsidRDefault="001C62B8" w:rsidP="00E675A1">
            <w:pPr>
              <w:jc w:val="center"/>
              <w:rPr>
                <w:rFonts w:ascii="Trebuchet MS" w:hAnsi="Trebuchet MS" w:cs="Arial"/>
                <w:b/>
                <w:bCs/>
                <w:color w:val="FFFFFF"/>
                <w:sz w:val="20"/>
                <w:szCs w:val="20"/>
              </w:rPr>
            </w:pPr>
            <w:r w:rsidRPr="00962D7C">
              <w:rPr>
                <w:rFonts w:ascii="Trebuchet MS" w:hAnsi="Trebuchet MS" w:cs="Arial"/>
                <w:b/>
                <w:bCs/>
                <w:color w:val="FFFFFF"/>
                <w:sz w:val="20"/>
                <w:szCs w:val="20"/>
              </w:rPr>
              <w:t>Previsão de Reembolso</w:t>
            </w:r>
          </w:p>
        </w:tc>
      </w:tr>
      <w:tr w:rsidR="001C62B8" w:rsidRPr="001C62B8" w14:paraId="3C76DAA9" w14:textId="77777777" w:rsidTr="00962D7C">
        <w:trPr>
          <w:trHeight w:val="1409"/>
        </w:trPr>
        <w:tc>
          <w:tcPr>
            <w:tcW w:w="877" w:type="pct"/>
            <w:shd w:val="clear" w:color="auto" w:fill="A6A6A6" w:themeFill="background1" w:themeFillShade="A6"/>
            <w:vAlign w:val="center"/>
            <w:hideMark/>
          </w:tcPr>
          <w:p w14:paraId="06E4F5B0" w14:textId="0D8147C3" w:rsidR="001C62B8" w:rsidRPr="001C62B8" w:rsidRDefault="001C62B8" w:rsidP="00E675A1">
            <w:pPr>
              <w:jc w:val="center"/>
              <w:rPr>
                <w:rFonts w:ascii="Trebuchet MS" w:hAnsi="Trebuchet MS" w:cs="Arial"/>
                <w:b/>
                <w:bCs/>
                <w:color w:val="FFFFFF"/>
                <w:sz w:val="20"/>
                <w:szCs w:val="20"/>
              </w:rPr>
            </w:pPr>
            <w:r>
              <w:rPr>
                <w:rFonts w:ascii="Trebuchet MS" w:hAnsi="Trebuchet MS" w:cs="Arial"/>
                <w:b/>
                <w:bCs/>
                <w:color w:val="FFFFFF"/>
                <w:sz w:val="20"/>
                <w:szCs w:val="20"/>
              </w:rPr>
              <w:t>Imóvel</w:t>
            </w:r>
          </w:p>
        </w:tc>
        <w:tc>
          <w:tcPr>
            <w:tcW w:w="465" w:type="pct"/>
            <w:shd w:val="clear" w:color="auto" w:fill="A6A6A6" w:themeFill="background1" w:themeFillShade="A6"/>
            <w:vAlign w:val="center"/>
            <w:hideMark/>
          </w:tcPr>
          <w:p w14:paraId="18B220C7"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Matrícula</w:t>
            </w:r>
          </w:p>
        </w:tc>
        <w:tc>
          <w:tcPr>
            <w:tcW w:w="517" w:type="pct"/>
            <w:shd w:val="clear" w:color="auto" w:fill="A6A6A6" w:themeFill="background1" w:themeFillShade="A6"/>
            <w:vAlign w:val="center"/>
            <w:hideMark/>
          </w:tcPr>
          <w:p w14:paraId="04A042D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RGI</w:t>
            </w:r>
          </w:p>
        </w:tc>
        <w:tc>
          <w:tcPr>
            <w:tcW w:w="517" w:type="pct"/>
            <w:shd w:val="clear" w:color="auto" w:fill="A6A6A6" w:themeFill="background1" w:themeFillShade="A6"/>
            <w:vAlign w:val="center"/>
            <w:hideMark/>
          </w:tcPr>
          <w:p w14:paraId="1331161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Proprietário</w:t>
            </w:r>
          </w:p>
        </w:tc>
        <w:tc>
          <w:tcPr>
            <w:tcW w:w="465" w:type="pct"/>
            <w:shd w:val="clear" w:color="auto" w:fill="A6A6A6" w:themeFill="background1" w:themeFillShade="A6"/>
            <w:vAlign w:val="center"/>
            <w:hideMark/>
          </w:tcPr>
          <w:p w14:paraId="5D28232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Descrição da despesa</w:t>
            </w:r>
          </w:p>
        </w:tc>
        <w:tc>
          <w:tcPr>
            <w:tcW w:w="569" w:type="pct"/>
            <w:shd w:val="clear" w:color="auto" w:fill="A6A6A6" w:themeFill="background1" w:themeFillShade="A6"/>
            <w:vAlign w:val="center"/>
            <w:hideMark/>
          </w:tcPr>
          <w:p w14:paraId="67D86F1E"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Documento</w:t>
            </w:r>
          </w:p>
        </w:tc>
        <w:tc>
          <w:tcPr>
            <w:tcW w:w="569" w:type="pct"/>
            <w:shd w:val="clear" w:color="auto" w:fill="A6A6A6" w:themeFill="background1" w:themeFillShade="A6"/>
            <w:vAlign w:val="center"/>
            <w:hideMark/>
          </w:tcPr>
          <w:p w14:paraId="752BD2B2"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da nota fiscal, escrituras ou outro documento que comprove tal despesa</w:t>
            </w:r>
          </w:p>
        </w:tc>
        <w:tc>
          <w:tcPr>
            <w:tcW w:w="413" w:type="pct"/>
            <w:shd w:val="clear" w:color="auto" w:fill="A6A6A6" w:themeFill="background1" w:themeFillShade="A6"/>
            <w:vAlign w:val="center"/>
            <w:hideMark/>
          </w:tcPr>
          <w:p w14:paraId="2D3F0016"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do efetivo pgto.</w:t>
            </w:r>
          </w:p>
        </w:tc>
        <w:tc>
          <w:tcPr>
            <w:tcW w:w="608" w:type="pct"/>
            <w:shd w:val="clear" w:color="auto" w:fill="A6A6A6" w:themeFill="background1" w:themeFillShade="A6"/>
            <w:vAlign w:val="center"/>
            <w:hideMark/>
          </w:tcPr>
          <w:p w14:paraId="64F3049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Valor do reembolso</w:t>
            </w:r>
          </w:p>
          <w:p w14:paraId="5A02E77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w:t>
            </w:r>
          </w:p>
        </w:tc>
      </w:tr>
      <w:tr w:rsidR="001C62B8" w:rsidRPr="001C62B8" w14:paraId="02E8FB35" w14:textId="77777777" w:rsidTr="00962D7C">
        <w:trPr>
          <w:trHeight w:val="264"/>
        </w:trPr>
        <w:tc>
          <w:tcPr>
            <w:tcW w:w="877" w:type="pct"/>
            <w:noWrap/>
            <w:vAlign w:val="center"/>
          </w:tcPr>
          <w:p w14:paraId="36AF46BC" w14:textId="4B8F6B15" w:rsidR="001C62B8" w:rsidRPr="001C62B8" w:rsidRDefault="004243D3" w:rsidP="00E675A1">
            <w:pPr>
              <w:jc w:val="center"/>
              <w:rPr>
                <w:rFonts w:ascii="Trebuchet MS" w:hAnsi="Trebuchet MS" w:cs="Arial"/>
                <w:color w:val="000000"/>
                <w:sz w:val="20"/>
                <w:szCs w:val="20"/>
              </w:rPr>
            </w:pPr>
            <w:r>
              <w:rPr>
                <w:rFonts w:ascii="Trebuchet MS" w:hAnsi="Trebuchet MS" w:cs="Arial"/>
                <w:color w:val="000000"/>
                <w:sz w:val="20"/>
                <w:szCs w:val="20"/>
              </w:rPr>
              <w:t>I</w:t>
            </w:r>
            <w:r w:rsidRPr="004243D3">
              <w:rPr>
                <w:rFonts w:ascii="Trebuchet MS" w:hAnsi="Trebuchet MS" w:cs="Arial"/>
                <w:color w:val="000000"/>
                <w:sz w:val="20"/>
                <w:szCs w:val="20"/>
              </w:rPr>
              <w:t xml:space="preserve">móvel localizado no </w:t>
            </w:r>
            <w:r>
              <w:rPr>
                <w:rFonts w:ascii="Trebuchet MS" w:hAnsi="Trebuchet MS" w:cs="Arial"/>
                <w:color w:val="000000"/>
                <w:sz w:val="20"/>
                <w:szCs w:val="20"/>
              </w:rPr>
              <w:t>m</w:t>
            </w:r>
            <w:r w:rsidRPr="004243D3">
              <w:rPr>
                <w:rFonts w:ascii="Trebuchet MS" w:hAnsi="Trebuchet MS" w:cs="Arial"/>
                <w:color w:val="000000"/>
                <w:sz w:val="20"/>
                <w:szCs w:val="20"/>
              </w:rPr>
              <w:t xml:space="preserve">unicípio de São Paulo, </w:t>
            </w:r>
            <w:r>
              <w:rPr>
                <w:rFonts w:ascii="Trebuchet MS" w:hAnsi="Trebuchet MS" w:cs="Arial"/>
                <w:color w:val="000000"/>
                <w:sz w:val="20"/>
                <w:szCs w:val="20"/>
              </w:rPr>
              <w:t>e</w:t>
            </w:r>
            <w:r w:rsidRPr="004243D3">
              <w:rPr>
                <w:rFonts w:ascii="Trebuchet MS" w:hAnsi="Trebuchet MS" w:cs="Arial"/>
                <w:color w:val="000000"/>
                <w:sz w:val="20"/>
                <w:szCs w:val="20"/>
              </w:rPr>
              <w:t xml:space="preserve">stado de São Paulo, na Avenida Indianópolis, nº 300, </w:t>
            </w:r>
            <w:r>
              <w:rPr>
                <w:rFonts w:ascii="Trebuchet MS" w:hAnsi="Trebuchet MS" w:cs="Arial"/>
                <w:color w:val="000000"/>
                <w:sz w:val="20"/>
                <w:szCs w:val="20"/>
              </w:rPr>
              <w:t xml:space="preserve">bairro </w:t>
            </w:r>
            <w:r w:rsidRPr="00962D7C">
              <w:rPr>
                <w:rFonts w:ascii="Trebuchet MS" w:hAnsi="Trebuchet MS" w:cs="Arial"/>
                <w:color w:val="000000"/>
                <w:sz w:val="20"/>
                <w:szCs w:val="20"/>
                <w:highlight w:val="yellow"/>
              </w:rPr>
              <w:t>[=]</w:t>
            </w:r>
            <w:r>
              <w:rPr>
                <w:rFonts w:ascii="Trebuchet MS" w:hAnsi="Trebuchet MS" w:cs="Arial"/>
                <w:color w:val="000000"/>
                <w:sz w:val="20"/>
                <w:szCs w:val="20"/>
              </w:rPr>
              <w:t xml:space="preserve">, CEP </w:t>
            </w:r>
            <w:r w:rsidRPr="00962D7C">
              <w:rPr>
                <w:rFonts w:ascii="Trebuchet MS" w:hAnsi="Trebuchet MS" w:cs="Arial"/>
                <w:color w:val="000000"/>
                <w:sz w:val="20"/>
                <w:szCs w:val="20"/>
                <w:highlight w:val="yellow"/>
              </w:rPr>
              <w:t>[=]</w:t>
            </w:r>
          </w:p>
        </w:tc>
        <w:tc>
          <w:tcPr>
            <w:tcW w:w="465" w:type="pct"/>
            <w:noWrap/>
            <w:vAlign w:val="center"/>
          </w:tcPr>
          <w:p w14:paraId="7D395CC1" w14:textId="11C640D5"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25.839</w:t>
            </w:r>
          </w:p>
        </w:tc>
        <w:tc>
          <w:tcPr>
            <w:tcW w:w="517" w:type="pct"/>
            <w:noWrap/>
            <w:vAlign w:val="center"/>
          </w:tcPr>
          <w:p w14:paraId="1CA85CBD" w14:textId="6D6DC168"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14º Cartório de Registro de Imóveis da Comarca de São Paulo, Estado de São Paulo</w:t>
            </w:r>
          </w:p>
        </w:tc>
        <w:tc>
          <w:tcPr>
            <w:tcW w:w="517" w:type="pct"/>
            <w:noWrap/>
            <w:vAlign w:val="center"/>
          </w:tcPr>
          <w:p w14:paraId="01FA859F" w14:textId="6082D4BA" w:rsidR="001C62B8" w:rsidRPr="001C62B8" w:rsidRDefault="004243D3" w:rsidP="00E675A1">
            <w:pPr>
              <w:jc w:val="center"/>
              <w:rPr>
                <w:rFonts w:ascii="Trebuchet MS" w:hAnsi="Trebuchet MS" w:cs="Arial"/>
                <w:color w:val="000000"/>
                <w:sz w:val="20"/>
                <w:szCs w:val="20"/>
              </w:rPr>
            </w:pPr>
            <w:r w:rsidRPr="00962D7C">
              <w:rPr>
                <w:rFonts w:ascii="Trebuchet MS" w:hAnsi="Trebuchet MS" w:cs="Arial"/>
                <w:color w:val="000000"/>
                <w:sz w:val="20"/>
                <w:szCs w:val="20"/>
                <w:highlight w:val="yellow"/>
              </w:rPr>
              <w:t>[=]</w:t>
            </w:r>
          </w:p>
        </w:tc>
        <w:tc>
          <w:tcPr>
            <w:tcW w:w="465" w:type="pct"/>
            <w:vAlign w:val="center"/>
          </w:tcPr>
          <w:p w14:paraId="02E4D8C4" w14:textId="78B95C45"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205C8CEE" w14:textId="67F8D7A9"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19975A01" w14:textId="44264720"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413" w:type="pct"/>
            <w:noWrap/>
            <w:vAlign w:val="center"/>
          </w:tcPr>
          <w:p w14:paraId="5E649880" w14:textId="3BC9ACD4"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608" w:type="pct"/>
            <w:noWrap/>
            <w:vAlign w:val="center"/>
          </w:tcPr>
          <w:p w14:paraId="543B52EC" w14:textId="4B6D013C"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r>
      <w:tr w:rsidR="001C62B8" w:rsidRPr="001C62B8" w14:paraId="0FBC4C2C" w14:textId="77777777" w:rsidTr="00E675A1">
        <w:trPr>
          <w:trHeight w:val="264"/>
        </w:trPr>
        <w:tc>
          <w:tcPr>
            <w:tcW w:w="4392" w:type="pct"/>
            <w:gridSpan w:val="8"/>
            <w:noWrap/>
            <w:vAlign w:val="center"/>
          </w:tcPr>
          <w:p w14:paraId="32391A90" w14:textId="77777777" w:rsidR="001C62B8" w:rsidRPr="001C62B8" w:rsidRDefault="001C62B8" w:rsidP="00E675A1">
            <w:pPr>
              <w:jc w:val="center"/>
              <w:rPr>
                <w:rFonts w:ascii="Trebuchet MS" w:hAnsi="Trebuchet MS" w:cs="Arial"/>
                <w:b/>
                <w:bCs/>
                <w:color w:val="000000"/>
                <w:sz w:val="20"/>
                <w:szCs w:val="20"/>
              </w:rPr>
            </w:pPr>
            <w:r w:rsidRPr="001C62B8">
              <w:rPr>
                <w:rFonts w:ascii="Trebuchet MS" w:hAnsi="Trebuchet MS" w:cs="Arial"/>
                <w:b/>
                <w:bCs/>
                <w:color w:val="000000"/>
                <w:sz w:val="20"/>
                <w:szCs w:val="20"/>
              </w:rPr>
              <w:t>TOTAL:</w:t>
            </w:r>
          </w:p>
        </w:tc>
        <w:tc>
          <w:tcPr>
            <w:tcW w:w="608" w:type="pct"/>
            <w:noWrap/>
            <w:vAlign w:val="center"/>
          </w:tcPr>
          <w:p w14:paraId="53BCDECD" w14:textId="1D39D759" w:rsidR="001C62B8" w:rsidRPr="001C62B8" w:rsidRDefault="001C62B8" w:rsidP="00E675A1">
            <w:pPr>
              <w:jc w:val="center"/>
              <w:rPr>
                <w:rFonts w:ascii="Trebuchet MS" w:hAnsi="Trebuchet MS" w:cs="Arial"/>
                <w:b/>
                <w:bCs/>
                <w:color w:val="000000"/>
                <w:sz w:val="20"/>
                <w:szCs w:val="20"/>
              </w:rPr>
            </w:pPr>
            <w:r w:rsidRPr="00962D7C">
              <w:rPr>
                <w:rFonts w:ascii="Trebuchet MS" w:hAnsi="Trebuchet MS" w:cs="Arial"/>
                <w:b/>
                <w:bCs/>
                <w:color w:val="000000"/>
                <w:sz w:val="20"/>
                <w:szCs w:val="20"/>
                <w:highlight w:val="yellow"/>
              </w:rPr>
              <w:t>[=]</w:t>
            </w:r>
          </w:p>
        </w:tc>
      </w:tr>
    </w:tbl>
    <w:p w14:paraId="45C2E477"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p w14:paraId="1ED3DA52" w14:textId="41695364"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01365E" w:rsidRPr="007E464B">
        <w:rPr>
          <w:i/>
          <w:sz w:val="21"/>
          <w:szCs w:val="21"/>
        </w:rPr>
        <w:t>Tenerife 107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311"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7823149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819" w:type="dxa"/>
            <w:vAlign w:val="center"/>
          </w:tcPr>
          <w:p w14:paraId="68D3199C" w14:textId="3C8166A6"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29B193B6"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r w:rsidR="00D47BBC" w:rsidRPr="005154A4">
              <w:rPr>
                <w:rFonts w:ascii="Trebuchet MS" w:hAnsi="Trebuchet MS" w:cstheme="minorHAnsi"/>
                <w:sz w:val="21"/>
                <w:szCs w:val="21"/>
                <w:highlight w:val="yellow"/>
              </w:rPr>
              <w:t>[=]</w:t>
            </w:r>
          </w:p>
        </w:tc>
        <w:tc>
          <w:tcPr>
            <w:tcW w:w="1701" w:type="dxa"/>
            <w:vAlign w:val="center"/>
          </w:tcPr>
          <w:p w14:paraId="2D805A69" w14:textId="3680DFA2"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r w:rsidR="00647C3E" w:rsidRPr="005154A4">
              <w:rPr>
                <w:rFonts w:ascii="Trebuchet MS" w:hAnsi="Trebuchet MS" w:cstheme="minorHAnsi"/>
                <w:sz w:val="21"/>
                <w:szCs w:val="21"/>
              </w:rPr>
              <w:t>%</w:t>
            </w:r>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562B8A75"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3B0BB24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r w:rsidR="00D47BBC" w:rsidRPr="005154A4">
              <w:rPr>
                <w:rFonts w:ascii="Trebuchet MS" w:hAnsi="Trebuchet MS" w:cstheme="minorHAnsi"/>
                <w:sz w:val="21"/>
                <w:szCs w:val="21"/>
                <w:highlight w:val="yellow"/>
              </w:rPr>
              <w:t>[=]</w:t>
            </w:r>
          </w:p>
        </w:tc>
        <w:tc>
          <w:tcPr>
            <w:tcW w:w="1701" w:type="dxa"/>
            <w:vAlign w:val="center"/>
            <w:hideMark/>
          </w:tcPr>
          <w:p w14:paraId="0A2AB059" w14:textId="3CF3B697" w:rsidR="00FC58B8" w:rsidRPr="005154A4" w:rsidRDefault="00D47BBC"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sz w:val="21"/>
                <w:szCs w:val="21"/>
                <w:highlight w:val="yellow"/>
              </w:rPr>
              <w:t>[=]</w:t>
            </w:r>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311"/>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312"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197C260E"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highlight w:val="yellow"/>
              </w:rPr>
              <w:t>[=]</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312"/>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313"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313"/>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8"/>
          <w:pgSz w:w="16839" w:h="11907" w:orient="landscape" w:code="9"/>
          <w:pgMar w:top="1418" w:right="1701" w:bottom="1418" w:left="1418" w:header="720" w:footer="720" w:gutter="0"/>
          <w:pgNumType w:start="1"/>
          <w:cols w:space="720"/>
          <w:noEndnote/>
          <w:docGrid w:linePitch="326"/>
        </w:sectPr>
      </w:pPr>
    </w:p>
    <w:p w14:paraId="212D570E" w14:textId="4165867A"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314" w:name="_Hlk80260685"/>
      <w:r w:rsidRPr="005154A4">
        <w:rPr>
          <w:rFonts w:ascii="Trebuchet MS" w:hAnsi="Trebuchet MS" w:cstheme="minorHAnsi"/>
          <w:sz w:val="21"/>
          <w:szCs w:val="21"/>
        </w:rPr>
        <w:t>São Paulo,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315" w:name="_Hlk86933740"/>
      <w:r w:rsidRPr="005154A4">
        <w:rPr>
          <w:rFonts w:ascii="Trebuchet MS" w:hAnsi="Trebuchet MS" w:cstheme="minorHAnsi"/>
          <w:i/>
          <w:iCs/>
          <w:sz w:val="21"/>
          <w:szCs w:val="21"/>
        </w:rPr>
        <w:t>Período: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até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xml:space="preserve">] </w:t>
      </w:r>
    </w:p>
    <w:bookmarkEnd w:id="315"/>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0E8B2D71"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8C42F9" w:rsidRPr="005154A4">
        <w:rPr>
          <w:rFonts w:ascii="Trebuchet MS" w:hAnsi="Trebuchet MS" w:cstheme="minorHAnsi"/>
          <w:sz w:val="21"/>
          <w:szCs w:val="21"/>
        </w:rPr>
        <w:t>setembro</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00A432E2">
        <w:rPr>
          <w:rFonts w:ascii="Trebuchet MS" w:hAnsi="Trebuchet MS" w:cstheme="minorHAnsi"/>
          <w:sz w:val="21"/>
          <w:szCs w:val="21"/>
        </w:rPr>
        <w:t>=</w:t>
      </w:r>
      <w:r w:rsidRPr="005154A4">
        <w:rPr>
          <w:rFonts w:ascii="Trebuchet MS" w:hAnsi="Trebuchet MS" w:cstheme="minorHAnsi"/>
          <w:sz w:val="21"/>
          <w:szCs w:val="21"/>
        </w:rPr>
        <w:t>] ([</w:t>
      </w:r>
      <w:r w:rsidR="00A432E2">
        <w:rPr>
          <w:rFonts w:ascii="Trebuchet MS" w:hAnsi="Trebuchet MS" w:cstheme="minorHAnsi"/>
          <w:sz w:val="21"/>
          <w:szCs w:val="21"/>
        </w:rPr>
        <w:t>=</w:t>
      </w:r>
      <w:r w:rsidRPr="005154A4">
        <w:rPr>
          <w:rFonts w:ascii="Trebuchet MS" w:hAnsi="Trebuchet MS" w:cstheme="minorHAnsi"/>
          <w:sz w:val="21"/>
          <w:szCs w:val="21"/>
        </w:rPr>
        <w:t>]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316"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317"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bookmarkEnd w:id="317"/>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6"/>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4"/>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9"/>
          <w:pgSz w:w="11907" w:h="16839" w:code="9"/>
          <w:pgMar w:top="1701" w:right="1418" w:bottom="1418" w:left="1418" w:header="720" w:footer="720" w:gutter="0"/>
          <w:pgNumType w:start="1"/>
          <w:cols w:space="720"/>
          <w:noEndnote/>
          <w:docGrid w:linePitch="326"/>
        </w:sectPr>
      </w:pPr>
    </w:p>
    <w:p w14:paraId="2C2C1B3C" w14:textId="5DD098F5"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77777777"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318" w:name="_DV_M2"/>
      <w:bookmarkStart w:id="319" w:name="_DV_M3"/>
      <w:bookmarkEnd w:id="318"/>
      <w:bookmarkEnd w:id="319"/>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1A4D7667"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166178" w:rsidRPr="005154A4">
        <w:rPr>
          <w:rFonts w:ascii="Trebuchet MS" w:hAnsi="Trebuchet MS" w:cstheme="minorHAnsi"/>
          <w:sz w:val="21"/>
          <w:szCs w:val="21"/>
          <w:highlight w:val="yellow"/>
        </w:rPr>
        <w:t>[=]</w:t>
      </w:r>
      <w:r w:rsidR="006A04A7" w:rsidRPr="005154A4">
        <w:rPr>
          <w:rFonts w:ascii="Trebuchet MS" w:hAnsi="Trebuchet MS"/>
          <w:bCs/>
          <w:sz w:val="21"/>
          <w:szCs w:val="21"/>
        </w:rPr>
        <w:t> </w:t>
      </w:r>
      <w:r w:rsidRPr="005154A4">
        <w:rPr>
          <w:rFonts w:ascii="Trebuchet MS" w:hAnsi="Trebuchet MS"/>
          <w:bCs/>
          <w:sz w:val="21"/>
          <w:szCs w:val="21"/>
        </w:rPr>
        <w:t>de </w:t>
      </w:r>
      <w:r w:rsidR="00166178" w:rsidRPr="005154A4">
        <w:rPr>
          <w:rFonts w:ascii="Trebuchet MS" w:hAnsi="Trebuchet MS"/>
          <w:bCs/>
          <w:sz w:val="21"/>
          <w:szCs w:val="21"/>
        </w:rPr>
        <w:t>setembro</w:t>
      </w:r>
      <w:r w:rsidR="006A04A7"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cj.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 xml:space="preserve">Conjunto 122, 12º </w:t>
            </w:r>
            <w:r w:rsidRPr="009D383E">
              <w:rPr>
                <w:rFonts w:ascii="Trebuchet MS" w:eastAsia="Arial" w:hAnsi="Trebuchet MS" w:cs="Calibri"/>
                <w:color w:val="000000" w:themeColor="text1"/>
                <w:sz w:val="21"/>
                <w:szCs w:val="21"/>
              </w:rPr>
              <w:lastRenderedPageBreak/>
              <w:t>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496898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70345A"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168D4CE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Nominal Unitário</w:t>
            </w:r>
            <w:r w:rsidRPr="005154A4">
              <w:rPr>
                <w:rFonts w:ascii="Trebuchet MS" w:hAnsi="Trebuchet MS"/>
                <w:sz w:val="21"/>
                <w:szCs w:val="21"/>
              </w:rPr>
              <w:t>: R$ </w:t>
            </w:r>
            <w:r w:rsidR="009A0921" w:rsidRPr="00962D7C">
              <w:rPr>
                <w:rFonts w:ascii="Trebuchet MS" w:hAnsi="Trebuchet MS"/>
                <w:sz w:val="21"/>
                <w:szCs w:val="21"/>
                <w:highlight w:val="yellow"/>
              </w:rPr>
              <w:t>[</w:t>
            </w:r>
            <w:r w:rsidR="00CA32DF" w:rsidRPr="00962D7C">
              <w:rPr>
                <w:rFonts w:ascii="Trebuchet MS" w:eastAsia="Arial" w:hAnsi="Trebuchet MS" w:cs="Calibri"/>
                <w:color w:val="000000" w:themeColor="text1"/>
                <w:sz w:val="21"/>
                <w:szCs w:val="21"/>
                <w:highlight w:val="yellow"/>
              </w:rPr>
              <w:t>1.000,00</w:t>
            </w:r>
            <w:r w:rsidR="009A0921" w:rsidRPr="00962D7C">
              <w:rPr>
                <w:rFonts w:ascii="Trebuchet MS" w:eastAsia="Arial" w:hAnsi="Trebuchet MS" w:cs="Calibri"/>
                <w:color w:val="000000" w:themeColor="text1"/>
                <w:sz w:val="21"/>
                <w:szCs w:val="21"/>
                <w:highlight w:val="yellow"/>
              </w:rPr>
              <w:t>]</w:t>
            </w:r>
            <w:r w:rsidR="00CA32DF" w:rsidRPr="005154A4">
              <w:rPr>
                <w:rFonts w:ascii="Trebuchet MS" w:hAnsi="Trebuchet MS"/>
                <w:sz w:val="21"/>
                <w:szCs w:val="21"/>
              </w:rPr>
              <w:t xml:space="preserve"> (</w:t>
            </w:r>
            <w:r w:rsidR="009A0921" w:rsidRPr="00962D7C">
              <w:rPr>
                <w:rFonts w:ascii="Trebuchet MS" w:hAnsi="Trebuchet MS"/>
                <w:sz w:val="21"/>
                <w:szCs w:val="21"/>
                <w:highlight w:val="yellow"/>
              </w:rPr>
              <w:t>[</w:t>
            </w:r>
            <w:r w:rsidR="00CA32DF" w:rsidRPr="00962D7C">
              <w:rPr>
                <w:rFonts w:ascii="Trebuchet MS" w:eastAsia="Arial" w:hAnsi="Trebuchet MS" w:cs="Calibri"/>
                <w:color w:val="000000" w:themeColor="text1"/>
                <w:sz w:val="21"/>
                <w:szCs w:val="21"/>
                <w:highlight w:val="yellow"/>
              </w:rPr>
              <w:t>um mil reais</w:t>
            </w:r>
            <w:r w:rsidR="009A0921" w:rsidRPr="00962D7C">
              <w:rPr>
                <w:rFonts w:ascii="Trebuchet MS" w:eastAsia="Arial" w:hAnsi="Trebuchet MS" w:cs="Calibri"/>
                <w:color w:val="000000" w:themeColor="text1"/>
                <w:sz w:val="21"/>
                <w:szCs w:val="21"/>
                <w:highlight w:val="yellow"/>
              </w:rPr>
              <w:t>]</w:t>
            </w:r>
            <w:r w:rsidR="00CA32DF" w:rsidRPr="005154A4">
              <w:rPr>
                <w:rFonts w:ascii="Trebuchet MS" w:hAnsi="Trebuchet MS"/>
                <w:sz w:val="21"/>
                <w:szCs w:val="21"/>
              </w:rPr>
              <w:t xml:space="preserve">), </w:t>
            </w:r>
            <w:r w:rsidRPr="005154A4">
              <w:rPr>
                <w:rFonts w:ascii="Trebuchet MS" w:hAnsi="Trebuchet MS"/>
                <w:sz w:val="21"/>
                <w:szCs w:val="21"/>
              </w:rPr>
              <w:t>na Data de Emissão;</w:t>
            </w:r>
          </w:p>
          <w:p w14:paraId="2D8D8CBC" w14:textId="60292CF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857AB4"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100.000</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0089794E" w:rsidRPr="005154A4">
              <w:rPr>
                <w:rFonts w:ascii="Trebuchet MS" w:hAnsi="Trebuchet MS" w:cstheme="minorHAnsi"/>
                <w:sz w:val="21"/>
                <w:szCs w:val="21"/>
              </w:rPr>
              <w:t>(</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cem mil</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108EAD1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100.000.000,00</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 xml:space="preserve"> (</w:t>
            </w:r>
            <w:r w:rsidR="0089794E" w:rsidRPr="005154A4">
              <w:rPr>
                <w:rFonts w:ascii="Trebuchet MS" w:eastAsia="Arial" w:hAnsi="Trebuchet MS" w:cs="Calibri"/>
                <w:color w:val="000000" w:themeColor="text1"/>
                <w:sz w:val="21"/>
                <w:szCs w:val="21"/>
                <w:highlight w:val="yellow"/>
              </w:rPr>
              <w:t>[</w:t>
            </w:r>
            <w:r w:rsidR="0089794E">
              <w:rPr>
                <w:rFonts w:ascii="Trebuchet MS" w:eastAsia="Arial" w:hAnsi="Trebuchet MS" w:cs="Calibri"/>
                <w:color w:val="000000" w:themeColor="text1"/>
                <w:sz w:val="21"/>
                <w:szCs w:val="21"/>
                <w:highlight w:val="yellow"/>
              </w:rPr>
              <w:t>cem milhões de reais</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w:t>
            </w:r>
            <w:r w:rsidR="0089794E" w:rsidRPr="005154A4">
              <w:rPr>
                <w:rFonts w:ascii="Trebuchet MS" w:hAnsi="Trebuchet MS" w:cs="Tahoma"/>
                <w:bCs/>
                <w:color w:val="000000"/>
                <w:sz w:val="21"/>
                <w:szCs w:val="21"/>
              </w:rPr>
              <w:t xml:space="preserve">, </w:t>
            </w:r>
            <w:r w:rsidRPr="005154A4">
              <w:rPr>
                <w:rFonts w:ascii="Trebuchet MS" w:hAnsi="Trebuchet MS" w:cs="Tahoma"/>
                <w:bCs/>
                <w:color w:val="000000"/>
                <w:sz w:val="21"/>
                <w:szCs w:val="21"/>
              </w:rPr>
              <w:t>na Data de Emissão;</w:t>
            </w:r>
          </w:p>
          <w:p w14:paraId="488D0830" w14:textId="6D62C8F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320" w:name="_DV_C113"/>
            <w:r w:rsidRPr="005154A4">
              <w:rPr>
                <w:rFonts w:ascii="Trebuchet MS" w:hAnsi="Trebuchet MS" w:cs="Tahoma"/>
                <w:kern w:val="20"/>
                <w:sz w:val="21"/>
                <w:szCs w:val="21"/>
              </w:rPr>
              <w:t>As</w:t>
            </w:r>
            <w:bookmarkStart w:id="321" w:name="_DV_M128"/>
            <w:bookmarkEnd w:id="320"/>
            <w:bookmarkEnd w:id="321"/>
            <w:r w:rsidRPr="005154A4">
              <w:rPr>
                <w:rFonts w:ascii="Trebuchet MS" w:hAnsi="Trebuchet MS" w:cs="Tahoma"/>
                <w:kern w:val="20"/>
                <w:sz w:val="21"/>
                <w:szCs w:val="21"/>
              </w:rPr>
              <w:t xml:space="preserve"> </w:t>
            </w:r>
            <w:bookmarkStart w:id="322"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322"/>
            <w:r w:rsidRPr="005154A4">
              <w:rPr>
                <w:rFonts w:ascii="Trebuchet MS" w:hAnsi="Trebuchet MS" w:cs="Tahoma"/>
                <w:kern w:val="20"/>
                <w:sz w:val="21"/>
                <w:szCs w:val="21"/>
              </w:rPr>
              <w:t xml:space="preserve">terão prazo de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C35583"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Pr="005154A4">
              <w:rPr>
                <w:rFonts w:ascii="Trebuchet MS" w:hAnsi="Trebuchet MS" w:cs="Tahoma"/>
                <w:kern w:val="20"/>
                <w:sz w:val="21"/>
                <w:szCs w:val="21"/>
              </w:rPr>
              <w:t xml:space="preserve">dias contados da Data de Emissão, vencendo-se, portanto, em </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de </w:t>
            </w:r>
            <w:r w:rsidR="00C35583" w:rsidRPr="005154A4">
              <w:rPr>
                <w:rFonts w:ascii="Trebuchet MS" w:eastAsia="Arial" w:hAnsi="Trebuchet MS" w:cs="Calibri"/>
                <w:color w:val="000000" w:themeColor="text1"/>
                <w:sz w:val="21"/>
                <w:szCs w:val="21"/>
                <w:highlight w:val="yellow"/>
              </w:rPr>
              <w:t>[=]</w:t>
            </w:r>
            <w:r w:rsidR="00C35583" w:rsidRPr="005154A4">
              <w:rPr>
                <w:rFonts w:ascii="Trebuchet MS" w:eastAsia="Arial" w:hAnsi="Trebuchet MS" w:cs="Calibri"/>
                <w:color w:val="000000" w:themeColor="text1"/>
                <w:sz w:val="21"/>
                <w:szCs w:val="21"/>
              </w:rPr>
              <w:t xml:space="preserve"> </w:t>
            </w:r>
            <w:r w:rsidRPr="005154A4">
              <w:rPr>
                <w:rFonts w:ascii="Trebuchet MS" w:hAnsi="Trebuchet MS" w:cs="Tahoma"/>
                <w:kern w:val="20"/>
                <w:sz w:val="21"/>
                <w:szCs w:val="21"/>
              </w:rPr>
              <w:t>de 20</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4C93C05F"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de forma exponencial, calculada </w:t>
            </w:r>
            <w:r w:rsidRPr="005154A4">
              <w:rPr>
                <w:rFonts w:ascii="Trebuchet MS" w:hAnsi="Trebuchet MS"/>
                <w:i/>
                <w:iCs/>
                <w:sz w:val="21"/>
                <w:szCs w:val="21"/>
              </w:rPr>
              <w:t>pro-rata temporis,</w:t>
            </w:r>
            <w:r w:rsidRPr="005154A4">
              <w:rPr>
                <w:rFonts w:ascii="Trebuchet MS" w:hAnsi="Trebuchet MS"/>
                <w:sz w:val="21"/>
                <w:szCs w:val="21"/>
              </w:rPr>
              <w:t xml:space="preserve">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 xml:space="preserve">desde a Primeira Data de Integralização (inclusive), ou a Data de </w:t>
            </w:r>
            <w:r w:rsidRPr="005154A4">
              <w:rPr>
                <w:rFonts w:ascii="Trebuchet MS" w:hAnsi="Trebuchet MS"/>
                <w:sz w:val="21"/>
                <w:szCs w:val="21"/>
              </w:rPr>
              <w:lastRenderedPageBreak/>
              <w:t>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5B47D50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de forma exponencial e cumulativa </w:t>
            </w:r>
            <w:r w:rsidRPr="005154A4">
              <w:rPr>
                <w:rFonts w:ascii="Trebuchet MS" w:hAnsi="Trebuchet MS"/>
                <w:i/>
                <w:iCs/>
                <w:sz w:val="21"/>
                <w:szCs w:val="21"/>
              </w:rPr>
              <w:t>pro rata temporis</w:t>
            </w:r>
            <w:r w:rsidRPr="005154A4">
              <w:rPr>
                <w:rFonts w:ascii="Trebuchet MS" w:hAnsi="Trebuchet MS"/>
                <w:sz w:val="21"/>
                <w:szCs w:val="21"/>
              </w:rPr>
              <w:t xml:space="preserve">, a cada Período de Capitalização, equivalentes a </w:t>
            </w:r>
            <w:r w:rsidR="00C35583" w:rsidRPr="00962D7C">
              <w:rPr>
                <w:rFonts w:ascii="Trebuchet MS" w:hAnsi="Trebuchet MS"/>
                <w:sz w:val="21"/>
                <w:szCs w:val="21"/>
                <w:highlight w:val="yellow"/>
              </w:rPr>
              <w:t>12,68% (doze inteiros e sessenta e oito centésimos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(ii)</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pro rata 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323" w:name="_DV_M10"/>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6E7C080E"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E63635" w:rsidRPr="005154A4">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028C13C6" w:rsidR="00092A46" w:rsidRPr="005154A4" w:rsidRDefault="009C357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52DF4E7F" w:rsidR="00092A46" w:rsidRPr="005154A4" w:rsidRDefault="003E31E9"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5BD3477D" w:rsidR="00092A46" w:rsidRPr="005154A4" w:rsidRDefault="003E31E9"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7ACCC0B" w:rsidR="00092A46" w:rsidRPr="005154A4" w:rsidRDefault="00881201"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sz w:val="21"/>
                <w:szCs w:val="21"/>
                <w:highlight w:val="yellow"/>
              </w:rPr>
              <w:t>[=]</w:t>
            </w:r>
            <w:r w:rsidR="00092A46" w:rsidRPr="005154A4">
              <w:rPr>
                <w:rFonts w:ascii="Trebuchet MS" w:hAnsi="Trebuchet MS"/>
                <w:sz w:val="21"/>
                <w:szCs w:val="21"/>
              </w:rPr>
              <w:t xml:space="preserve"> (cód. </w:t>
            </w:r>
            <w:r w:rsidRPr="005154A4">
              <w:rPr>
                <w:rFonts w:ascii="Trebuchet MS" w:hAnsi="Trebuchet MS"/>
                <w:sz w:val="21"/>
                <w:szCs w:val="21"/>
                <w:highlight w:val="yellow"/>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58E5B530"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6EB8FB03"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536A5FB9"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881201" w:rsidRPr="005154A4">
        <w:rPr>
          <w:rFonts w:ascii="Trebuchet MS" w:hAnsi="Trebuchet MS"/>
          <w:sz w:val="21"/>
          <w:szCs w:val="21"/>
        </w:rPr>
        <w:t>setembro</w:t>
      </w:r>
      <w:r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0"/>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D633A6A"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p w14:paraId="7E1E3333"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154A4"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1"/>
          <w:pgSz w:w="11907" w:h="16839" w:code="9"/>
          <w:pgMar w:top="1701" w:right="1418" w:bottom="1418" w:left="1418" w:header="720" w:footer="720" w:gutter="0"/>
          <w:pgNumType w:start="1"/>
          <w:cols w:space="720"/>
          <w:noEndnote/>
          <w:docGrid w:linePitch="326"/>
        </w:sectPr>
      </w:pPr>
    </w:p>
    <w:p w14:paraId="790830BB" w14:textId="5E61D5A8"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1F744090" w14:textId="271E0691" w:rsidR="00243271" w:rsidRPr="005154A4" w:rsidRDefault="00092A46" w:rsidP="00AA2991">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00C73F20" w:rsidRPr="005154A4">
        <w:rPr>
          <w:rFonts w:cstheme="minorHAnsi"/>
          <w:i/>
          <w:sz w:val="21"/>
          <w:szCs w:val="21"/>
        </w:rPr>
        <w:t>o)</w:t>
      </w:r>
    </w:p>
    <w:sectPr w:rsidR="00243271" w:rsidRPr="005154A4" w:rsidSect="000C0964">
      <w:footerReference w:type="default" r:id="rId32"/>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DA2B" w14:textId="77777777" w:rsidR="00541DEB" w:rsidRDefault="00541DEB" w:rsidP="00704452">
      <w:r>
        <w:separator/>
      </w:r>
    </w:p>
  </w:endnote>
  <w:endnote w:type="continuationSeparator" w:id="0">
    <w:p w14:paraId="48F99591" w14:textId="77777777" w:rsidR="00541DEB" w:rsidRDefault="00541DEB" w:rsidP="00704452">
      <w:r>
        <w:continuationSeparator/>
      </w:r>
    </w:p>
  </w:endnote>
  <w:endnote w:type="continuationNotice" w:id="1">
    <w:p w14:paraId="527FBC0C" w14:textId="77777777" w:rsidR="00541DEB" w:rsidRDefault="0054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5CC5" w14:textId="77777777" w:rsidR="00541DEB" w:rsidRDefault="00541DEB" w:rsidP="00704452">
      <w:r>
        <w:separator/>
      </w:r>
    </w:p>
  </w:footnote>
  <w:footnote w:type="continuationSeparator" w:id="0">
    <w:p w14:paraId="16AB428F" w14:textId="77777777" w:rsidR="00541DEB" w:rsidRDefault="00541DEB" w:rsidP="00704452">
      <w:r>
        <w:continuationSeparator/>
      </w:r>
    </w:p>
  </w:footnote>
  <w:footnote w:type="continuationNotice" w:id="1">
    <w:p w14:paraId="0500EF16" w14:textId="77777777" w:rsidR="00541DEB" w:rsidRDefault="00541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32E729D4" w:rsidR="00516D02" w:rsidRPr="00516D02" w:rsidRDefault="009406BF" w:rsidP="00516D02">
    <w:pPr>
      <w:pStyle w:val="Cabealho"/>
      <w:jc w:val="right"/>
      <w:rPr>
        <w:rFonts w:ascii="Trebuchet MS" w:hAnsi="Trebuchet MS"/>
        <w:i/>
        <w:iCs/>
        <w:color w:val="006666"/>
        <w:sz w:val="21"/>
        <w:szCs w:val="21"/>
      </w:rPr>
    </w:pPr>
    <w:r>
      <w:rPr>
        <w:rFonts w:ascii="Trebuchet MS" w:hAnsi="Trebuchet MS"/>
        <w:i/>
        <w:iCs/>
        <w:color w:val="006666"/>
        <w:sz w:val="21"/>
        <w:szCs w:val="21"/>
      </w:rPr>
      <w:t>2</w:t>
    </w:r>
    <w:r w:rsidR="0025364B">
      <w:rPr>
        <w:rFonts w:ascii="Trebuchet MS" w:hAnsi="Trebuchet MS"/>
        <w:i/>
        <w:iCs/>
        <w:color w:val="006666"/>
        <w:sz w:val="21"/>
        <w:szCs w:val="21"/>
      </w:rPr>
      <w:t>6</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2"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3"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8"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9"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0"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3"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4"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3"/>
  </w:num>
  <w:num w:numId="2" w16cid:durableId="1065881353">
    <w:abstractNumId w:val="0"/>
  </w:num>
  <w:num w:numId="3" w16cid:durableId="1331060707">
    <w:abstractNumId w:val="74"/>
  </w:num>
  <w:num w:numId="4" w16cid:durableId="1291736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7"/>
  </w:num>
  <w:num w:numId="9" w16cid:durableId="418335981">
    <w:abstractNumId w:val="71"/>
  </w:num>
  <w:num w:numId="10" w16cid:durableId="243272047">
    <w:abstractNumId w:val="27"/>
  </w:num>
  <w:num w:numId="11" w16cid:durableId="1894659535">
    <w:abstractNumId w:val="14"/>
  </w:num>
  <w:num w:numId="12" w16cid:durableId="949747980">
    <w:abstractNumId w:val="44"/>
  </w:num>
  <w:num w:numId="13" w16cid:durableId="953902068">
    <w:abstractNumId w:val="30"/>
  </w:num>
  <w:num w:numId="14" w16cid:durableId="648904517">
    <w:abstractNumId w:val="79"/>
  </w:num>
  <w:num w:numId="15" w16cid:durableId="412356757">
    <w:abstractNumId w:val="77"/>
  </w:num>
  <w:num w:numId="16" w16cid:durableId="882182392">
    <w:abstractNumId w:val="20"/>
  </w:num>
  <w:num w:numId="17" w16cid:durableId="1101416575">
    <w:abstractNumId w:val="43"/>
  </w:num>
  <w:num w:numId="18" w16cid:durableId="931165156">
    <w:abstractNumId w:val="48"/>
  </w:num>
  <w:num w:numId="19" w16cid:durableId="1112440065">
    <w:abstractNumId w:val="45"/>
  </w:num>
  <w:num w:numId="20" w16cid:durableId="1165393128">
    <w:abstractNumId w:val="13"/>
  </w:num>
  <w:num w:numId="21" w16cid:durableId="281573126">
    <w:abstractNumId w:val="76"/>
  </w:num>
  <w:num w:numId="22" w16cid:durableId="1677464896">
    <w:abstractNumId w:val="80"/>
  </w:num>
  <w:num w:numId="23" w16cid:durableId="1476606400">
    <w:abstractNumId w:val="52"/>
  </w:num>
  <w:num w:numId="24" w16cid:durableId="3944222">
    <w:abstractNumId w:val="35"/>
  </w:num>
  <w:num w:numId="25" w16cid:durableId="1811434872">
    <w:abstractNumId w:val="81"/>
  </w:num>
  <w:num w:numId="26" w16cid:durableId="200358741">
    <w:abstractNumId w:val="70"/>
  </w:num>
  <w:num w:numId="27" w16cid:durableId="750615396">
    <w:abstractNumId w:val="66"/>
  </w:num>
  <w:num w:numId="28" w16cid:durableId="1422875378">
    <w:abstractNumId w:val="57"/>
  </w:num>
  <w:num w:numId="29" w16cid:durableId="1761176131">
    <w:abstractNumId w:val="51"/>
  </w:num>
  <w:num w:numId="30" w16cid:durableId="839931854">
    <w:abstractNumId w:val="78"/>
  </w:num>
  <w:num w:numId="31" w16cid:durableId="1683047155">
    <w:abstractNumId w:val="60"/>
  </w:num>
  <w:num w:numId="32" w16cid:durableId="1821994513">
    <w:abstractNumId w:val="72"/>
  </w:num>
  <w:num w:numId="33" w16cid:durableId="1271468353">
    <w:abstractNumId w:val="68"/>
  </w:num>
  <w:num w:numId="34" w16cid:durableId="806166752">
    <w:abstractNumId w:val="8"/>
  </w:num>
  <w:num w:numId="35" w16cid:durableId="967081949">
    <w:abstractNumId w:val="23"/>
  </w:num>
  <w:num w:numId="36" w16cid:durableId="270472609">
    <w:abstractNumId w:val="56"/>
  </w:num>
  <w:num w:numId="37" w16cid:durableId="1616254275">
    <w:abstractNumId w:val="62"/>
  </w:num>
  <w:num w:numId="38" w16cid:durableId="2050762910">
    <w:abstractNumId w:val="3"/>
  </w:num>
  <w:num w:numId="39" w16cid:durableId="210189055">
    <w:abstractNumId w:val="28"/>
  </w:num>
  <w:num w:numId="40" w16cid:durableId="429352102">
    <w:abstractNumId w:val="64"/>
  </w:num>
  <w:num w:numId="41" w16cid:durableId="550457442">
    <w:abstractNumId w:val="22"/>
  </w:num>
  <w:num w:numId="42" w16cid:durableId="2105221394">
    <w:abstractNumId w:val="34"/>
  </w:num>
  <w:num w:numId="43" w16cid:durableId="2087651230">
    <w:abstractNumId w:val="67"/>
  </w:num>
  <w:num w:numId="44" w16cid:durableId="1825582923">
    <w:abstractNumId w:val="21"/>
  </w:num>
  <w:num w:numId="45" w16cid:durableId="214392979">
    <w:abstractNumId w:val="49"/>
  </w:num>
  <w:num w:numId="46" w16cid:durableId="248778906">
    <w:abstractNumId w:val="27"/>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6"/>
  </w:num>
  <w:num w:numId="51" w16cid:durableId="1365787870">
    <w:abstractNumId w:val="41"/>
  </w:num>
  <w:num w:numId="52" w16cid:durableId="539323337">
    <w:abstractNumId w:val="42"/>
  </w:num>
  <w:num w:numId="53" w16cid:durableId="1837577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8"/>
  </w:num>
  <w:num w:numId="55" w16cid:durableId="645627595">
    <w:abstractNumId w:val="14"/>
    <w:lvlOverride w:ilvl="0">
      <w:startOverride w:val="1"/>
    </w:lvlOverride>
  </w:num>
  <w:num w:numId="56" w16cid:durableId="1213493550">
    <w:abstractNumId w:val="73"/>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7"/>
  </w:num>
  <w:num w:numId="59" w16cid:durableId="1129201144">
    <w:abstractNumId w:val="16"/>
  </w:num>
  <w:num w:numId="60" w16cid:durableId="412316945">
    <w:abstractNumId w:val="33"/>
  </w:num>
  <w:num w:numId="61" w16cid:durableId="254245658">
    <w:abstractNumId w:val="32"/>
  </w:num>
  <w:num w:numId="62" w16cid:durableId="351224385">
    <w:abstractNumId w:val="84"/>
  </w:num>
  <w:num w:numId="63" w16cid:durableId="780338171">
    <w:abstractNumId w:val="50"/>
  </w:num>
  <w:num w:numId="64" w16cid:durableId="1846164486">
    <w:abstractNumId w:val="15"/>
  </w:num>
  <w:num w:numId="65" w16cid:durableId="1264221847">
    <w:abstractNumId w:val="59"/>
  </w:num>
  <w:num w:numId="66" w16cid:durableId="1575701097">
    <w:abstractNumId w:val="61"/>
  </w:num>
  <w:num w:numId="67" w16cid:durableId="454450177">
    <w:abstractNumId w:val="19"/>
  </w:num>
  <w:num w:numId="68" w16cid:durableId="244271285">
    <w:abstractNumId w:val="25"/>
  </w:num>
  <w:num w:numId="69" w16cid:durableId="650065445">
    <w:abstractNumId w:val="39"/>
  </w:num>
  <w:num w:numId="70" w16cid:durableId="1875188237">
    <w:abstractNumId w:val="31"/>
  </w:num>
  <w:num w:numId="71" w16cid:durableId="2013289281">
    <w:abstractNumId w:val="53"/>
  </w:num>
  <w:num w:numId="72" w16cid:durableId="1790509460">
    <w:abstractNumId w:val="63"/>
  </w:num>
  <w:num w:numId="73" w16cid:durableId="1431315336">
    <w:abstractNumId w:val="54"/>
  </w:num>
  <w:num w:numId="74" w16cid:durableId="1829326933">
    <w:abstractNumId w:val="5"/>
  </w:num>
  <w:num w:numId="75" w16cid:durableId="2015456713">
    <w:abstractNumId w:val="9"/>
  </w:num>
  <w:num w:numId="76" w16cid:durableId="2035770070">
    <w:abstractNumId w:val="26"/>
  </w:num>
  <w:num w:numId="77" w16cid:durableId="1754816714">
    <w:abstractNumId w:val="46"/>
  </w:num>
  <w:num w:numId="78" w16cid:durableId="1803307997">
    <w:abstractNumId w:val="17"/>
  </w:num>
  <w:num w:numId="79" w16cid:durableId="794565404">
    <w:abstractNumId w:val="10"/>
  </w:num>
  <w:num w:numId="80" w16cid:durableId="337343326">
    <w:abstractNumId w:val="65"/>
  </w:num>
  <w:num w:numId="81" w16cid:durableId="2112044181">
    <w:abstractNumId w:val="82"/>
  </w:num>
  <w:num w:numId="82" w16cid:durableId="1741903140">
    <w:abstractNumId w:val="74"/>
  </w:num>
  <w:num w:numId="83" w16cid:durableId="1174413589">
    <w:abstractNumId w:val="38"/>
  </w:num>
  <w:num w:numId="84" w16cid:durableId="383023333">
    <w:abstractNumId w:val="40"/>
  </w:num>
  <w:num w:numId="85" w16cid:durableId="2060396459">
    <w:abstractNumId w:val="74"/>
  </w:num>
  <w:num w:numId="86" w16cid:durableId="1179925762">
    <w:abstractNumId w:val="11"/>
  </w:num>
  <w:num w:numId="87" w16cid:durableId="775246406">
    <w:abstractNumId w:val="69"/>
  </w:num>
  <w:num w:numId="88" w16cid:durableId="1870289533">
    <w:abstractNumId w:val="29"/>
  </w:num>
  <w:num w:numId="89" w16cid:durableId="715860264">
    <w:abstractNumId w:val="55"/>
  </w:num>
  <w:num w:numId="90" w16cid:durableId="1292981670">
    <w:abstractNumId w:val="74"/>
  </w:num>
  <w:num w:numId="91" w16cid:durableId="127279913">
    <w:abstractNumId w:val="74"/>
  </w:num>
  <w:num w:numId="92" w16cid:durableId="1081102721">
    <w:abstractNumId w:val="74"/>
  </w:num>
  <w:num w:numId="93" w16cid:durableId="756559815">
    <w:abstractNumId w:val="6"/>
  </w:num>
  <w:num w:numId="94" w16cid:durableId="164517363">
    <w:abstractNumId w:val="74"/>
  </w:num>
  <w:num w:numId="95" w16cid:durableId="1353415248">
    <w:abstractNumId w:val="5"/>
  </w:num>
  <w:num w:numId="96" w16cid:durableId="1809977420">
    <w:abstractNumId w:val="74"/>
  </w:num>
  <w:num w:numId="97" w16cid:durableId="911045126">
    <w:abstractNumId w:val="2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C8B"/>
    <w:rsid w:val="00002D8B"/>
    <w:rsid w:val="000035AC"/>
    <w:rsid w:val="00003ADC"/>
    <w:rsid w:val="000043EB"/>
    <w:rsid w:val="000048EF"/>
    <w:rsid w:val="0000588C"/>
    <w:rsid w:val="00005B70"/>
    <w:rsid w:val="00005F24"/>
    <w:rsid w:val="000064E5"/>
    <w:rsid w:val="0000668A"/>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5405"/>
    <w:rsid w:val="00035DEF"/>
    <w:rsid w:val="00035F5B"/>
    <w:rsid w:val="00036767"/>
    <w:rsid w:val="00037ED1"/>
    <w:rsid w:val="00037EEC"/>
    <w:rsid w:val="000403BF"/>
    <w:rsid w:val="0004081F"/>
    <w:rsid w:val="00040BD6"/>
    <w:rsid w:val="00040F07"/>
    <w:rsid w:val="00041199"/>
    <w:rsid w:val="00041315"/>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795F"/>
    <w:rsid w:val="00050025"/>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1A4"/>
    <w:rsid w:val="0018464C"/>
    <w:rsid w:val="0018496A"/>
    <w:rsid w:val="00186E10"/>
    <w:rsid w:val="00187A5F"/>
    <w:rsid w:val="00187C49"/>
    <w:rsid w:val="00187CA5"/>
    <w:rsid w:val="001900B5"/>
    <w:rsid w:val="00190332"/>
    <w:rsid w:val="00190D9C"/>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ABE"/>
    <w:rsid w:val="001C5D5B"/>
    <w:rsid w:val="001C62B8"/>
    <w:rsid w:val="001C6893"/>
    <w:rsid w:val="001C6AE2"/>
    <w:rsid w:val="001C6D77"/>
    <w:rsid w:val="001C6F78"/>
    <w:rsid w:val="001C73F3"/>
    <w:rsid w:val="001C7D71"/>
    <w:rsid w:val="001D058E"/>
    <w:rsid w:val="001D0817"/>
    <w:rsid w:val="001D0A9E"/>
    <w:rsid w:val="001D0E64"/>
    <w:rsid w:val="001D0F77"/>
    <w:rsid w:val="001D10E0"/>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07741"/>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721E"/>
    <w:rsid w:val="0021791C"/>
    <w:rsid w:val="00217970"/>
    <w:rsid w:val="00217C04"/>
    <w:rsid w:val="0022014A"/>
    <w:rsid w:val="0022032B"/>
    <w:rsid w:val="002203A7"/>
    <w:rsid w:val="00220D1C"/>
    <w:rsid w:val="00221142"/>
    <w:rsid w:val="002216E0"/>
    <w:rsid w:val="00221CB0"/>
    <w:rsid w:val="00221D01"/>
    <w:rsid w:val="00221E84"/>
    <w:rsid w:val="002221B1"/>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73A"/>
    <w:rsid w:val="0025235A"/>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71E"/>
    <w:rsid w:val="00297C24"/>
    <w:rsid w:val="002A0666"/>
    <w:rsid w:val="002A13EE"/>
    <w:rsid w:val="002A192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EFD"/>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76F"/>
    <w:rsid w:val="002C19DE"/>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B2A"/>
    <w:rsid w:val="00300EE9"/>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50B5"/>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98"/>
    <w:rsid w:val="003B1F86"/>
    <w:rsid w:val="003B2009"/>
    <w:rsid w:val="003B22DE"/>
    <w:rsid w:val="003B24DD"/>
    <w:rsid w:val="003B2BEA"/>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3D3"/>
    <w:rsid w:val="00424584"/>
    <w:rsid w:val="004246F2"/>
    <w:rsid w:val="00424811"/>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44BF"/>
    <w:rsid w:val="00534504"/>
    <w:rsid w:val="00534CF4"/>
    <w:rsid w:val="0053511D"/>
    <w:rsid w:val="00535233"/>
    <w:rsid w:val="005354C6"/>
    <w:rsid w:val="0053579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773"/>
    <w:rsid w:val="00570C7C"/>
    <w:rsid w:val="00571764"/>
    <w:rsid w:val="00571813"/>
    <w:rsid w:val="005719A1"/>
    <w:rsid w:val="00571F7D"/>
    <w:rsid w:val="005727D2"/>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DB3"/>
    <w:rsid w:val="005B1855"/>
    <w:rsid w:val="005B1C8F"/>
    <w:rsid w:val="005B2B25"/>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4F27"/>
    <w:rsid w:val="005E56BA"/>
    <w:rsid w:val="005E5E5F"/>
    <w:rsid w:val="005E63D8"/>
    <w:rsid w:val="005E67AE"/>
    <w:rsid w:val="005E6A49"/>
    <w:rsid w:val="005E6DAA"/>
    <w:rsid w:val="005E72FD"/>
    <w:rsid w:val="005E730D"/>
    <w:rsid w:val="005E7C4C"/>
    <w:rsid w:val="005F0144"/>
    <w:rsid w:val="005F048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1A4"/>
    <w:rsid w:val="00617305"/>
    <w:rsid w:val="006176A1"/>
    <w:rsid w:val="00617C9C"/>
    <w:rsid w:val="0062027D"/>
    <w:rsid w:val="00620C96"/>
    <w:rsid w:val="00620D39"/>
    <w:rsid w:val="0062104B"/>
    <w:rsid w:val="00621185"/>
    <w:rsid w:val="00621578"/>
    <w:rsid w:val="00622316"/>
    <w:rsid w:val="006225E4"/>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383"/>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7180"/>
    <w:rsid w:val="006472AB"/>
    <w:rsid w:val="00647435"/>
    <w:rsid w:val="006475E2"/>
    <w:rsid w:val="006478CC"/>
    <w:rsid w:val="00647919"/>
    <w:rsid w:val="00647C3E"/>
    <w:rsid w:val="00650295"/>
    <w:rsid w:val="00650C60"/>
    <w:rsid w:val="00651639"/>
    <w:rsid w:val="00651AF8"/>
    <w:rsid w:val="00651BFB"/>
    <w:rsid w:val="00651FAD"/>
    <w:rsid w:val="006520E1"/>
    <w:rsid w:val="006522CD"/>
    <w:rsid w:val="0065288C"/>
    <w:rsid w:val="00653AED"/>
    <w:rsid w:val="00654181"/>
    <w:rsid w:val="00654582"/>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3FA"/>
    <w:rsid w:val="00683532"/>
    <w:rsid w:val="0068494C"/>
    <w:rsid w:val="00685C9B"/>
    <w:rsid w:val="00685D0B"/>
    <w:rsid w:val="00686169"/>
    <w:rsid w:val="00686443"/>
    <w:rsid w:val="00686F7E"/>
    <w:rsid w:val="0068715A"/>
    <w:rsid w:val="0068722A"/>
    <w:rsid w:val="00687F35"/>
    <w:rsid w:val="00690747"/>
    <w:rsid w:val="00691545"/>
    <w:rsid w:val="00691A74"/>
    <w:rsid w:val="00691ECC"/>
    <w:rsid w:val="006924C7"/>
    <w:rsid w:val="0069272A"/>
    <w:rsid w:val="00692BBD"/>
    <w:rsid w:val="006931E0"/>
    <w:rsid w:val="006934FE"/>
    <w:rsid w:val="00693558"/>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58A"/>
    <w:rsid w:val="006B38B6"/>
    <w:rsid w:val="006B3E25"/>
    <w:rsid w:val="006B40C1"/>
    <w:rsid w:val="006B549C"/>
    <w:rsid w:val="006B6955"/>
    <w:rsid w:val="006B6AEE"/>
    <w:rsid w:val="006B6D36"/>
    <w:rsid w:val="006B6F0B"/>
    <w:rsid w:val="006B7575"/>
    <w:rsid w:val="006B78F7"/>
    <w:rsid w:val="006B792C"/>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B13"/>
    <w:rsid w:val="006D2C2A"/>
    <w:rsid w:val="006D2DA5"/>
    <w:rsid w:val="006D2FFC"/>
    <w:rsid w:val="006D34D3"/>
    <w:rsid w:val="006D4208"/>
    <w:rsid w:val="006D46C5"/>
    <w:rsid w:val="006D4CD4"/>
    <w:rsid w:val="006D5461"/>
    <w:rsid w:val="006D6013"/>
    <w:rsid w:val="006D63EC"/>
    <w:rsid w:val="006D6A01"/>
    <w:rsid w:val="006D6C6A"/>
    <w:rsid w:val="006D7161"/>
    <w:rsid w:val="006D7943"/>
    <w:rsid w:val="006E0004"/>
    <w:rsid w:val="006E00DC"/>
    <w:rsid w:val="006E1879"/>
    <w:rsid w:val="006E1AAA"/>
    <w:rsid w:val="006E1C58"/>
    <w:rsid w:val="006E279C"/>
    <w:rsid w:val="006E2BC9"/>
    <w:rsid w:val="006E3433"/>
    <w:rsid w:val="006E35DD"/>
    <w:rsid w:val="006E39CC"/>
    <w:rsid w:val="006E4C0F"/>
    <w:rsid w:val="006E60BC"/>
    <w:rsid w:val="006E6494"/>
    <w:rsid w:val="006E6B03"/>
    <w:rsid w:val="006E6BD3"/>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206CA"/>
    <w:rsid w:val="00720869"/>
    <w:rsid w:val="007211A4"/>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1294"/>
    <w:rsid w:val="00741330"/>
    <w:rsid w:val="0074135D"/>
    <w:rsid w:val="007417B8"/>
    <w:rsid w:val="00741898"/>
    <w:rsid w:val="007425F8"/>
    <w:rsid w:val="00742D5A"/>
    <w:rsid w:val="00742E07"/>
    <w:rsid w:val="00743359"/>
    <w:rsid w:val="00743B93"/>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86F"/>
    <w:rsid w:val="007619E6"/>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70A1C"/>
    <w:rsid w:val="00770E87"/>
    <w:rsid w:val="00770FA5"/>
    <w:rsid w:val="0077141E"/>
    <w:rsid w:val="007715D5"/>
    <w:rsid w:val="007715E6"/>
    <w:rsid w:val="00771B4F"/>
    <w:rsid w:val="0077202D"/>
    <w:rsid w:val="00772206"/>
    <w:rsid w:val="00772A7A"/>
    <w:rsid w:val="00772AEC"/>
    <w:rsid w:val="00772D6C"/>
    <w:rsid w:val="00772E43"/>
    <w:rsid w:val="007738DE"/>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2D3"/>
    <w:rsid w:val="007B1FCC"/>
    <w:rsid w:val="007B248B"/>
    <w:rsid w:val="007B3065"/>
    <w:rsid w:val="007B3248"/>
    <w:rsid w:val="007B3608"/>
    <w:rsid w:val="007B40FE"/>
    <w:rsid w:val="007B4B5D"/>
    <w:rsid w:val="007B4DDA"/>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30B2"/>
    <w:rsid w:val="007D3470"/>
    <w:rsid w:val="007D3AB5"/>
    <w:rsid w:val="007D4DF7"/>
    <w:rsid w:val="007D5257"/>
    <w:rsid w:val="007D57E2"/>
    <w:rsid w:val="007D584B"/>
    <w:rsid w:val="007D59E0"/>
    <w:rsid w:val="007D5F9E"/>
    <w:rsid w:val="007D6AB9"/>
    <w:rsid w:val="007D6C98"/>
    <w:rsid w:val="007D6FA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5262"/>
    <w:rsid w:val="007E561D"/>
    <w:rsid w:val="007E5634"/>
    <w:rsid w:val="007E5A9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CB8"/>
    <w:rsid w:val="00826CE3"/>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1EC"/>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921"/>
    <w:rsid w:val="009A0BE9"/>
    <w:rsid w:val="009A0D98"/>
    <w:rsid w:val="009A10C2"/>
    <w:rsid w:val="009A17DF"/>
    <w:rsid w:val="009A18AC"/>
    <w:rsid w:val="009A3695"/>
    <w:rsid w:val="009A36FA"/>
    <w:rsid w:val="009A38B9"/>
    <w:rsid w:val="009A4109"/>
    <w:rsid w:val="009A4703"/>
    <w:rsid w:val="009A4F51"/>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6D02"/>
    <w:rsid w:val="009B6E42"/>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106"/>
    <w:rsid w:val="009C7D9D"/>
    <w:rsid w:val="009D06D9"/>
    <w:rsid w:val="009D06ED"/>
    <w:rsid w:val="009D0729"/>
    <w:rsid w:val="009D0826"/>
    <w:rsid w:val="009D0DCB"/>
    <w:rsid w:val="009D1016"/>
    <w:rsid w:val="009D1161"/>
    <w:rsid w:val="009D2548"/>
    <w:rsid w:val="009D269B"/>
    <w:rsid w:val="009D383E"/>
    <w:rsid w:val="009D3F1F"/>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7622"/>
    <w:rsid w:val="00A17D2B"/>
    <w:rsid w:val="00A17E03"/>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3113"/>
    <w:rsid w:val="00A432E2"/>
    <w:rsid w:val="00A4331D"/>
    <w:rsid w:val="00A43331"/>
    <w:rsid w:val="00A434B3"/>
    <w:rsid w:val="00A43DDC"/>
    <w:rsid w:val="00A44197"/>
    <w:rsid w:val="00A448B7"/>
    <w:rsid w:val="00A44DD7"/>
    <w:rsid w:val="00A456BA"/>
    <w:rsid w:val="00A4580A"/>
    <w:rsid w:val="00A45A5F"/>
    <w:rsid w:val="00A45CEA"/>
    <w:rsid w:val="00A46093"/>
    <w:rsid w:val="00A46608"/>
    <w:rsid w:val="00A46AB5"/>
    <w:rsid w:val="00A46BFD"/>
    <w:rsid w:val="00A46D77"/>
    <w:rsid w:val="00A4739F"/>
    <w:rsid w:val="00A47A42"/>
    <w:rsid w:val="00A47B89"/>
    <w:rsid w:val="00A5056D"/>
    <w:rsid w:val="00A50767"/>
    <w:rsid w:val="00A50B38"/>
    <w:rsid w:val="00A51405"/>
    <w:rsid w:val="00A52E4A"/>
    <w:rsid w:val="00A53728"/>
    <w:rsid w:val="00A53960"/>
    <w:rsid w:val="00A54285"/>
    <w:rsid w:val="00A54351"/>
    <w:rsid w:val="00A54707"/>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7F8"/>
    <w:rsid w:val="00A8780D"/>
    <w:rsid w:val="00A902D5"/>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960"/>
    <w:rsid w:val="00AC5F0C"/>
    <w:rsid w:val="00AC6325"/>
    <w:rsid w:val="00AC64A6"/>
    <w:rsid w:val="00AC6550"/>
    <w:rsid w:val="00AC6A65"/>
    <w:rsid w:val="00AC798B"/>
    <w:rsid w:val="00AC7A71"/>
    <w:rsid w:val="00AD104B"/>
    <w:rsid w:val="00AD1234"/>
    <w:rsid w:val="00AD12B0"/>
    <w:rsid w:val="00AD1510"/>
    <w:rsid w:val="00AD1760"/>
    <w:rsid w:val="00AD1FC7"/>
    <w:rsid w:val="00AD20B8"/>
    <w:rsid w:val="00AD20BC"/>
    <w:rsid w:val="00AD299B"/>
    <w:rsid w:val="00AD2CF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3E6"/>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60DF"/>
    <w:rsid w:val="00B8623C"/>
    <w:rsid w:val="00B86988"/>
    <w:rsid w:val="00B870CD"/>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4056"/>
    <w:rsid w:val="00BA4C23"/>
    <w:rsid w:val="00BA4D27"/>
    <w:rsid w:val="00BA5A23"/>
    <w:rsid w:val="00BA6292"/>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3478"/>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6A75"/>
    <w:rsid w:val="00C679FE"/>
    <w:rsid w:val="00C70A6A"/>
    <w:rsid w:val="00C716BB"/>
    <w:rsid w:val="00C71778"/>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1382"/>
    <w:rsid w:val="00C8140E"/>
    <w:rsid w:val="00C8160A"/>
    <w:rsid w:val="00C82CF1"/>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B53"/>
    <w:rsid w:val="00CA32DF"/>
    <w:rsid w:val="00CA3301"/>
    <w:rsid w:val="00CA3310"/>
    <w:rsid w:val="00CA3778"/>
    <w:rsid w:val="00CA38F6"/>
    <w:rsid w:val="00CA3B50"/>
    <w:rsid w:val="00CA464B"/>
    <w:rsid w:val="00CA4D72"/>
    <w:rsid w:val="00CA5023"/>
    <w:rsid w:val="00CA5AF9"/>
    <w:rsid w:val="00CA5D12"/>
    <w:rsid w:val="00CA5E51"/>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117A"/>
    <w:rsid w:val="00D018C8"/>
    <w:rsid w:val="00D0218F"/>
    <w:rsid w:val="00D02327"/>
    <w:rsid w:val="00D02E09"/>
    <w:rsid w:val="00D030A1"/>
    <w:rsid w:val="00D03315"/>
    <w:rsid w:val="00D03A0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882"/>
    <w:rsid w:val="00D63CBC"/>
    <w:rsid w:val="00D640A5"/>
    <w:rsid w:val="00D642AE"/>
    <w:rsid w:val="00D64358"/>
    <w:rsid w:val="00D64A57"/>
    <w:rsid w:val="00D64F73"/>
    <w:rsid w:val="00D65960"/>
    <w:rsid w:val="00D65D8E"/>
    <w:rsid w:val="00D65E76"/>
    <w:rsid w:val="00D6725D"/>
    <w:rsid w:val="00D672A4"/>
    <w:rsid w:val="00D6742F"/>
    <w:rsid w:val="00D67710"/>
    <w:rsid w:val="00D67CD6"/>
    <w:rsid w:val="00D70A1B"/>
    <w:rsid w:val="00D718B0"/>
    <w:rsid w:val="00D71FA9"/>
    <w:rsid w:val="00D7216E"/>
    <w:rsid w:val="00D7249D"/>
    <w:rsid w:val="00D729B2"/>
    <w:rsid w:val="00D7358A"/>
    <w:rsid w:val="00D743A3"/>
    <w:rsid w:val="00D74DA0"/>
    <w:rsid w:val="00D75298"/>
    <w:rsid w:val="00D754BA"/>
    <w:rsid w:val="00D75889"/>
    <w:rsid w:val="00D768C6"/>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D96"/>
    <w:rsid w:val="00D9414A"/>
    <w:rsid w:val="00D947A0"/>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D1C"/>
    <w:rsid w:val="00DC2E3B"/>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302F7"/>
    <w:rsid w:val="00E316B6"/>
    <w:rsid w:val="00E31721"/>
    <w:rsid w:val="00E329CC"/>
    <w:rsid w:val="00E33186"/>
    <w:rsid w:val="00E33A46"/>
    <w:rsid w:val="00E33F4D"/>
    <w:rsid w:val="00E34D84"/>
    <w:rsid w:val="00E34F80"/>
    <w:rsid w:val="00E351AA"/>
    <w:rsid w:val="00E3522B"/>
    <w:rsid w:val="00E35B9F"/>
    <w:rsid w:val="00E365AF"/>
    <w:rsid w:val="00E36BC0"/>
    <w:rsid w:val="00E36EC4"/>
    <w:rsid w:val="00E371F3"/>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5590"/>
    <w:rsid w:val="00E45692"/>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B64"/>
    <w:rsid w:val="00E9423B"/>
    <w:rsid w:val="00E9483E"/>
    <w:rsid w:val="00E949BD"/>
    <w:rsid w:val="00E94C40"/>
    <w:rsid w:val="00E94C5E"/>
    <w:rsid w:val="00E94D5D"/>
    <w:rsid w:val="00E95085"/>
    <w:rsid w:val="00E95346"/>
    <w:rsid w:val="00E954DC"/>
    <w:rsid w:val="00E959B0"/>
    <w:rsid w:val="00E95C29"/>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9AD"/>
    <w:rsid w:val="00EE0C12"/>
    <w:rsid w:val="00EE0CC4"/>
    <w:rsid w:val="00EE1C38"/>
    <w:rsid w:val="00EE204A"/>
    <w:rsid w:val="00EE270E"/>
    <w:rsid w:val="00EE289D"/>
    <w:rsid w:val="00EE2917"/>
    <w:rsid w:val="00EE2FEB"/>
    <w:rsid w:val="00EE30CD"/>
    <w:rsid w:val="00EE33A9"/>
    <w:rsid w:val="00EE43DA"/>
    <w:rsid w:val="00EE5342"/>
    <w:rsid w:val="00EE5374"/>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1C4E"/>
    <w:rsid w:val="00EF2225"/>
    <w:rsid w:val="00EF2412"/>
    <w:rsid w:val="00EF2A1F"/>
    <w:rsid w:val="00EF2CF1"/>
    <w:rsid w:val="00EF2FFD"/>
    <w:rsid w:val="00EF350F"/>
    <w:rsid w:val="00EF3648"/>
    <w:rsid w:val="00EF418C"/>
    <w:rsid w:val="00EF41B8"/>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3022"/>
    <w:rsid w:val="00F0337F"/>
    <w:rsid w:val="00F03388"/>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6B1"/>
    <w:rsid w:val="00F158DF"/>
    <w:rsid w:val="00F16A8E"/>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A3E"/>
    <w:rsid w:val="00F31FD7"/>
    <w:rsid w:val="00F32189"/>
    <w:rsid w:val="00F32F16"/>
    <w:rsid w:val="00F331F4"/>
    <w:rsid w:val="00F332EB"/>
    <w:rsid w:val="00F339FF"/>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D9D"/>
    <w:rsid w:val="00FE5DEE"/>
    <w:rsid w:val="00FE5FE3"/>
    <w:rsid w:val="00FE60AF"/>
    <w:rsid w:val="00FE64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C6B"/>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mailto:jayro.poggi@lote5.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sterio@lote5.com.br"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arruy@nmcapital.com.br" TargetMode="External"/><Relationship Id="rId27" Type="http://schemas.openxmlformats.org/officeDocument/2006/relationships/footer" Target="footer8.xml"/><Relationship Id="rId30" Type="http://schemas.openxmlformats.org/officeDocument/2006/relationships/footer" Target="footer1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2.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3.xml><?xml version="1.0" encoding="utf-8"?>
<ds:datastoreItem xmlns:ds="http://schemas.openxmlformats.org/officeDocument/2006/customXml" ds:itemID="{2ABAACB2-06C4-4B5B-B663-28CE528589D6}">
  <ds:schemaRefs>
    <ds:schemaRef ds:uri="http://www.imanage.com/work/xmlschema"/>
  </ds:schemaRefs>
</ds:datastoreItem>
</file>

<file path=customXml/itemProps4.xml><?xml version="1.0" encoding="utf-8"?>
<ds:datastoreItem xmlns:ds="http://schemas.openxmlformats.org/officeDocument/2006/customXml" ds:itemID="{4F9ED899-E67A-44B9-8DC7-1C6EB3FEAAFE}">
  <ds:schemaRefs>
    <ds:schemaRef ds:uri="http://schemas.microsoft.com/office/2006/metadata/properties"/>
    <ds:schemaRef ds:uri="48d78cab-6454-4b0f-b9e0-58102346f6ab"/>
    <ds:schemaRef ds:uri="http://www.w3.org/XML/1998/namespace"/>
    <ds:schemaRef ds:uri="http://schemas.microsoft.com/office/2006/documentManagement/types"/>
    <ds:schemaRef ds:uri="http://purl.org/dc/terms/"/>
    <ds:schemaRef ds:uri="93253381-7cb3-482e-8289-5c3f9b4a1607"/>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36996</Words>
  <Characters>199779</Characters>
  <Application>Microsoft Office Word</Application>
  <DocSecurity>0</DocSecurity>
  <Lines>1664</Lines>
  <Paragraphs>472</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3</cp:revision>
  <cp:lastPrinted>2022-09-27T00:27:00Z</cp:lastPrinted>
  <dcterms:created xsi:type="dcterms:W3CDTF">2022-09-27T00:28:00Z</dcterms:created>
  <dcterms:modified xsi:type="dcterms:W3CDTF">2022-09-27T00:28:00Z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