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2F47AE94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2A7948" w:rsidRPr="00677C6A">
        <w:rPr>
          <w:rFonts w:ascii="Open Sans" w:hAnsi="Open Sans" w:cs="Open Sans"/>
          <w:b/>
          <w:bCs/>
          <w:sz w:val="20"/>
          <w:szCs w:val="20"/>
        </w:rPr>
        <w:t>395ª, 396ª, 397ª, 398ª, 399ª, 400ª, 401ª, 402ª, 403ª, 404ª, 405ª E 406ª</w:t>
      </w:r>
      <w:r w:rsidR="002A7948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26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5F0F6356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26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2A7948">
        <w:rPr>
          <w:rFonts w:ascii="Open Sans" w:hAnsi="Open Sans" w:cs="Open Sans"/>
          <w:b/>
          <w:color w:val="000000" w:themeColor="text1"/>
          <w:sz w:val="20"/>
          <w:szCs w:val="20"/>
        </w:rPr>
        <w:t>16</w:t>
      </w:r>
      <w:r w:rsidR="001A6258">
        <w:rPr>
          <w:rFonts w:ascii="Open Sans" w:hAnsi="Open Sans" w:cs="Open Sans"/>
          <w:b/>
          <w:color w:val="000000" w:themeColor="text1"/>
          <w:sz w:val="20"/>
          <w:szCs w:val="20"/>
        </w:rPr>
        <w:t>:00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CEA1EFC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proofErr w:type="spellStart"/>
      <w:r w:rsidR="005A4CA0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</w:t>
      </w:r>
      <w:proofErr w:type="spellEnd"/>
      <w:r w:rsidR="005A4CA0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5A4CA0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Pavarini</w:t>
      </w:r>
      <w:proofErr w:type="spellEnd"/>
      <w:r w:rsidR="005A4CA0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253C923E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</w:t>
      </w:r>
      <w:r w:rsidR="00F20CEB">
        <w:rPr>
          <w:rFonts w:ascii="Open Sans" w:hAnsi="Open Sans" w:cs="Open Sans"/>
          <w:color w:val="000000" w:themeColor="text1"/>
          <w:sz w:val="20"/>
          <w:szCs w:val="20"/>
        </w:rPr>
        <w:t>Jornal O Dia, nas edições (i) do dia 06 de outubro de 2022; (</w:t>
      </w:r>
      <w:proofErr w:type="spellStart"/>
      <w:r w:rsidR="00F20CEB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="00F20CEB">
        <w:rPr>
          <w:rFonts w:ascii="Open Sans" w:hAnsi="Open Sans" w:cs="Open Sans"/>
          <w:color w:val="000000" w:themeColor="text1"/>
          <w:sz w:val="20"/>
          <w:szCs w:val="20"/>
        </w:rPr>
        <w:t>) do dia 07</w:t>
      </w:r>
      <w:r w:rsidR="00F20C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0CEB">
        <w:rPr>
          <w:rFonts w:ascii="Open Sans" w:hAnsi="Open Sans" w:cs="Open Sans"/>
          <w:color w:val="000000" w:themeColor="text1"/>
          <w:sz w:val="20"/>
          <w:szCs w:val="20"/>
        </w:rPr>
        <w:t>de outubro de 2022; e (</w:t>
      </w:r>
      <w:proofErr w:type="spellStart"/>
      <w:r w:rsidR="00F20CEB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F20CEB">
        <w:rPr>
          <w:rFonts w:ascii="Open Sans" w:hAnsi="Open Sans" w:cs="Open Sans"/>
          <w:color w:val="000000" w:themeColor="text1"/>
          <w:sz w:val="20"/>
          <w:szCs w:val="20"/>
        </w:rPr>
        <w:t xml:space="preserve">) do dia 08 de outubro de 2022, nos termos do </w:t>
      </w:r>
      <w:r w:rsidR="00F20CEB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F20CEB" w:rsidRPr="009C22A6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F20CEB" w:rsidRPr="00A026B9">
        <w:rPr>
          <w:rFonts w:ascii="Open Sans" w:hAnsi="Open Sans" w:cs="Open Sans"/>
          <w:i/>
          <w:iCs/>
          <w:sz w:val="20"/>
          <w:szCs w:val="20"/>
        </w:rPr>
        <w:t xml:space="preserve">das 395ª, 396ª, 397ª, 398ª, 399ª, 400ª, 401ª, 402ª, 403ª, 404ª, 405ª Séries da </w:t>
      </w:r>
      <w:r w:rsidR="00F20CEB" w:rsidRPr="00A026B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F20CEB" w:rsidRPr="00A026B9">
        <w:rPr>
          <w:rFonts w:ascii="Open Sans" w:hAnsi="Open Sans" w:cs="Open Sans"/>
          <w:i/>
          <w:iCs/>
          <w:sz w:val="20"/>
          <w:szCs w:val="20"/>
        </w:rPr>
        <w:t>ª Emissão de Certificados de R</w:t>
      </w:r>
      <w:r w:rsidR="00F20CEB" w:rsidRPr="009C22A6">
        <w:rPr>
          <w:rFonts w:ascii="Open Sans" w:hAnsi="Open Sans" w:cs="Open Sans"/>
          <w:i/>
          <w:iCs/>
          <w:sz w:val="20"/>
          <w:szCs w:val="20"/>
        </w:rPr>
        <w:t>ecebíveis Imobiliários da Forte Securitizadora S.A.</w:t>
      </w:r>
      <w:r w:rsidR="00F20CEB">
        <w:rPr>
          <w:rFonts w:ascii="Open Sans" w:hAnsi="Open Sans" w:cs="Open Sans"/>
          <w:i/>
          <w:iCs/>
          <w:sz w:val="20"/>
          <w:szCs w:val="20"/>
        </w:rPr>
        <w:t>”</w:t>
      </w:r>
      <w:r w:rsidR="00F20CEB" w:rsidRPr="005603A8">
        <w:rPr>
          <w:rFonts w:ascii="Open Sans" w:hAnsi="Open Sans" w:cs="Open Sans"/>
          <w:iCs/>
          <w:sz w:val="20"/>
          <w:szCs w:val="20"/>
        </w:rPr>
        <w:t>,</w:t>
      </w:r>
      <w:r w:rsidR="00F20CEB"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F20CEB">
        <w:rPr>
          <w:rFonts w:ascii="Open Sans" w:hAnsi="Open Sans" w:cs="Open Sans"/>
          <w:color w:val="000000" w:themeColor="text1"/>
          <w:sz w:val="20"/>
          <w:szCs w:val="20"/>
        </w:rPr>
        <w:t>29 de abril de 2020, conforme aditado (“</w:t>
      </w:r>
      <w:r w:rsidR="00F20CEB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F20CEB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65509D4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>26 de outubro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05A22382" w:rsidR="00635ED7" w:rsidRPr="00D06264" w:rsidRDefault="0084280E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0CE32848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2A7948" w:rsidRPr="002A794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395ª, 396ª, 397ª, 398ª, 399ª, 400ª, 401ª, 402ª, 403ª, 404ª, 405ª E 406ª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26 DE OUTUBRO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350C406" w14:textId="77777777" w:rsidR="00891107" w:rsidRPr="00D06264" w:rsidRDefault="00AF67C1" w:rsidP="00891107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891107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891107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7C7D1210" w14:textId="77777777" w:rsidR="00891107" w:rsidRPr="00D06264" w:rsidRDefault="00891107" w:rsidP="00891107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52AE1A0" w14:textId="77777777" w:rsidR="00891107" w:rsidRPr="00D06264" w:rsidRDefault="00891107" w:rsidP="00891107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1EB408" w14:textId="77777777" w:rsidR="00891107" w:rsidRDefault="00891107" w:rsidP="00891107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Investidores:</w:t>
      </w:r>
    </w:p>
    <w:p w14:paraId="69ED68E0" w14:textId="77777777" w:rsidR="00891107" w:rsidRPr="00D06264" w:rsidRDefault="00891107" w:rsidP="00891107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53DD4EA3" w14:textId="77777777" w:rsidR="00891107" w:rsidRPr="002B76D6" w:rsidRDefault="00891107" w:rsidP="00891107">
      <w:pPr>
        <w:jc w:val="center"/>
        <w:rPr>
          <w:rFonts w:ascii="Open Sans" w:hAnsi="Open Sans" w:cs="Open Sans"/>
          <w:b/>
          <w:bCs/>
          <w:i/>
          <w:iCs/>
          <w:smallCaps/>
          <w:color w:val="000000" w:themeColor="text1"/>
          <w:sz w:val="20"/>
          <w:szCs w:val="20"/>
        </w:rPr>
      </w:pPr>
      <w:r w:rsidRPr="00582E70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Investidores Que </w:t>
      </w:r>
      <w:r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Acessaram </w:t>
      </w:r>
      <w:r w:rsidRPr="002B76D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por meio da plataforma eletrônica </w:t>
      </w:r>
      <w:r w:rsidRPr="002B76D6">
        <w:rPr>
          <w:rFonts w:ascii="Open Sans" w:hAnsi="Open Sans" w:cs="Open Sans"/>
          <w:b/>
          <w:bCs/>
          <w:i/>
          <w:iCs/>
          <w:smallCaps/>
          <w:color w:val="000000" w:themeColor="text1"/>
          <w:sz w:val="20"/>
          <w:szCs w:val="20"/>
        </w:rPr>
        <w:t xml:space="preserve">Microsoft </w:t>
      </w:r>
      <w:proofErr w:type="spellStart"/>
      <w:r w:rsidRPr="002B76D6">
        <w:rPr>
          <w:rFonts w:ascii="Open Sans" w:hAnsi="Open Sans" w:cs="Open Sans"/>
          <w:b/>
          <w:bCs/>
          <w:i/>
          <w:iCs/>
          <w:smallCaps/>
          <w:color w:val="000000" w:themeColor="text1"/>
          <w:sz w:val="20"/>
          <w:szCs w:val="20"/>
        </w:rPr>
        <w:t>Teams</w:t>
      </w:r>
      <w:proofErr w:type="spellEnd"/>
    </w:p>
    <w:p w14:paraId="6C1EA751" w14:textId="77777777" w:rsidR="00891107" w:rsidRPr="00D06264" w:rsidRDefault="00891107" w:rsidP="00891107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1107" w14:paraId="3BDD0899" w14:textId="77777777" w:rsidTr="00851A4D">
        <w:tc>
          <w:tcPr>
            <w:tcW w:w="4530" w:type="dxa"/>
          </w:tcPr>
          <w:p w14:paraId="6F05C20A" w14:textId="77777777" w:rsidR="00891107" w:rsidRPr="00F91471" w:rsidRDefault="00891107" w:rsidP="00851A4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9147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NOME/RAZÃO SOCIAL DO INVESTIDOR </w:t>
            </w:r>
          </w:p>
        </w:tc>
        <w:tc>
          <w:tcPr>
            <w:tcW w:w="4530" w:type="dxa"/>
          </w:tcPr>
          <w:p w14:paraId="4AF1DDF6" w14:textId="77777777" w:rsidR="00891107" w:rsidRPr="00F91471" w:rsidRDefault="00891107" w:rsidP="00851A4D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F9147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CPF/CNPJ DO INVESTIDOR </w:t>
            </w:r>
          </w:p>
        </w:tc>
      </w:tr>
      <w:tr w:rsidR="00702ACE" w14:paraId="42B9BB58" w14:textId="77777777" w:rsidTr="00851A4D">
        <w:tc>
          <w:tcPr>
            <w:tcW w:w="4530" w:type="dxa"/>
            <w:vAlign w:val="center"/>
          </w:tcPr>
          <w:p w14:paraId="299FB471" w14:textId="1317E3E1" w:rsidR="00702ACE" w:rsidRPr="00702ACE" w:rsidRDefault="00702ACE" w:rsidP="00702AC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02ACE">
              <w:rPr>
                <w:rFonts w:ascii="Segoe UI" w:hAnsi="Segoe UI" w:cs="Segoe UI"/>
                <w:color w:val="242424"/>
                <w:sz w:val="20"/>
                <w:szCs w:val="20"/>
              </w:rPr>
              <w:t>VERSALHES RECEBIVEIS IMOBILIARIOS - FUNDO DE INVESTIMENTO IMOBILIARIO</w:t>
            </w:r>
          </w:p>
        </w:tc>
        <w:tc>
          <w:tcPr>
            <w:tcW w:w="4530" w:type="dxa"/>
            <w:vAlign w:val="center"/>
          </w:tcPr>
          <w:p w14:paraId="6EDA2B3D" w14:textId="168DD99A" w:rsidR="00702ACE" w:rsidRPr="00702ACE" w:rsidRDefault="00702ACE" w:rsidP="00702AC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02ACE">
              <w:rPr>
                <w:rFonts w:ascii="Segoe UI" w:hAnsi="Segoe UI" w:cs="Segoe UI"/>
                <w:color w:val="242424"/>
                <w:sz w:val="20"/>
                <w:szCs w:val="20"/>
              </w:rPr>
              <w:t>36.244.015/0001-42</w:t>
            </w:r>
          </w:p>
        </w:tc>
      </w:tr>
      <w:tr w:rsidR="00702ACE" w14:paraId="4C768CC9" w14:textId="77777777" w:rsidTr="00851A4D">
        <w:tc>
          <w:tcPr>
            <w:tcW w:w="4530" w:type="dxa"/>
            <w:vAlign w:val="center"/>
          </w:tcPr>
          <w:p w14:paraId="41A5641F" w14:textId="0C4A1DE1" w:rsidR="00702ACE" w:rsidRPr="00702ACE" w:rsidRDefault="00702ACE" w:rsidP="00702AC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02ACE">
              <w:rPr>
                <w:rFonts w:ascii="Segoe UI" w:hAnsi="Segoe UI" w:cs="Segoe UI"/>
                <w:color w:val="242424"/>
                <w:sz w:val="20"/>
                <w:szCs w:val="20"/>
              </w:rPr>
              <w:t>HELIO SEIBEL</w:t>
            </w:r>
          </w:p>
        </w:tc>
        <w:tc>
          <w:tcPr>
            <w:tcW w:w="4530" w:type="dxa"/>
            <w:vAlign w:val="center"/>
          </w:tcPr>
          <w:p w14:paraId="00FEDD25" w14:textId="1269042D" w:rsidR="00702ACE" w:rsidRPr="00702ACE" w:rsidRDefault="00702ACE" w:rsidP="00702AC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02ACE">
              <w:rPr>
                <w:rFonts w:ascii="Segoe UI" w:hAnsi="Segoe UI" w:cs="Segoe UI"/>
                <w:color w:val="242424"/>
                <w:sz w:val="20"/>
                <w:szCs w:val="20"/>
              </w:rPr>
              <w:t>533.792.848-15</w:t>
            </w:r>
          </w:p>
        </w:tc>
      </w:tr>
      <w:tr w:rsidR="00702ACE" w14:paraId="0988A347" w14:textId="77777777" w:rsidTr="00851A4D">
        <w:tc>
          <w:tcPr>
            <w:tcW w:w="4530" w:type="dxa"/>
            <w:vAlign w:val="center"/>
          </w:tcPr>
          <w:p w14:paraId="483D09E8" w14:textId="5D4486A9" w:rsidR="00702ACE" w:rsidRPr="00702ACE" w:rsidRDefault="00702ACE" w:rsidP="00702AC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02ACE">
              <w:rPr>
                <w:rFonts w:ascii="Segoe UI" w:hAnsi="Segoe UI" w:cs="Segoe UI"/>
                <w:color w:val="242424"/>
                <w:sz w:val="20"/>
                <w:szCs w:val="20"/>
              </w:rPr>
              <w:t>FUNDO DE INVESTIMENTO IMOBILIARIO - BLUE RECEBIVEIS IMOBILIARIOS</w:t>
            </w:r>
          </w:p>
        </w:tc>
        <w:tc>
          <w:tcPr>
            <w:tcW w:w="4530" w:type="dxa"/>
            <w:vAlign w:val="center"/>
          </w:tcPr>
          <w:p w14:paraId="68B1D6C1" w14:textId="28EEFA1B" w:rsidR="00702ACE" w:rsidRPr="00702ACE" w:rsidRDefault="00702ACE" w:rsidP="00702ACE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702ACE">
              <w:rPr>
                <w:rFonts w:ascii="Segoe UI" w:hAnsi="Segoe UI" w:cs="Segoe UI"/>
                <w:color w:val="242424"/>
                <w:sz w:val="20"/>
                <w:szCs w:val="20"/>
              </w:rPr>
              <w:t>38.051.307/0001-94</w:t>
            </w:r>
          </w:p>
        </w:tc>
      </w:tr>
    </w:tbl>
    <w:p w14:paraId="3907988F" w14:textId="6A55064B" w:rsidR="00313A33" w:rsidRPr="00D06264" w:rsidRDefault="00313A33" w:rsidP="00891107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5870" w14:textId="77777777" w:rsidR="00532F6F" w:rsidRDefault="00532F6F">
      <w:r>
        <w:separator/>
      </w:r>
    </w:p>
  </w:endnote>
  <w:endnote w:type="continuationSeparator" w:id="0">
    <w:p w14:paraId="15866745" w14:textId="77777777" w:rsidR="00532F6F" w:rsidRDefault="00532F6F">
      <w:r>
        <w:continuationSeparator/>
      </w:r>
    </w:p>
  </w:endnote>
  <w:endnote w:type="continuationNotice" w:id="1">
    <w:p w14:paraId="5903D65B" w14:textId="77777777" w:rsidR="00532F6F" w:rsidRDefault="00532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ADF0" w14:textId="77777777" w:rsidR="00532F6F" w:rsidRDefault="00532F6F">
      <w:r>
        <w:separator/>
      </w:r>
    </w:p>
  </w:footnote>
  <w:footnote w:type="continuationSeparator" w:id="0">
    <w:p w14:paraId="42BA5179" w14:textId="77777777" w:rsidR="00532F6F" w:rsidRDefault="00532F6F">
      <w:r>
        <w:continuationSeparator/>
      </w:r>
    </w:p>
  </w:footnote>
  <w:footnote w:type="continuationNotice" w:id="1">
    <w:p w14:paraId="6E49BCDA" w14:textId="77777777" w:rsidR="00532F6F" w:rsidRDefault="00532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2FB7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1D7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A7948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544A1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2F6F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4CA0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ACE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1107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0CEB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290020"/>
    <w:rsid w:val="00434559"/>
    <w:rsid w:val="004E4EEE"/>
    <w:rsid w:val="00850423"/>
    <w:rsid w:val="00B00C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D9F1D-EC76-4424-9D37-E4C50C20CAB8}"/>
</file>

<file path=customXml/itemProps3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759918-B8AB-4412-A62C-50AE48866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726</Words>
  <Characters>4057</Characters>
  <Application>Microsoft Office Word</Application>
  <DocSecurity>0</DocSecurity>
  <Lines>73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Barbara Erescov</cp:lastModifiedBy>
  <cp:revision>21</cp:revision>
  <cp:lastPrinted>2022-04-14T19:39:00Z</cp:lastPrinted>
  <dcterms:created xsi:type="dcterms:W3CDTF">2022-10-26T12:17:00Z</dcterms:created>
  <dcterms:modified xsi:type="dcterms:W3CDTF">2022-10-26T19:11:00Z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0x010100C69A5916D773DE428536EDE1232724C5</vt:lpwstr>
  </property>
  <property fmtid="{D5CDD505-2E9C-101B-9397-08002B2CF9AE}" pid="3" name="_dlc_DocIdItemGuid">
    <vt:lpwstr>5b267710-86ac-43c1-acec-50f7290b3abd</vt:lpwstr>
  </property>
</Properties>
</file>