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bookmarkStart w:id="4" w:name="_Hlk13218337"/>
      <w:bookmarkEnd w:id="1"/>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378EEF7D"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1CE40A9" w:rsidR="00BA5A12" w:rsidRPr="003F3EE6" w:rsidRDefault="009C73C6"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9C73C6">
        <w:rPr>
          <w:rFonts w:ascii="Open Sans" w:hAnsi="Open Sans" w:cs="Open Sans"/>
          <w:b/>
          <w:sz w:val="21"/>
          <w:szCs w:val="21"/>
          <w:lang w:val="pt-BR"/>
        </w:rPr>
        <w:t>COSMOS EMPREENDIMENTOS IMOBILIÁRIOS SPE LTDA.</w:t>
      </w:r>
      <w:r w:rsidRPr="009C73C6">
        <w:rPr>
          <w:rFonts w:ascii="Open Sans" w:hAnsi="Open Sans" w:cs="Open Sans"/>
          <w:sz w:val="21"/>
          <w:szCs w:val="21"/>
          <w:lang w:val="pt-BR"/>
        </w:rPr>
        <w:t>, sociedade empresária limitada, inscrita no CNPJ/ME sob o nº 08.584.862/0001-10, com sede na Cidade de Americana, Estado de São Paulo, na Rua Trinta de Julho, nº 656, Centro, CEP 13465-500</w:t>
      </w:r>
      <w:r w:rsidR="000E63CA" w:rsidRPr="003F3EE6">
        <w:rPr>
          <w:rFonts w:ascii="Open Sans" w:hAnsi="Open Sans" w:cs="Open Sans"/>
          <w:sz w:val="21"/>
          <w:szCs w:val="21"/>
          <w:lang w:val="pt-BR"/>
        </w:rPr>
        <w:t>,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000E63CA"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5C832875"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w:t>
      </w:r>
      <w:r w:rsidR="002B39BE" w:rsidRPr="003F3EE6">
        <w:rPr>
          <w:rFonts w:ascii="Open Sans" w:hAnsi="Open Sans" w:cs="Open Sans"/>
          <w:sz w:val="21"/>
          <w:szCs w:val="21"/>
        </w:rPr>
        <w:lastRenderedPageBreak/>
        <w:t xml:space="preserve">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C78D584"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2.</w:t>
      </w:r>
      <w:r w:rsidR="009C73C6">
        <w:rPr>
          <w:rFonts w:ascii="Open Sans" w:hAnsi="Open Sans" w:cs="Open Sans"/>
          <w:sz w:val="21"/>
          <w:szCs w:val="21"/>
        </w:rPr>
        <w:t>5</w:t>
      </w:r>
      <w:r w:rsidR="00EE165D" w:rsidRPr="003F3EE6">
        <w:rPr>
          <w:rFonts w:ascii="Open Sans" w:hAnsi="Open Sans" w:cs="Open Sans"/>
          <w:sz w:val="21"/>
          <w:szCs w:val="21"/>
        </w:rPr>
        <w:t>00</w:t>
      </w:r>
      <w:r w:rsidRPr="003F3EE6">
        <w:rPr>
          <w:rFonts w:ascii="Open Sans" w:hAnsi="Open Sans" w:cs="Open Sans"/>
          <w:sz w:val="21"/>
          <w:szCs w:val="21"/>
        </w:rPr>
        <w:t xml:space="preserve"> (</w:t>
      </w:r>
      <w:r w:rsidR="009C73C6">
        <w:rPr>
          <w:rFonts w:ascii="Open Sans" w:hAnsi="Open Sans" w:cs="Open Sans"/>
          <w:sz w:val="21"/>
          <w:szCs w:val="21"/>
        </w:rPr>
        <w:t>duas mil e quinhentas</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duzentas e cinquenta</w:t>
      </w:r>
      <w:r w:rsidR="00EE165D" w:rsidRPr="003F3EE6">
        <w:rPr>
          <w:rFonts w:ascii="Open Sans" w:hAnsi="Open Sans" w:cs="Open Sans"/>
          <w:sz w:val="21"/>
          <w:szCs w:val="21"/>
        </w:rPr>
        <w:t xml:space="preserve">)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w:t>
      </w:r>
      <w:r w:rsidR="009C73C6">
        <w:rPr>
          <w:rFonts w:ascii="Open Sans" w:hAnsi="Open Sans" w:cs="Open Sans"/>
          <w:b/>
          <w:sz w:val="21"/>
          <w:szCs w:val="21"/>
        </w:rPr>
        <w:t>b</w:t>
      </w:r>
      <w:r w:rsidR="00EE165D" w:rsidRPr="003F3EE6">
        <w:rPr>
          <w:rFonts w:ascii="Open Sans" w:hAnsi="Open Sans" w:cs="Open Sans"/>
          <w:b/>
          <w:sz w:val="21"/>
          <w:szCs w:val="21"/>
        </w:rPr>
        <w:t>)</w:t>
      </w:r>
      <w:r w:rsidR="00EE165D" w:rsidRPr="003F3EE6">
        <w:rPr>
          <w:rFonts w:ascii="Open Sans" w:hAnsi="Open Sans" w:cs="Open Sans"/>
          <w:sz w:val="21"/>
          <w:szCs w:val="21"/>
        </w:rPr>
        <w:t xml:space="preserve"> DS é titular de </w:t>
      </w:r>
      <w:r w:rsidR="009C73C6">
        <w:rPr>
          <w:rFonts w:ascii="Open Sans" w:hAnsi="Open Sans" w:cs="Open Sans"/>
          <w:sz w:val="21"/>
          <w:szCs w:val="21"/>
        </w:rPr>
        <w:t>2</w:t>
      </w:r>
      <w:r w:rsidR="00EE165D" w:rsidRPr="003F3EE6">
        <w:rPr>
          <w:rFonts w:ascii="Open Sans" w:hAnsi="Open Sans" w:cs="Open Sans"/>
          <w:sz w:val="21"/>
          <w:szCs w:val="21"/>
        </w:rPr>
        <w:t>.</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 xml:space="preserve">duas mil duzentas e </w:t>
      </w:r>
      <w:r w:rsidR="009C73C6">
        <w:rPr>
          <w:rFonts w:ascii="Open Sans" w:hAnsi="Open Sans" w:cs="Open Sans"/>
          <w:sz w:val="21"/>
          <w:szCs w:val="21"/>
        </w:rPr>
        <w:lastRenderedPageBreak/>
        <w:t>cinquenta</w:t>
      </w:r>
      <w:r w:rsidR="00EE165D" w:rsidRPr="003F3EE6">
        <w:rPr>
          <w:rFonts w:ascii="Open Sans" w:hAnsi="Open Sans" w:cs="Open Sans"/>
          <w:sz w:val="21"/>
          <w:szCs w:val="21"/>
        </w:rPr>
        <w:t>)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27F2D5B7"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850DBB">
        <w:rPr>
          <w:rFonts w:ascii="Open Sans" w:hAnsi="Open Sans" w:cs="Open Sans"/>
          <w:sz w:val="21"/>
          <w:szCs w:val="21"/>
        </w:rPr>
        <w:t>R$ 89.419.701,43 (oitenta e nove milhões quatrocentos e dezenove mil setecentos e um reais e quarenta e três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736814">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736814">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736814">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736814">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736814">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736814">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736814">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736814">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39C619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xml:space="preserve">) dias corridos, sendo o primeiro pagamento de amortização </w:t>
            </w:r>
            <w:r w:rsidRPr="003F3EE6">
              <w:rPr>
                <w:rFonts w:ascii="Open Sans" w:hAnsi="Open Sans" w:cs="Open Sans"/>
                <w:color w:val="000000"/>
                <w:sz w:val="21"/>
                <w:szCs w:val="21"/>
              </w:rPr>
              <w:lastRenderedPageBreak/>
              <w:t>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37D0207B"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736814" w:rsidRPr="003F3EE6">
              <w:rPr>
                <w:rFonts w:ascii="Open Sans" w:hAnsi="Open Sans" w:cs="Open Sans"/>
                <w:color w:val="000000"/>
                <w:sz w:val="21"/>
                <w:szCs w:val="21"/>
              </w:rPr>
              <w:t>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xml:space="preserve">) dias corridos, sendo o primeiro pagamento de amortização </w:t>
            </w:r>
            <w:r w:rsidRPr="003F3EE6">
              <w:rPr>
                <w:rFonts w:ascii="Open Sans" w:hAnsi="Open Sans" w:cs="Open Sans"/>
                <w:color w:val="000000"/>
                <w:sz w:val="21"/>
                <w:szCs w:val="21"/>
              </w:rPr>
              <w:lastRenderedPageBreak/>
              <w:t>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736814">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736814">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736814">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736814">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736814">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736814">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467AF1E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59E89A6"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736814">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736814">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736814">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736814">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736814">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736814">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647324FD"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2.</w:t>
      </w:r>
      <w:r w:rsidR="009C73C6">
        <w:rPr>
          <w:rFonts w:ascii="Open Sans" w:hAnsi="Open Sans" w:cs="Open Sans"/>
          <w:b w:val="0"/>
          <w:sz w:val="21"/>
          <w:szCs w:val="21"/>
        </w:rPr>
        <w:t>5</w:t>
      </w:r>
      <w:r w:rsidR="0013743E" w:rsidRPr="003F3EE6">
        <w:rPr>
          <w:rFonts w:ascii="Open Sans" w:hAnsi="Open Sans" w:cs="Open Sans"/>
          <w:b w:val="0"/>
          <w:sz w:val="21"/>
          <w:szCs w:val="21"/>
        </w:rPr>
        <w:t>00,00 (</w:t>
      </w:r>
      <w:r w:rsidR="009C73C6">
        <w:rPr>
          <w:rFonts w:ascii="Open Sans" w:hAnsi="Open Sans" w:cs="Open Sans"/>
          <w:b w:val="0"/>
          <w:sz w:val="21"/>
          <w:szCs w:val="21"/>
        </w:rPr>
        <w:t xml:space="preserve">dois mil e quinhentos </w:t>
      </w:r>
      <w:r w:rsidR="0013743E" w:rsidRPr="003F3EE6">
        <w:rPr>
          <w:rFonts w:ascii="Open Sans" w:hAnsi="Open Sans" w:cs="Open Sans"/>
          <w:b w:val="0"/>
          <w:sz w:val="21"/>
          <w:szCs w:val="21"/>
        </w:rPr>
        <w:t>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xml:space="preserve">, caso no qual valerá </w:t>
      </w:r>
      <w:r w:rsidR="00521805" w:rsidRPr="003F3EE6">
        <w:rPr>
          <w:rFonts w:ascii="Open Sans" w:hAnsi="Open Sans" w:cs="Open Sans"/>
          <w:b w:val="0"/>
          <w:sz w:val="21"/>
          <w:szCs w:val="21"/>
        </w:rPr>
        <w:lastRenderedPageBreak/>
        <w:t>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lastRenderedPageBreak/>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2F516DB6"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lastRenderedPageBreak/>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0575B8CA"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0"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510AFE">
        <w:rPr>
          <w:rFonts w:ascii="Open Sans" w:hAnsi="Open Sans" w:cs="Open Sans"/>
          <w:bCs/>
          <w:i/>
          <w:iCs/>
          <w:sz w:val="21"/>
          <w:szCs w:val="21"/>
        </w:rPr>
        <w:t>27</w:t>
      </w:r>
      <w:r w:rsidR="00736814"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w:t>
      </w:r>
      <w:r w:rsidR="00746BA0" w:rsidRPr="003F3EE6">
        <w:rPr>
          <w:rFonts w:ascii="Open Sans" w:hAnsi="Open Sans" w:cs="Open Sans"/>
          <w:i/>
          <w:sz w:val="21"/>
          <w:szCs w:val="21"/>
        </w:rPr>
        <w:lastRenderedPageBreak/>
        <w:t>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1" w:name="_Hlk13232269"/>
      <w:bookmarkEnd w:id="30"/>
      <w:r w:rsidR="00746BA0" w:rsidRPr="003F3EE6">
        <w:rPr>
          <w:rFonts w:ascii="Open Sans" w:hAnsi="Open Sans" w:cs="Open Sans"/>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w:t>
      </w:r>
      <w:r w:rsidRPr="003F3EE6">
        <w:rPr>
          <w:rFonts w:ascii="Open Sans" w:hAnsi="Open Sans" w:cs="Open Sans"/>
          <w:b w:val="0"/>
          <w:sz w:val="21"/>
          <w:szCs w:val="21"/>
        </w:rPr>
        <w:lastRenderedPageBreak/>
        <w:t xml:space="preserve">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 xml:space="preserve">teis da data da verificação do recebimento, sem qualquer dedução ou desconto, </w:t>
      </w:r>
      <w:r w:rsidRPr="003F3EE6">
        <w:rPr>
          <w:rFonts w:ascii="Open Sans" w:hAnsi="Open Sans" w:cs="Open Sans"/>
          <w:b w:val="0"/>
          <w:sz w:val="21"/>
          <w:szCs w:val="21"/>
        </w:rPr>
        <w:lastRenderedPageBreak/>
        <w:t>sob pena da declaração de vencimento antecipado dos CRI.</w:t>
      </w:r>
    </w:p>
    <w:bookmarkEnd w:id="31"/>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293"/>
      <w:bookmarkStart w:id="33"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2"/>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4"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w:t>
      </w:r>
      <w:r w:rsidR="005136E0" w:rsidRPr="003F3EE6">
        <w:rPr>
          <w:rFonts w:ascii="Open Sans" w:hAnsi="Open Sans" w:cs="Open Sans"/>
          <w:sz w:val="21"/>
          <w:szCs w:val="21"/>
        </w:rPr>
        <w:lastRenderedPageBreak/>
        <w:t xml:space="preserve">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5"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lastRenderedPageBreak/>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6" w:name="_Hlk13232407"/>
      <w:bookmarkEnd w:id="35"/>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37" w:name="_Hlk13232434"/>
      <w:bookmarkEnd w:id="36"/>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4733DEA8" w:rsidR="00154EAD" w:rsidRPr="003F3EE6" w:rsidRDefault="009C73C6"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2C5B13">
        <w:rPr>
          <w:rFonts w:ascii="Open Sans" w:hAnsi="Open Sans" w:cs="Open Sans"/>
          <w:b/>
          <w:sz w:val="21"/>
          <w:szCs w:val="21"/>
        </w:rPr>
        <w:t>COSMOS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lastRenderedPageBreak/>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38"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38"/>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w:t>
      </w:r>
      <w:r w:rsidR="00C95F87" w:rsidRPr="003F3EE6">
        <w:rPr>
          <w:rFonts w:ascii="Open Sans" w:hAnsi="Open Sans" w:cs="Open Sans"/>
          <w:sz w:val="21"/>
          <w:szCs w:val="21"/>
        </w:rPr>
        <w:lastRenderedPageBreak/>
        <w:t xml:space="preserve">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3"/>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lastRenderedPageBreak/>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39" w:name="_Hlk485099735"/>
      <w:r w:rsidRPr="003F3EE6">
        <w:rPr>
          <w:rFonts w:ascii="Open Sans" w:hAnsi="Open Sans" w:cs="Open Sans"/>
          <w:sz w:val="21"/>
          <w:szCs w:val="21"/>
        </w:rPr>
        <w:t xml:space="preserve">Câmara de Arbitragem Empresarial - Brasil – </w:t>
      </w:r>
      <w:bookmarkEnd w:id="39"/>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0" w:name="_DV_M525"/>
      <w:bookmarkEnd w:id="40"/>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7"/>
      <w:bookmarkEnd w:id="41"/>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9"/>
      <w:bookmarkEnd w:id="42"/>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37"/>
      <w:r w:rsidRPr="003F3EE6">
        <w:rPr>
          <w:rFonts w:ascii="Open Sans" w:hAnsi="Open Sans" w:cs="Open Sans"/>
          <w:sz w:val="21"/>
          <w:szCs w:val="21"/>
        </w:rPr>
        <w:t xml:space="preserve">Cidade de São Paulo – SP, </w:t>
      </w:r>
      <w:bookmarkStart w:id="43"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 xml:space="preserve">As Partes envidarão seus melhores esforços para solucionar amigavelmente qualquer divergência oriunda deste Contrato, podendo, se </w:t>
      </w:r>
      <w:r w:rsidRPr="003F3EE6">
        <w:rPr>
          <w:rFonts w:ascii="Open Sans" w:hAnsi="Open Sans" w:cs="Open Sans"/>
          <w:sz w:val="21"/>
          <w:szCs w:val="21"/>
        </w:rPr>
        <w:lastRenderedPageBreak/>
        <w:t>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43"/>
      <w:r w:rsidRPr="003F3EE6">
        <w:rPr>
          <w:rFonts w:ascii="Open Sans" w:hAnsi="Open Sans" w:cs="Open Sans"/>
          <w:sz w:val="21"/>
          <w:szCs w:val="21"/>
        </w:rPr>
        <w:t xml:space="preserve"> </w:t>
      </w:r>
      <w:bookmarkStart w:id="44"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29564608"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62CAA1D6"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5" w:name="_Hlk13232579"/>
      <w:bookmarkEnd w:id="44"/>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6" w:name="_Hlk37170918"/>
      <w:r w:rsidR="009C73C6" w:rsidRPr="009C73C6">
        <w:rPr>
          <w:rFonts w:ascii="Open Sans" w:hAnsi="Open Sans" w:cs="Open Sans"/>
          <w:i/>
          <w:sz w:val="21"/>
          <w:szCs w:val="21"/>
        </w:rPr>
        <w:t>Cosmos Empreendimentos Imobiliários SPE Ltda.</w:t>
      </w:r>
      <w:r w:rsidR="0013743E" w:rsidRPr="003F3EE6">
        <w:rPr>
          <w:rFonts w:ascii="Open Sans" w:hAnsi="Open Sans" w:cs="Open Sans"/>
          <w:i/>
          <w:sz w:val="21"/>
          <w:szCs w:val="21"/>
        </w:rPr>
        <w:t xml:space="preserve">,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46"/>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510AFE">
        <w:rPr>
          <w:rFonts w:ascii="Open Sans" w:hAnsi="Open Sans" w:cs="Open Sans"/>
          <w:i/>
          <w:sz w:val="21"/>
          <w:szCs w:val="21"/>
        </w:rPr>
        <w:t>27</w:t>
      </w:r>
      <w:r w:rsidR="00736814"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62FE8579" w:rsidR="00C10CC3" w:rsidRPr="003F3EE6" w:rsidRDefault="009C73C6" w:rsidP="00063CD8">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COSMOS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bookmarkStart w:id="47" w:name="_Hlk495264750"/>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47"/>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717C4912"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48" w:name="_Hlk532385034"/>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48"/>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49" w:name="_Hlk37167963"/>
      <w:r w:rsidR="009C73C6" w:rsidRPr="002C5B13">
        <w:rPr>
          <w:rFonts w:ascii="Open Sans" w:hAnsi="Open Sans" w:cs="Open Sans"/>
          <w:b/>
          <w:sz w:val="21"/>
          <w:szCs w:val="21"/>
        </w:rPr>
        <w:t>COSMOS EMPREENDIMENTOS IMOBILIÁRIOS SPE LTDA.</w:t>
      </w:r>
      <w:r w:rsidR="009C73C6"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w:t>
      </w:r>
      <w:r w:rsidR="002C45B4" w:rsidRPr="003F3EE6">
        <w:rPr>
          <w:rFonts w:ascii="Open Sans" w:hAnsi="Open Sans" w:cs="Open Sans"/>
          <w:sz w:val="21"/>
          <w:szCs w:val="21"/>
        </w:rPr>
        <w:t xml:space="preserve">, </w:t>
      </w:r>
      <w:bookmarkEnd w:id="49"/>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4C6A82D"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5"/>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3ED3C" w14:textId="77777777" w:rsidR="00736814" w:rsidRDefault="00736814">
      <w:r>
        <w:separator/>
      </w:r>
    </w:p>
  </w:endnote>
  <w:endnote w:type="continuationSeparator" w:id="0">
    <w:p w14:paraId="54A27518" w14:textId="77777777" w:rsidR="00736814" w:rsidRDefault="00736814">
      <w:r>
        <w:continuationSeparator/>
      </w:r>
    </w:p>
  </w:endnote>
  <w:endnote w:type="continuationNotice" w:id="1">
    <w:p w14:paraId="10D0FCCC" w14:textId="77777777" w:rsidR="00736814" w:rsidRDefault="0073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736814" w:rsidRDefault="0073681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36814" w:rsidRDefault="0073681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36814" w:rsidRDefault="0073681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36814" w:rsidRPr="005A7E7F" w:rsidRDefault="00736814"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736814" w:rsidRPr="007C7A81" w:rsidRDefault="00736814"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C0CD0" w14:textId="77777777" w:rsidR="00736814" w:rsidRDefault="00736814">
      <w:r>
        <w:separator/>
      </w:r>
    </w:p>
  </w:footnote>
  <w:footnote w:type="continuationSeparator" w:id="0">
    <w:p w14:paraId="2D471473" w14:textId="77777777" w:rsidR="00736814" w:rsidRDefault="00736814">
      <w:r>
        <w:continuationSeparator/>
      </w:r>
    </w:p>
  </w:footnote>
  <w:footnote w:type="continuationNotice" w:id="1">
    <w:p w14:paraId="5B4D7BE7" w14:textId="77777777" w:rsidR="00736814" w:rsidRDefault="007368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736814" w:rsidRPr="005A4B80" w:rsidRDefault="00736814"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0AFE"/>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814"/>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DBB"/>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0D32"/>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C73C6"/>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6DED"/>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4.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7.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9.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7448</Words>
  <Characters>43329</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50676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8</cp:revision>
  <cp:lastPrinted>2020-11-23T21:34:00Z</cp:lastPrinted>
  <dcterms:created xsi:type="dcterms:W3CDTF">2020-11-05T16:44:00Z</dcterms:created>
  <dcterms:modified xsi:type="dcterms:W3CDTF">2020-11-26T12:10:00Z</dcterms:modified>
</cp:coreProperties>
</file>