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A4188F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31618F20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</w:t>
      </w:r>
      <w:r w:rsidR="0093685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 PARA ASSEMBLEIA GERAL DE TITULARES DOS CERTIFICADOS DE RECEBÍVEIS IMOBILIÁRIOS DAS </w:t>
      </w:r>
      <w:bookmarkStart w:id="0" w:name="_Hlk40114722"/>
      <w:r w:rsidR="00A34BCD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[</w:t>
      </w:r>
      <w:r w:rsidR="00A34BCD" w:rsidRPr="00A4188F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lang w:eastAsia="ja-JP"/>
        </w:rPr>
        <w:t>●</w:t>
      </w:r>
      <w:r w:rsidR="00A34BCD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ja-JP"/>
        </w:rPr>
        <w:t>]</w:t>
      </w:r>
      <w:r w:rsidR="009B2A45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9B2A45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1CD331A4" w:rsidR="00B9373E" w:rsidRPr="00A4188F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t xml:space="preserve">A </w:t>
      </w:r>
      <w:r w:rsidRPr="00A4188F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A4188F">
        <w:rPr>
          <w:rFonts w:ascii="Open Sans" w:hAnsi="Open Sans" w:cs="Open Sans"/>
          <w:sz w:val="20"/>
          <w:szCs w:val="20"/>
        </w:rPr>
        <w:t xml:space="preserve">, companhia securitizadora, com sede na Rua </w:t>
      </w:r>
      <w:proofErr w:type="spellStart"/>
      <w:r w:rsidRPr="00A4188F">
        <w:rPr>
          <w:rFonts w:ascii="Open Sans" w:hAnsi="Open Sans" w:cs="Open Sans"/>
          <w:sz w:val="20"/>
          <w:szCs w:val="20"/>
        </w:rPr>
        <w:t>Fidêncio</w:t>
      </w:r>
      <w:proofErr w:type="spellEnd"/>
      <w:r w:rsidRPr="00A4188F">
        <w:rPr>
          <w:rFonts w:ascii="Open Sans" w:hAnsi="Open Sans" w:cs="Open Sans"/>
          <w:sz w:val="20"/>
          <w:szCs w:val="20"/>
        </w:rPr>
        <w:t xml:space="preserve"> Ramos, 213, </w:t>
      </w:r>
      <w:proofErr w:type="spellStart"/>
      <w:r w:rsidRPr="00A4188F">
        <w:rPr>
          <w:rFonts w:ascii="Open Sans" w:hAnsi="Open Sans" w:cs="Open Sans"/>
          <w:sz w:val="20"/>
          <w:szCs w:val="20"/>
        </w:rPr>
        <w:t>cj</w:t>
      </w:r>
      <w:proofErr w:type="spellEnd"/>
      <w:r w:rsidRPr="00A4188F">
        <w:rPr>
          <w:rFonts w:ascii="Open Sans" w:hAnsi="Open Sans" w:cs="Open Sans"/>
          <w:sz w:val="20"/>
          <w:szCs w:val="20"/>
        </w:rPr>
        <w:t>. 41, Vila Olímpia, CEP 04.551-010, na Cidade e Estado de São Paulo, inscrita no CNPJ/ME nº 12.979.898/0001-70 (“</w:t>
      </w:r>
      <w:r w:rsidRPr="00A4188F">
        <w:rPr>
          <w:rFonts w:ascii="Open Sans" w:hAnsi="Open Sans" w:cs="Open Sans"/>
          <w:sz w:val="20"/>
          <w:szCs w:val="20"/>
          <w:u w:val="single"/>
        </w:rPr>
        <w:t>Securitizadora</w:t>
      </w:r>
      <w:r w:rsidRPr="00A4188F">
        <w:rPr>
          <w:rFonts w:ascii="Open Sans" w:hAnsi="Open Sans" w:cs="Open Sans"/>
          <w:sz w:val="20"/>
          <w:szCs w:val="20"/>
        </w:rPr>
        <w:t>” ou “</w:t>
      </w:r>
      <w:r w:rsidRPr="00A4188F">
        <w:rPr>
          <w:rFonts w:ascii="Open Sans" w:hAnsi="Open Sans" w:cs="Open Sans"/>
          <w:sz w:val="20"/>
          <w:szCs w:val="20"/>
          <w:u w:val="single"/>
        </w:rPr>
        <w:t>Emissora</w:t>
      </w:r>
      <w:r w:rsidRPr="00A4188F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A34BCD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[</w:t>
      </w:r>
      <w:r w:rsidR="00A34BCD" w:rsidRPr="00A4188F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lang w:eastAsia="ja-JP"/>
        </w:rPr>
        <w:t>●</w:t>
      </w:r>
      <w:r w:rsidR="00A34BCD" w:rsidRPr="00575099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ja-JP"/>
        </w:rPr>
        <w:t>]</w:t>
      </w:r>
      <w:r w:rsidR="009B2A45" w:rsidRPr="00A4188F">
        <w:rPr>
          <w:rFonts w:ascii="Open Sans" w:hAnsi="Open Sans" w:cs="Open Sans"/>
          <w:sz w:val="20"/>
          <w:szCs w:val="20"/>
        </w:rPr>
        <w:t xml:space="preserve">ª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A4188F">
        <w:rPr>
          <w:rFonts w:ascii="Open Sans" w:hAnsi="Open Sans" w:cs="Open Sans"/>
          <w:sz w:val="20"/>
          <w:szCs w:val="20"/>
        </w:rPr>
        <w:t xml:space="preserve"> de Certificados de Recebíveis Imobiliários da Emissora (”</w:t>
      </w:r>
      <w:r w:rsidRPr="00A4188F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A4188F">
        <w:rPr>
          <w:rFonts w:ascii="Open Sans" w:hAnsi="Open Sans" w:cs="Open Sans"/>
          <w:sz w:val="20"/>
          <w:szCs w:val="20"/>
        </w:rPr>
        <w:t>”, “</w:t>
      </w:r>
      <w:r w:rsidRPr="00A4188F">
        <w:rPr>
          <w:rFonts w:ascii="Open Sans" w:hAnsi="Open Sans" w:cs="Open Sans"/>
          <w:sz w:val="20"/>
          <w:szCs w:val="20"/>
          <w:u w:val="single"/>
        </w:rPr>
        <w:t>Emissão</w:t>
      </w:r>
      <w:r w:rsidRPr="00A4188F">
        <w:rPr>
          <w:rFonts w:ascii="Open Sans" w:hAnsi="Open Sans" w:cs="Open Sans"/>
          <w:sz w:val="20"/>
          <w:szCs w:val="20"/>
        </w:rPr>
        <w:t>” e “</w:t>
      </w:r>
      <w:r w:rsidRPr="00A4188F">
        <w:rPr>
          <w:rFonts w:ascii="Open Sans" w:hAnsi="Open Sans" w:cs="Open Sans"/>
          <w:sz w:val="20"/>
          <w:szCs w:val="20"/>
          <w:u w:val="single"/>
        </w:rPr>
        <w:t>CRI</w:t>
      </w:r>
      <w:r w:rsidRPr="00A4188F">
        <w:rPr>
          <w:rFonts w:ascii="Open Sans" w:hAnsi="Open Sans" w:cs="Open Sans"/>
          <w:sz w:val="20"/>
          <w:szCs w:val="20"/>
        </w:rPr>
        <w:t xml:space="preserve">”, respectivamente), </w:t>
      </w:r>
      <w:r w:rsidRPr="00A4188F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A4188F">
        <w:rPr>
          <w:rFonts w:ascii="Open Sans" w:hAnsi="Open Sans" w:cs="Open Sans"/>
          <w:sz w:val="20"/>
          <w:szCs w:val="20"/>
        </w:rPr>
        <w:t xml:space="preserve"> os titulares dos CRI (“</w:t>
      </w:r>
      <w:r w:rsidRPr="007C25A2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7C25A2">
        <w:rPr>
          <w:rFonts w:ascii="Open Sans" w:hAnsi="Open Sans" w:cs="Open Sans"/>
          <w:sz w:val="20"/>
          <w:szCs w:val="20"/>
          <w:u w:val="single"/>
        </w:rPr>
        <w:t>e</w:t>
      </w:r>
      <w:r w:rsidRPr="007C25A2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7C25A2">
        <w:rPr>
          <w:rFonts w:ascii="Open Sans" w:hAnsi="Open Sans" w:cs="Open Sans"/>
          <w:sz w:val="20"/>
          <w:szCs w:val="20"/>
        </w:rPr>
        <w:t>”) para participarem de Assembleia Geral (“</w:t>
      </w:r>
      <w:r w:rsidRPr="007C25A2">
        <w:rPr>
          <w:rFonts w:ascii="Open Sans" w:hAnsi="Open Sans" w:cs="Open Sans"/>
          <w:sz w:val="20"/>
          <w:szCs w:val="20"/>
          <w:u w:val="single"/>
        </w:rPr>
        <w:t>AGTCRI</w:t>
      </w:r>
      <w:r w:rsidRPr="007C25A2">
        <w:rPr>
          <w:rFonts w:ascii="Open Sans" w:hAnsi="Open Sans" w:cs="Open Sans"/>
          <w:sz w:val="20"/>
          <w:szCs w:val="20"/>
        </w:rPr>
        <w:t>”</w:t>
      </w:r>
      <w:r w:rsidR="007D00AD" w:rsidRPr="007C25A2">
        <w:rPr>
          <w:rFonts w:ascii="Open Sans" w:hAnsi="Open Sans" w:cs="Open Sans"/>
          <w:sz w:val="20"/>
          <w:szCs w:val="20"/>
        </w:rPr>
        <w:t xml:space="preserve"> ou “</w:t>
      </w:r>
      <w:r w:rsidR="007D00AD" w:rsidRPr="007C25A2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7C25A2">
        <w:rPr>
          <w:rFonts w:ascii="Open Sans" w:hAnsi="Open Sans" w:cs="Open Sans"/>
          <w:sz w:val="20"/>
          <w:szCs w:val="20"/>
        </w:rPr>
        <w:t>”</w:t>
      </w:r>
      <w:r w:rsidRPr="007C25A2">
        <w:rPr>
          <w:rFonts w:ascii="Open Sans" w:hAnsi="Open Sans" w:cs="Open Sans"/>
          <w:sz w:val="20"/>
          <w:szCs w:val="20"/>
        </w:rPr>
        <w:t>)</w:t>
      </w:r>
      <w:r w:rsidRPr="00A4188F">
        <w:rPr>
          <w:rFonts w:ascii="Open Sans" w:hAnsi="Open Sans" w:cs="Open Sans"/>
          <w:sz w:val="20"/>
          <w:szCs w:val="20"/>
        </w:rPr>
        <w:t xml:space="preserve"> a ser realizada, em </w:t>
      </w:r>
      <w:r w:rsidR="00936859" w:rsidRPr="00A4188F">
        <w:rPr>
          <w:rFonts w:ascii="Open Sans" w:hAnsi="Open Sans" w:cs="Open Sans"/>
          <w:sz w:val="20"/>
          <w:szCs w:val="20"/>
        </w:rPr>
        <w:t>2</w:t>
      </w:r>
      <w:r w:rsidRPr="00A4188F">
        <w:rPr>
          <w:rFonts w:ascii="Open Sans" w:hAnsi="Open Sans" w:cs="Open Sans"/>
          <w:sz w:val="20"/>
          <w:szCs w:val="20"/>
        </w:rPr>
        <w:t xml:space="preserve">ª </w:t>
      </w:r>
      <w:r w:rsidR="00936859" w:rsidRPr="00A4188F">
        <w:rPr>
          <w:rFonts w:ascii="Open Sans" w:hAnsi="Open Sans" w:cs="Open Sans"/>
          <w:sz w:val="20"/>
          <w:szCs w:val="20"/>
        </w:rPr>
        <w:t xml:space="preserve">(segunda) </w:t>
      </w:r>
      <w:r w:rsidRPr="00A4188F">
        <w:rPr>
          <w:rFonts w:ascii="Open Sans" w:hAnsi="Open Sans" w:cs="Open Sans"/>
          <w:sz w:val="20"/>
          <w:szCs w:val="20"/>
        </w:rPr>
        <w:t xml:space="preserve">convocação, em </w:t>
      </w:r>
      <w:r w:rsidR="00A34BCD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[</w:t>
      </w:r>
      <w:r w:rsidR="00A34BCD" w:rsidRPr="00A4188F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lang w:eastAsia="ja-JP"/>
        </w:rPr>
        <w:t>●</w:t>
      </w:r>
      <w:r w:rsidR="00A34BCD" w:rsidRPr="00575099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ja-JP"/>
        </w:rPr>
        <w:t>]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A34BCD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[</w:t>
      </w:r>
      <w:r w:rsidR="00A34BCD" w:rsidRPr="00A4188F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lang w:eastAsia="ja-JP"/>
        </w:rPr>
        <w:t>●</w:t>
      </w:r>
      <w:r w:rsidR="00A34BCD" w:rsidRPr="00575099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ja-JP"/>
        </w:rPr>
        <w:t>]</w:t>
      </w:r>
      <w:r w:rsidRPr="00A4188F">
        <w:rPr>
          <w:rFonts w:ascii="Open Sans" w:hAnsi="Open Sans" w:cs="Open Sans"/>
          <w:sz w:val="20"/>
          <w:szCs w:val="20"/>
        </w:rPr>
        <w:t xml:space="preserve">, </w:t>
      </w:r>
      <w:bookmarkStart w:id="1" w:name="_Hlk37933220"/>
      <w:r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administrada pela Emissora, </w:t>
      </w:r>
      <w:r w:rsidR="00363503" w:rsidRPr="00A4188F">
        <w:rPr>
          <w:rFonts w:ascii="Open Sans" w:hAnsi="Open Sans" w:cs="Open Sans"/>
          <w:noProof/>
          <w:sz w:val="20"/>
          <w:szCs w:val="20"/>
        </w:rPr>
        <w:t xml:space="preserve">nos termos da </w:t>
      </w:r>
      <w:r w:rsidR="00363503" w:rsidRPr="00A4188F">
        <w:rPr>
          <w:rFonts w:ascii="Open Sans" w:hAnsi="Open Sans" w:cs="Open Sans"/>
          <w:sz w:val="20"/>
          <w:szCs w:val="20"/>
        </w:rPr>
        <w:t>Resolução da Comissão de Valores Mobiliários (“</w:t>
      </w:r>
      <w:r w:rsidR="00363503" w:rsidRPr="00A4188F">
        <w:rPr>
          <w:rFonts w:ascii="Open Sans" w:hAnsi="Open Sans" w:cs="Open Sans"/>
          <w:sz w:val="20"/>
          <w:szCs w:val="20"/>
          <w:u w:val="single"/>
        </w:rPr>
        <w:t>CVM</w:t>
      </w:r>
      <w:r w:rsidR="00363503" w:rsidRPr="00A4188F">
        <w:rPr>
          <w:rFonts w:ascii="Open Sans" w:hAnsi="Open Sans" w:cs="Open Sans"/>
          <w:sz w:val="20"/>
          <w:szCs w:val="20"/>
        </w:rPr>
        <w:t>”) nº 60, de 23 de dezembro de 2021 (“</w:t>
      </w:r>
      <w:r w:rsidR="00363503" w:rsidRPr="00A4188F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363503" w:rsidRPr="00A4188F">
        <w:rPr>
          <w:rFonts w:ascii="Open Sans" w:hAnsi="Open Sans" w:cs="Open Sans"/>
          <w:sz w:val="20"/>
          <w:szCs w:val="20"/>
        </w:rPr>
        <w:t>”)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cujo acesso deve ser feito por meio de </w:t>
      </w:r>
      <w:r w:rsidR="00363503"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</w:t>
      </w:r>
      <w:r w:rsidR="00575403">
        <w:rPr>
          <w:rFonts w:ascii="Open Sans" w:hAnsi="Open Sans" w:cs="Open Sans"/>
          <w:color w:val="000000" w:themeColor="text1"/>
          <w:sz w:val="20"/>
          <w:szCs w:val="20"/>
        </w:rPr>
        <w:t>Credenciados (conforme definido abaixo)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sem prejuízo da possibilidade de preenchimento e envio de instrução de voto a distância previamente à realização do conclave, para deliberar sobre os assuntos que compõem a seguinte </w:t>
      </w:r>
      <w:r w:rsidR="00363503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="00363503" w:rsidRPr="00A4188F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End w:id="1"/>
    </w:p>
    <w:p w14:paraId="63C89F06" w14:textId="77777777" w:rsidR="0073763F" w:rsidRPr="00A4188F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84BD890" w14:textId="738B86CD" w:rsidR="002039DF" w:rsidRDefault="002039DF" w:rsidP="002039DF">
      <w:pPr>
        <w:pStyle w:val="PargrafodaLista"/>
        <w:numPr>
          <w:ilvl w:val="0"/>
          <w:numId w:val="2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2" w:name="_Hlk37933162"/>
      <w:r w:rsidRPr="00A4188F">
        <w:rPr>
          <w:rFonts w:ascii="Open Sans" w:hAnsi="Open Sans" w:cs="Open Sans"/>
          <w:color w:val="000000" w:themeColor="text1"/>
          <w:sz w:val="20"/>
          <w:szCs w:val="20"/>
        </w:rPr>
        <w:t>a aprovação, ou não, das Demonstrações Financeiras do Patrimônio Separado referentes ao exercício encerrado em 30 de junho de 2022 (“</w:t>
      </w:r>
      <w:r w:rsidRPr="00A4188F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Pr="00A4188F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272FE9" w:rsidRPr="00A4188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4ABF6926" w14:textId="2C31A841" w:rsidR="00262E10" w:rsidRDefault="00262E10" w:rsidP="00262E10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108A1A" w14:textId="2EAA43E4" w:rsidR="00262E10" w:rsidRPr="00575099" w:rsidRDefault="00262E10" w:rsidP="00575099">
      <w:pPr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75099">
        <w:rPr>
          <w:rFonts w:ascii="Open Sans" w:hAnsi="Open Sans" w:cs="Open Sans"/>
          <w:color w:val="000000" w:themeColor="text1"/>
          <w:sz w:val="20"/>
          <w:szCs w:val="20"/>
        </w:rPr>
        <w:t>Ficam os senhores Titulares d</w:t>
      </w:r>
      <w:r w:rsidR="007C25A2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CRI cientes de que, 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caso a Assembleia não seja instalada em virtude do não comparecimento de Titulares 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>d</w:t>
      </w:r>
      <w:r w:rsidR="007C25A2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CRI, 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as Demonstrações Financeiras 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>serão consideradas automaticamente aprovadas</w:t>
      </w:r>
      <w:r w:rsidR="00282FF5" w:rsidRPr="00575099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9347D8" w:rsidRPr="0057509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75099">
        <w:rPr>
          <w:rFonts w:ascii="Open Sans" w:hAnsi="Open Sans" w:cs="Open Sans"/>
          <w:color w:val="000000" w:themeColor="text1"/>
          <w:sz w:val="20"/>
          <w:szCs w:val="20"/>
        </w:rPr>
        <w:t>nos termos do §2º, do artigo 25, da Resolução CVM 60.</w:t>
      </w:r>
    </w:p>
    <w:p w14:paraId="31EACC42" w14:textId="158C85A6" w:rsidR="00D7747C" w:rsidRPr="00575099" w:rsidRDefault="00D7747C" w:rsidP="00575099">
      <w:pPr>
        <w:spacing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C7BD84A" w14:textId="0BECE377" w:rsidR="00B9373E" w:rsidRPr="00A4188F" w:rsidRDefault="00B9373E" w:rsidP="005342CD">
      <w:pPr>
        <w:spacing w:line="276" w:lineRule="auto"/>
        <w:contextualSpacing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</w:rPr>
      </w:pPr>
      <w:r w:rsidRPr="00575099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26254ECC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14481BA2" w:rsidR="00B9373E" w:rsidRPr="00A4188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A4188F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</w:t>
      </w:r>
      <w:r w:rsidR="00C23270"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d</w:t>
      </w:r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a </w:t>
      </w:r>
      <w:r w:rsidR="00C23270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C23270"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</w:t>
      </w:r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>(“</w:t>
      </w:r>
      <w:r w:rsidR="00C23270"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Agente Fiduciário</w:t>
      </w:r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>”) (</w:t>
      </w:r>
      <w:r w:rsidR="00C23270" w:rsidRPr="007C66CA">
        <w:rPr>
          <w:rFonts w:ascii="Open Sans" w:eastAsia="Tahoma" w:hAnsi="Open Sans" w:cs="Open Sans"/>
          <w:color w:val="000000" w:themeColor="text1"/>
          <w:sz w:val="20"/>
          <w:szCs w:val="20"/>
        </w:rPr>
        <w:t>www.simplificpavarini.com.br</w:t>
      </w:r>
      <w:r w:rsidR="00C23270">
        <w:rPr>
          <w:rFonts w:ascii="Open Sans" w:eastAsia="Tahoma" w:hAnsi="Open Sans" w:cs="Open Sans"/>
          <w:color w:val="000000" w:themeColor="text1"/>
          <w:sz w:val="20"/>
          <w:szCs w:val="20"/>
        </w:rPr>
        <w:t>)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aos Titulares de CRI, para suporte às discussões e deliberações acima descritas.</w:t>
      </w:r>
    </w:p>
    <w:p w14:paraId="241A972D" w14:textId="2B264F13" w:rsidR="00852ED4" w:rsidRPr="00A4188F" w:rsidRDefault="00852ED4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77B44871" w14:textId="7F7D69F8" w:rsidR="00852ED4" w:rsidRPr="00A4188F" w:rsidRDefault="00852ED4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lastRenderedPageBreak/>
        <w:t>A Assembleia instalar-se-á, em 2ª (segunda) convocação, com a presença de qualquer número de Titulares d</w:t>
      </w:r>
      <w:r w:rsidR="007C25A2">
        <w:rPr>
          <w:rFonts w:ascii="Open Sans" w:eastAsia="Tahoma" w:hAnsi="Open Sans" w:cs="Open Sans"/>
          <w:color w:val="000000" w:themeColor="text1"/>
          <w:sz w:val="20"/>
          <w:szCs w:val="20"/>
        </w:rPr>
        <w:t>e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CRI, excluídos os Titulares d</w:t>
      </w:r>
      <w:r w:rsidR="007C25A2">
        <w:rPr>
          <w:rFonts w:ascii="Open Sans" w:eastAsia="Tahoma" w:hAnsi="Open Sans" w:cs="Open Sans"/>
          <w:color w:val="000000" w:themeColor="text1"/>
          <w:sz w:val="20"/>
          <w:szCs w:val="20"/>
        </w:rPr>
        <w:t>e</w:t>
      </w:r>
      <w:r w:rsidRPr="00A4188F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CRI que eventualmente não possuírem direito de voto conforme previsto no Termo de Securitização.</w:t>
      </w:r>
    </w:p>
    <w:p w14:paraId="1B603CF6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A4188F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A4188F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75099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</w:p>
    <w:p w14:paraId="75953DD0" w14:textId="2CD7FFAB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de CRI que enviarem para a Emissora, no endereço eletrônico </w:t>
      </w:r>
      <w:hyperlink r:id="rId12" w:history="1">
        <w:r w:rsidRPr="00A4188F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eletrônico </w:t>
      </w:r>
      <w:r w:rsidR="00C23270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os seguintes documentos: </w:t>
      </w:r>
    </w:p>
    <w:p w14:paraId="797147E0" w14:textId="77777777" w:rsidR="00B9373E" w:rsidRPr="00A4188F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5312B310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Titular de CRI; </w:t>
      </w:r>
    </w:p>
    <w:p w14:paraId="56548984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0A40CD59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proofErr w:type="spellStart"/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</w:t>
      </w:r>
      <w:r w:rsidRPr="00A4188F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e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 CRI; e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proofErr w:type="spellStart"/>
      <w:r w:rsidR="006A0628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73AD8F18" w14:textId="77777777" w:rsidR="00B9373E" w:rsidRPr="007C25A2" w:rsidRDefault="00B9373E" w:rsidP="00575099">
      <w:pPr>
        <w:pStyle w:val="Estilo"/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645771C5" w14:textId="2C27E7AB" w:rsidR="00B9373E" w:rsidRPr="007C25A2" w:rsidRDefault="00B9373E" w:rsidP="00575099">
      <w:pPr>
        <w:pStyle w:val="Estilo"/>
        <w:numPr>
          <w:ilvl w:val="0"/>
          <w:numId w:val="1"/>
        </w:numPr>
        <w:spacing w:line="276" w:lineRule="auto"/>
        <w:ind w:left="567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7C25A2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417F0E01" w14:textId="733CA2F1" w:rsidR="0025307E" w:rsidRPr="007C25A2" w:rsidRDefault="0025307E" w:rsidP="00575099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7C25A2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7C25A2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7C25A2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75782101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7C25A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7C25A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7C25A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Pr="00A4188F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23270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 ), em formato PDF; e (</w:t>
      </w:r>
      <w:proofErr w:type="spellStart"/>
      <w:r w:rsidRPr="00A4188F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A4188F">
        <w:rPr>
          <w:rFonts w:ascii="Open Sans" w:hAnsi="Open Sans" w:cs="Open Sans"/>
          <w:color w:val="000000" w:themeColor="text1"/>
          <w:sz w:val="20"/>
          <w:szCs w:val="20"/>
        </w:rPr>
        <w:t>) receber as credenciais de acesso e instruções para sua identificação durante o uso da plataforma. O acesso via plataforma eletrônica estará restrito aos Titulares de CRI que se credenciarem, nos termos aqui descritos (“</w:t>
      </w:r>
      <w:r w:rsidRPr="00A4188F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Por questões operacionais, recomenda-se que os Titulares de CRI Credenciados enviem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6AE93E1E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</w:t>
      </w:r>
      <w:r w:rsidR="00EF2967">
        <w:rPr>
          <w:rFonts w:ascii="Open Sans" w:hAnsi="Open Sans" w:cs="Open Sans"/>
          <w:color w:val="000000" w:themeColor="text1"/>
          <w:sz w:val="20"/>
          <w:szCs w:val="20"/>
        </w:rPr>
        <w:t>, após o contato com a Emissora e o Agente Fiduciário nos moldes acima mencionados,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A4188F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23270">
        <w:rPr>
          <w:rFonts w:ascii="Open Sans" w:hAnsi="Open Sans" w:cs="Open Sans"/>
          <w:color w:val="000000" w:themeColor="text1"/>
          <w:sz w:val="20"/>
          <w:szCs w:val="20"/>
        </w:rPr>
        <w:t>spestruturacao@simplifipavarini.com.br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</w:t>
      </w:r>
      <w:r w:rsidR="00C23270">
        <w:rPr>
          <w:rFonts w:ascii="Open Sans" w:hAnsi="Open Sans" w:cs="Open Sans"/>
          <w:color w:val="000000" w:themeColor="text1"/>
          <w:sz w:val="20"/>
          <w:szCs w:val="20"/>
        </w:rPr>
        <w:t>(21) 2507-1949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A4188F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A4188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14C4D9C9" w14:textId="77777777" w:rsidR="0025307E" w:rsidRPr="00575099" w:rsidRDefault="0025307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7FD10C8C" w:rsidR="00B9373E" w:rsidRPr="00A4188F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A4188F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A4188F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hyperlink r:id="rId15" w:history="1">
        <w:r w:rsidRPr="00A4188F">
          <w:rPr>
            <w:rStyle w:val="Hyperlink"/>
            <w:rFonts w:ascii="Open Sans" w:eastAsia="Tahoma" w:hAnsi="Open Sans" w:cs="Open Sans"/>
            <w:sz w:val="20"/>
            <w:lang w:val="pt-BR"/>
          </w:rPr>
          <w:t>www.fortesec.com.br</w:t>
        </w:r>
      </w:hyperlink>
      <w:r w:rsidRPr="00A4188F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A4188F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</w:t>
      </w:r>
      <w:proofErr w:type="spellStart"/>
      <w:r w:rsidRPr="00A4188F">
        <w:rPr>
          <w:rFonts w:ascii="Open Sans" w:hAnsi="Open Sans" w:cs="Open Sans"/>
          <w:color w:val="000000" w:themeColor="text1"/>
          <w:sz w:val="20"/>
          <w:lang w:val="pt-BR"/>
        </w:rPr>
        <w:t>ii</w:t>
      </w:r>
      <w:proofErr w:type="spellEnd"/>
      <w:r w:rsidRPr="00A4188F">
        <w:rPr>
          <w:rFonts w:ascii="Open Sans" w:hAnsi="Open Sans" w:cs="Open Sans"/>
          <w:color w:val="000000" w:themeColor="text1"/>
          <w:sz w:val="20"/>
          <w:lang w:val="pt-BR"/>
        </w:rPr>
        <w:t>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2"/>
    <w:p w14:paraId="50314D5D" w14:textId="0D137C75" w:rsidR="00753DC6" w:rsidRPr="00A4188F" w:rsidRDefault="00753DC6" w:rsidP="005B57A6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E71D5E2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sz w:val="20"/>
          <w:szCs w:val="20"/>
        </w:rPr>
        <w:lastRenderedPageBreak/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A4188F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4CBC28A7" w:rsidR="00B9373E" w:rsidRPr="00A4188F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5A07B6" w:rsidRPr="00575099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5A07B6" w:rsidRPr="00575099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5A07B6" w:rsidRPr="00575099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F35D59" w:rsidRPr="00575099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.</w:t>
      </w:r>
    </w:p>
    <w:p w14:paraId="7BFAC927" w14:textId="77777777" w:rsidR="00B9373E" w:rsidRPr="00A4188F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461E40" w14:textId="697075B1" w:rsidR="00BD27C7" w:rsidRPr="00A4188F" w:rsidRDefault="00B9373E" w:rsidP="00575099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A4188F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BD27C7" w:rsidRPr="00A4188F" w:rsidSect="00605497">
      <w:headerReference w:type="default" r:id="rId16"/>
      <w:footerReference w:type="default" r:id="rId17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26CC" w14:textId="77777777" w:rsidR="008363CC" w:rsidRDefault="008363CC">
      <w:pPr>
        <w:spacing w:after="0" w:line="240" w:lineRule="auto"/>
      </w:pPr>
      <w:r>
        <w:separator/>
      </w:r>
    </w:p>
  </w:endnote>
  <w:endnote w:type="continuationSeparator" w:id="0">
    <w:p w14:paraId="58158943" w14:textId="77777777" w:rsidR="008363CC" w:rsidRDefault="0083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77777777" w:rsidR="00605497" w:rsidRDefault="00B9373E" w:rsidP="00605497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0CE" w14:textId="77777777" w:rsidR="008363CC" w:rsidRDefault="008363CC">
      <w:pPr>
        <w:spacing w:after="0" w:line="240" w:lineRule="auto"/>
      </w:pPr>
      <w:r>
        <w:separator/>
      </w:r>
    </w:p>
  </w:footnote>
  <w:footnote w:type="continuationSeparator" w:id="0">
    <w:p w14:paraId="4F41144E" w14:textId="77777777" w:rsidR="008363CC" w:rsidRDefault="0083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605497" w:rsidRDefault="00B9373E" w:rsidP="0060549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605497" w:rsidRDefault="00393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93155937">
    <w:abstractNumId w:val="1"/>
  </w:num>
  <w:num w:numId="2" w16cid:durableId="140942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14A2B"/>
    <w:rsid w:val="00062660"/>
    <w:rsid w:val="000733BC"/>
    <w:rsid w:val="00080AF2"/>
    <w:rsid w:val="00096BE0"/>
    <w:rsid w:val="000A572C"/>
    <w:rsid w:val="000C17D1"/>
    <w:rsid w:val="000C66BF"/>
    <w:rsid w:val="000E2702"/>
    <w:rsid w:val="000F0714"/>
    <w:rsid w:val="000F5025"/>
    <w:rsid w:val="00115AC8"/>
    <w:rsid w:val="0012152C"/>
    <w:rsid w:val="0012333B"/>
    <w:rsid w:val="00167255"/>
    <w:rsid w:val="001B0229"/>
    <w:rsid w:val="001B12C1"/>
    <w:rsid w:val="001D0719"/>
    <w:rsid w:val="001D3D6A"/>
    <w:rsid w:val="001D7899"/>
    <w:rsid w:val="002025CF"/>
    <w:rsid w:val="002039DF"/>
    <w:rsid w:val="00210E8D"/>
    <w:rsid w:val="00214AF4"/>
    <w:rsid w:val="00216357"/>
    <w:rsid w:val="00246196"/>
    <w:rsid w:val="0025307E"/>
    <w:rsid w:val="00262E10"/>
    <w:rsid w:val="0027012D"/>
    <w:rsid w:val="00272FE9"/>
    <w:rsid w:val="00282FF5"/>
    <w:rsid w:val="00295203"/>
    <w:rsid w:val="00296D95"/>
    <w:rsid w:val="002F2A73"/>
    <w:rsid w:val="00342D82"/>
    <w:rsid w:val="003452D7"/>
    <w:rsid w:val="0035786F"/>
    <w:rsid w:val="00363503"/>
    <w:rsid w:val="003731B5"/>
    <w:rsid w:val="00393344"/>
    <w:rsid w:val="00396434"/>
    <w:rsid w:val="003A5F89"/>
    <w:rsid w:val="003A7CCD"/>
    <w:rsid w:val="003C26A6"/>
    <w:rsid w:val="003C702D"/>
    <w:rsid w:val="003D3C65"/>
    <w:rsid w:val="00400738"/>
    <w:rsid w:val="0042565A"/>
    <w:rsid w:val="00430955"/>
    <w:rsid w:val="00452159"/>
    <w:rsid w:val="00487907"/>
    <w:rsid w:val="004A4063"/>
    <w:rsid w:val="004B0D35"/>
    <w:rsid w:val="004D1FD8"/>
    <w:rsid w:val="004D422D"/>
    <w:rsid w:val="005212BB"/>
    <w:rsid w:val="005342CD"/>
    <w:rsid w:val="005664BA"/>
    <w:rsid w:val="00575099"/>
    <w:rsid w:val="00575403"/>
    <w:rsid w:val="005A07B6"/>
    <w:rsid w:val="005B57A6"/>
    <w:rsid w:val="005C7DEE"/>
    <w:rsid w:val="005D743F"/>
    <w:rsid w:val="00600A7D"/>
    <w:rsid w:val="00604CBC"/>
    <w:rsid w:val="00676061"/>
    <w:rsid w:val="00683469"/>
    <w:rsid w:val="006A0628"/>
    <w:rsid w:val="006F605E"/>
    <w:rsid w:val="007159D0"/>
    <w:rsid w:val="00716072"/>
    <w:rsid w:val="00727A8D"/>
    <w:rsid w:val="00730C3B"/>
    <w:rsid w:val="0073763F"/>
    <w:rsid w:val="00753DC6"/>
    <w:rsid w:val="007964A4"/>
    <w:rsid w:val="007C25A2"/>
    <w:rsid w:val="007D00AD"/>
    <w:rsid w:val="007D25E6"/>
    <w:rsid w:val="007E6DA3"/>
    <w:rsid w:val="00820E73"/>
    <w:rsid w:val="008363CC"/>
    <w:rsid w:val="00852ED4"/>
    <w:rsid w:val="00856157"/>
    <w:rsid w:val="00874F5D"/>
    <w:rsid w:val="008F68D3"/>
    <w:rsid w:val="00901E07"/>
    <w:rsid w:val="00905360"/>
    <w:rsid w:val="009132D8"/>
    <w:rsid w:val="009347D8"/>
    <w:rsid w:val="00936859"/>
    <w:rsid w:val="00962379"/>
    <w:rsid w:val="00967319"/>
    <w:rsid w:val="009B01E8"/>
    <w:rsid w:val="009B2A45"/>
    <w:rsid w:val="009B35FF"/>
    <w:rsid w:val="009C68BB"/>
    <w:rsid w:val="009E0FCA"/>
    <w:rsid w:val="00A169F6"/>
    <w:rsid w:val="00A23E40"/>
    <w:rsid w:val="00A34BCD"/>
    <w:rsid w:val="00A4188F"/>
    <w:rsid w:val="00A716D3"/>
    <w:rsid w:val="00A84F79"/>
    <w:rsid w:val="00AC307D"/>
    <w:rsid w:val="00AC512A"/>
    <w:rsid w:val="00AD5B5D"/>
    <w:rsid w:val="00AD67B7"/>
    <w:rsid w:val="00B7233E"/>
    <w:rsid w:val="00B761F0"/>
    <w:rsid w:val="00B92EE0"/>
    <w:rsid w:val="00B9373E"/>
    <w:rsid w:val="00BA05FA"/>
    <w:rsid w:val="00BA39F8"/>
    <w:rsid w:val="00BB605D"/>
    <w:rsid w:val="00BC1E29"/>
    <w:rsid w:val="00BD27C7"/>
    <w:rsid w:val="00BF0351"/>
    <w:rsid w:val="00BF5403"/>
    <w:rsid w:val="00C007D3"/>
    <w:rsid w:val="00C02DE0"/>
    <w:rsid w:val="00C230E3"/>
    <w:rsid w:val="00C23270"/>
    <w:rsid w:val="00C25A59"/>
    <w:rsid w:val="00C47A3D"/>
    <w:rsid w:val="00C709ED"/>
    <w:rsid w:val="00D17F3F"/>
    <w:rsid w:val="00D33CCA"/>
    <w:rsid w:val="00D73C2E"/>
    <w:rsid w:val="00D7747C"/>
    <w:rsid w:val="00DA198F"/>
    <w:rsid w:val="00DC6859"/>
    <w:rsid w:val="00DD0B21"/>
    <w:rsid w:val="00DD31D8"/>
    <w:rsid w:val="00E05106"/>
    <w:rsid w:val="00E72790"/>
    <w:rsid w:val="00E812C7"/>
    <w:rsid w:val="00EE12C2"/>
    <w:rsid w:val="00EF2967"/>
    <w:rsid w:val="00F23A9B"/>
    <w:rsid w:val="00F31901"/>
    <w:rsid w:val="00F35D59"/>
    <w:rsid w:val="00F416E9"/>
    <w:rsid w:val="00F547CC"/>
    <w:rsid w:val="00F54DD4"/>
    <w:rsid w:val="00F7495F"/>
    <w:rsid w:val="00F83427"/>
    <w:rsid w:val="00F86476"/>
    <w:rsid w:val="00FD4B6A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chartTrackingRefBased/>
  <w15:docId w15:val="{BCA0DA61-D77C-417D-A52D-5C9718B8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0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ao@fortesec.com.b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fortesec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esec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tesec.com.b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XYRVYRS7NR3H-414051584-793819</_dlc_DocId>
    <_dlc_DocIdUrl xmlns="90be1033-61d5-46ad-ae3a-53f0d5f2e6d6">
      <Url>https://contatofortesec.sharepoint.com/sites/Gestao/_layouts/15/DocIdRedir.aspx?ID=XYRVYRS7NR3H-414051584-793819</Url>
      <Description>XYRVYRS7NR3H-414051584-793819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11B7C-13F4-4486-839C-ED7362C3B5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ABAF5E-63FA-448D-988C-A351DD985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57D90-CBEA-4661-B52F-EF669308082F}">
  <ds:schemaRefs>
    <ds:schemaRef ds:uri="http://schemas.microsoft.com/office/2006/metadata/properties"/>
    <ds:schemaRef ds:uri="http://schemas.microsoft.com/office/infopath/2007/PartnerControls"/>
    <ds:schemaRef ds:uri="0d2242a2-c77f-4264-a563-e0e7f6440b73"/>
    <ds:schemaRef ds:uri="7a5f3d98-4ea1-4afc-8030-0e7a85175629"/>
    <ds:schemaRef ds:uri="90be1033-61d5-46ad-ae3a-53f0d5f2e6d6"/>
    <ds:schemaRef ds:uri="bb6cd9ea-a165-46c7-8046-7d231703d635"/>
  </ds:schemaRefs>
</ds:datastoreItem>
</file>

<file path=customXml/itemProps4.xml><?xml version="1.0" encoding="utf-8"?>
<ds:datastoreItem xmlns:ds="http://schemas.openxmlformats.org/officeDocument/2006/customXml" ds:itemID="{943878B2-3E33-4D26-806B-ABAF87087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1427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Narelle Antunes</cp:lastModifiedBy>
  <cp:revision>3</cp:revision>
  <cp:lastPrinted>2021-03-22T19:10:00Z</cp:lastPrinted>
  <dcterms:created xsi:type="dcterms:W3CDTF">2022-10-31T18:06:00Z</dcterms:created>
  <dcterms:modified xsi:type="dcterms:W3CDTF">2022-12-01T14:19:00Z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2e3f90af-c2f8-4dd5-8841-922681d6a81f</vt:lpwstr>
  </property>
  <property fmtid="{D5CDD505-2E9C-101B-9397-08002B2CF9AE}" pid="4" name="MediaServiceImageTags">
    <vt:lpwstr/>
  </property>
</Properties>
</file>