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48B3838"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1C4F40">
        <w:rPr>
          <w:rFonts w:ascii="Open Sans" w:hAnsi="Open Sans" w:cs="Open Sans"/>
          <w:b/>
          <w:bCs/>
          <w:color w:val="000000" w:themeColor="text1"/>
          <w:sz w:val="20"/>
          <w:szCs w:val="20"/>
        </w:rPr>
        <w:t>1</w:t>
      </w:r>
      <w:r w:rsidR="0067633B">
        <w:rPr>
          <w:rFonts w:ascii="Open Sans" w:hAnsi="Open Sans" w:cs="Open Sans"/>
          <w:b/>
          <w:bCs/>
          <w:color w:val="000000" w:themeColor="text1"/>
          <w:sz w:val="20"/>
          <w:szCs w:val="20"/>
        </w:rPr>
        <w:t>5</w:t>
      </w:r>
      <w:r w:rsidR="004C2836">
        <w:rPr>
          <w:rFonts w:ascii="Open Sans" w:hAnsi="Open Sans" w:cs="Open Sans"/>
          <w:b/>
          <w:bCs/>
          <w:color w:val="000000" w:themeColor="text1"/>
          <w:sz w:val="20"/>
          <w:szCs w:val="20"/>
        </w:rPr>
        <w:t xml:space="preserve">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BF8908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1C4F40">
        <w:rPr>
          <w:rFonts w:ascii="Open Sans" w:hAnsi="Open Sans" w:cs="Open Sans"/>
          <w:color w:val="000000" w:themeColor="text1"/>
          <w:sz w:val="20"/>
          <w:szCs w:val="20"/>
        </w:rPr>
        <w:t>1</w:t>
      </w:r>
      <w:r w:rsidR="0067633B">
        <w:rPr>
          <w:rFonts w:ascii="Open Sans" w:hAnsi="Open Sans" w:cs="Open Sans"/>
          <w:color w:val="000000" w:themeColor="text1"/>
          <w:sz w:val="20"/>
          <w:szCs w:val="20"/>
        </w:rPr>
        <w:t>5</w:t>
      </w:r>
      <w:r w:rsidR="004C2836"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CRI </w:t>
      </w:r>
      <w:r w:rsidR="008F2E79" w:rsidRPr="00FE7535">
        <w:rPr>
          <w:rFonts w:ascii="Open Sans" w:hAnsi="Open Sans" w:cs="Open Sans"/>
          <w:sz w:val="20"/>
          <w:szCs w:val="20"/>
        </w:rPr>
        <w:t>(conforme abaixo definido) 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7138CFFA"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0459691A"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dispensada em razão da presença da totalidade dos titulares de CRI em circulação com direito a voto,</w:t>
      </w:r>
      <w:r w:rsidR="00AD6270">
        <w:rPr>
          <w:rFonts w:ascii="Open Sans" w:hAnsi="Open Sans" w:cs="Open Sans"/>
          <w:color w:val="000000" w:themeColor="text1"/>
          <w:sz w:val="20"/>
          <w:szCs w:val="20"/>
        </w:rPr>
        <w:t xml:space="preserve">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60CE5C0D" w14:textId="297AB686" w:rsidR="00552B20" w:rsidRDefault="0087720F" w:rsidP="003165AE">
      <w:pPr>
        <w:pStyle w:val="ListParagraph"/>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r w:rsidR="000B40FD" w:rsidRPr="00911BA1">
        <w:rPr>
          <w:rFonts w:ascii="Open Sans" w:hAnsi="Open Sans" w:cs="Open Sans"/>
          <w:i/>
          <w:iCs/>
          <w:color w:val="000000" w:themeColor="text1"/>
          <w:sz w:val="20"/>
          <w:szCs w:val="20"/>
        </w:rPr>
        <w:t>waiver</w:t>
      </w:r>
      <w:r w:rsidR="000B40FD" w:rsidRPr="00AB29C5">
        <w:rPr>
          <w:rFonts w:ascii="Open Sans" w:hAnsi="Open Sans" w:cs="Open Sans"/>
          <w:color w:val="000000" w:themeColor="text1"/>
          <w:sz w:val="20"/>
          <w:szCs w:val="20"/>
        </w:rPr>
        <w:t xml:space="preserve"> à Devedora no sentido de a Securitizadora abster-se de decretar o vencimento antecipado das Debêntures, em decorrência do </w:t>
      </w:r>
      <w:r w:rsidR="00B04162" w:rsidRPr="0084045A">
        <w:rPr>
          <w:rFonts w:ascii="Open Sans" w:hAnsi="Open Sans" w:cs="Open Sans"/>
          <w:sz w:val="20"/>
          <w:szCs w:val="20"/>
        </w:rPr>
        <w:t xml:space="preserve">inadimplemento, pela Devedora, das obrigações pecuniárias devidas </w:t>
      </w:r>
      <w:r w:rsidR="00B04162">
        <w:rPr>
          <w:rFonts w:ascii="Open Sans" w:hAnsi="Open Sans" w:cs="Open Sans"/>
          <w:sz w:val="20"/>
          <w:szCs w:val="20"/>
        </w:rPr>
        <w:t xml:space="preserve">em </w:t>
      </w:r>
      <w:r w:rsidR="00E72BFA">
        <w:rPr>
          <w:rFonts w:ascii="Open Sans" w:hAnsi="Open Sans" w:cs="Open Sans"/>
          <w:sz w:val="20"/>
          <w:szCs w:val="20"/>
        </w:rPr>
        <w:t xml:space="preserve">janeiro e fevereiro </w:t>
      </w:r>
      <w:r w:rsidR="00B04162">
        <w:rPr>
          <w:rFonts w:ascii="Open Sans" w:hAnsi="Open Sans" w:cs="Open Sans"/>
          <w:sz w:val="20"/>
          <w:szCs w:val="20"/>
        </w:rPr>
        <w:t>de 2023, bem como dos respectivos encargos 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r w:rsidR="00552B20">
        <w:rPr>
          <w:rFonts w:ascii="Open Sans" w:hAnsi="Open Sans" w:cs="Open Sans"/>
          <w:color w:val="000000" w:themeColor="text1"/>
          <w:sz w:val="20"/>
          <w:szCs w:val="20"/>
        </w:rPr>
        <w:t>;</w:t>
      </w:r>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608FC34A" w:rsidR="00552B20" w:rsidRDefault="00827B4D" w:rsidP="003165AE">
      <w:pPr>
        <w:pStyle w:val="ListParagraph"/>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a aprovação, ou não, da substituição do Anexo II ao Termo de Securitização e 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 pelo</w:t>
      </w:r>
      <w:r w:rsidR="00CB1508" w:rsidRPr="00782A57">
        <w:rPr>
          <w:rFonts w:ascii="Open Sans" w:hAnsi="Open Sans" w:cs="Open Sans"/>
          <w:color w:val="000000" w:themeColor="text1"/>
          <w:sz w:val="20"/>
          <w:szCs w:val="20"/>
        </w:rPr>
        <w:t>s</w:t>
      </w:r>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dos pagamentos devidos em fevereiro 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inadimplidas ao saldo devedor das Debêntures e dos CRI</w:t>
      </w:r>
      <w:r w:rsidR="00552B20" w:rsidRPr="00782A57">
        <w:rPr>
          <w:rFonts w:ascii="Open Sans" w:hAnsi="Open Sans" w:cs="Open Sans"/>
          <w:color w:val="000000" w:themeColor="text1"/>
          <w:sz w:val="20"/>
          <w:szCs w:val="20"/>
        </w:rPr>
        <w:t>;</w:t>
      </w:r>
      <w:r w:rsidR="00565AF5" w:rsidRPr="00782A57">
        <w:rPr>
          <w:rFonts w:ascii="Open Sans" w:hAnsi="Open Sans" w:cs="Open Sans"/>
          <w:color w:val="000000" w:themeColor="text1"/>
          <w:sz w:val="20"/>
          <w:szCs w:val="20"/>
        </w:rPr>
        <w:t xml:space="preserve"> 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(b)</w:t>
      </w:r>
      <w:r w:rsidR="00782A57" w:rsidRPr="00782A57">
        <w:rPr>
          <w:rFonts w:ascii="Open Sans" w:hAnsi="Open Sans" w:cs="Open Sans"/>
          <w:color w:val="000000" w:themeColor="text1"/>
          <w:sz w:val="20"/>
          <w:szCs w:val="20"/>
        </w:rPr>
        <w:t xml:space="preserve"> a concessão de carência </w:t>
      </w:r>
      <w:r w:rsidR="00782A57" w:rsidRPr="00076429">
        <w:rPr>
          <w:rFonts w:ascii="Open Sans" w:hAnsi="Open Sans" w:cs="Open Sans"/>
          <w:color w:val="000000" w:themeColor="text1"/>
          <w:sz w:val="20"/>
          <w:szCs w:val="20"/>
        </w:rPr>
        <w:t xml:space="preserve">no pagamento das Amortizações Programadas e da remuneração das Debêntures e, consequentemente, dos </w:t>
      </w:r>
      <w:r w:rsidR="00782A57" w:rsidRPr="00076429">
        <w:rPr>
          <w:rFonts w:ascii="Open Sans" w:hAnsi="Open Sans" w:cs="Open Sans"/>
          <w:color w:val="000000" w:themeColor="text1"/>
          <w:sz w:val="20"/>
          <w:szCs w:val="20"/>
        </w:rPr>
        <w:lastRenderedPageBreak/>
        <w:t>CRI</w:t>
      </w:r>
      <w:r w:rsidR="00782A57" w:rsidRPr="00782A57">
        <w:rPr>
          <w:rFonts w:ascii="Open Sans" w:hAnsi="Open Sans" w:cs="Open Sans"/>
          <w:color w:val="000000" w:themeColor="text1"/>
          <w:sz w:val="20"/>
          <w:szCs w:val="20"/>
        </w:rPr>
        <w:t xml:space="preserve">, a serem devidas nos meses de março </w:t>
      </w:r>
      <w:r w:rsidR="00307FA9">
        <w:rPr>
          <w:rFonts w:ascii="Open Sans" w:hAnsi="Open Sans" w:cs="Open Sans"/>
          <w:color w:val="000000" w:themeColor="text1"/>
          <w:sz w:val="20"/>
          <w:szCs w:val="20"/>
        </w:rPr>
        <w:t xml:space="preserve">(inclusive) </w:t>
      </w:r>
      <w:r w:rsidR="00782A57" w:rsidRPr="00782A57">
        <w:rPr>
          <w:rFonts w:ascii="Open Sans" w:hAnsi="Open Sans" w:cs="Open Sans"/>
          <w:color w:val="000000" w:themeColor="text1"/>
          <w:sz w:val="20"/>
          <w:szCs w:val="20"/>
        </w:rPr>
        <w:t xml:space="preserve">a </w:t>
      </w:r>
      <w:r w:rsidR="00782A57">
        <w:rPr>
          <w:rFonts w:ascii="Open Sans" w:hAnsi="Open Sans" w:cs="Open Sans"/>
          <w:color w:val="000000" w:themeColor="text1"/>
          <w:sz w:val="20"/>
          <w:szCs w:val="20"/>
        </w:rPr>
        <w:t>dezembro</w:t>
      </w:r>
      <w:r w:rsidR="00782A57" w:rsidRPr="00AB29C5">
        <w:rPr>
          <w:rFonts w:ascii="Open Sans" w:hAnsi="Open Sans" w:cs="Open Sans"/>
          <w:color w:val="000000" w:themeColor="text1"/>
          <w:sz w:val="20"/>
          <w:szCs w:val="20"/>
        </w:rPr>
        <w:t xml:space="preserve"> </w:t>
      </w:r>
      <w:r w:rsidR="00307FA9">
        <w:rPr>
          <w:rFonts w:ascii="Open Sans" w:hAnsi="Open Sans" w:cs="Open Sans"/>
          <w:color w:val="000000" w:themeColor="text1"/>
          <w:sz w:val="20"/>
          <w:szCs w:val="20"/>
        </w:rPr>
        <w:t xml:space="preserve">(inclusive) </w:t>
      </w:r>
      <w:r w:rsidR="00782A57" w:rsidRPr="00AB29C5">
        <w:rPr>
          <w:rFonts w:ascii="Open Sans" w:hAnsi="Open Sans" w:cs="Open Sans"/>
          <w:color w:val="000000" w:themeColor="text1"/>
          <w:sz w:val="20"/>
          <w:szCs w:val="20"/>
        </w:rPr>
        <w:t>de 202</w:t>
      </w:r>
      <w:r w:rsidR="00782A57">
        <w:rPr>
          <w:rFonts w:ascii="Open Sans" w:hAnsi="Open Sans" w:cs="Open Sans"/>
          <w:color w:val="000000" w:themeColor="text1"/>
          <w:sz w:val="20"/>
          <w:szCs w:val="20"/>
        </w:rPr>
        <w:t>3</w:t>
      </w:r>
      <w:r w:rsidR="007A07D2">
        <w:rPr>
          <w:rFonts w:ascii="Open Sans" w:hAnsi="Open Sans" w:cs="Open Sans"/>
          <w:color w:val="000000" w:themeColor="text1"/>
          <w:sz w:val="20"/>
          <w:szCs w:val="20"/>
        </w:rPr>
        <w:t xml:space="preserve"> (“</w:t>
      </w:r>
      <w:r w:rsidR="007A07D2" w:rsidRPr="00076429">
        <w:rPr>
          <w:rFonts w:ascii="Open Sans" w:hAnsi="Open Sans" w:cs="Open Sans"/>
          <w:color w:val="000000" w:themeColor="text1"/>
          <w:sz w:val="20"/>
          <w:szCs w:val="20"/>
          <w:u w:val="single"/>
        </w:rPr>
        <w:t>Carência</w:t>
      </w:r>
      <w:r w:rsidR="007A07D2">
        <w:rPr>
          <w:rFonts w:ascii="Open Sans" w:hAnsi="Open Sans" w:cs="Open Sans"/>
          <w:color w:val="000000" w:themeColor="text1"/>
          <w:sz w:val="20"/>
          <w:szCs w:val="20"/>
        </w:rPr>
        <w:t>”</w:t>
      </w:r>
      <w:r w:rsidR="00F13CCA">
        <w:rPr>
          <w:rFonts w:ascii="Open Sans" w:hAnsi="Open Sans" w:cs="Open Sans"/>
          <w:color w:val="000000" w:themeColor="text1"/>
          <w:sz w:val="20"/>
          <w:szCs w:val="20"/>
        </w:rPr>
        <w:t xml:space="preserve"> e “</w:t>
      </w:r>
      <w:r w:rsidR="00F13CCA" w:rsidRPr="00076429">
        <w:rPr>
          <w:rFonts w:ascii="Open Sans" w:hAnsi="Open Sans" w:cs="Open Sans"/>
          <w:color w:val="000000" w:themeColor="text1"/>
          <w:sz w:val="20"/>
          <w:szCs w:val="20"/>
          <w:u w:val="single"/>
        </w:rPr>
        <w:t>Período da Carência</w:t>
      </w:r>
      <w:r w:rsidR="00F13CCA">
        <w:rPr>
          <w:rFonts w:ascii="Open Sans" w:hAnsi="Open Sans" w:cs="Open Sans"/>
          <w:color w:val="000000" w:themeColor="text1"/>
          <w:sz w:val="20"/>
          <w:szCs w:val="20"/>
        </w:rPr>
        <w:t>”, respectivamente</w:t>
      </w:r>
      <w:r w:rsidR="007A07D2">
        <w:rPr>
          <w:rFonts w:ascii="Open Sans" w:hAnsi="Open Sans" w:cs="Open Sans"/>
          <w:color w:val="000000" w:themeColor="text1"/>
          <w:sz w:val="20"/>
          <w:szCs w:val="20"/>
        </w:rPr>
        <w:t>)</w:t>
      </w:r>
      <w:r w:rsidR="00307FA9">
        <w:rPr>
          <w:rFonts w:ascii="Open Sans" w:hAnsi="Open Sans" w:cs="Open Sans"/>
          <w:color w:val="000000" w:themeColor="text1"/>
          <w:sz w:val="20"/>
          <w:szCs w:val="20"/>
        </w:rPr>
        <w:t>;</w:t>
      </w:r>
    </w:p>
    <w:p w14:paraId="3CB0FA95" w14:textId="77777777" w:rsidR="00307FA9" w:rsidRDefault="00307FA9" w:rsidP="00076429">
      <w:pPr>
        <w:pStyle w:val="ListParagraph"/>
        <w:ind w:left="567"/>
        <w:contextualSpacing/>
        <w:jc w:val="both"/>
        <w:rPr>
          <w:rFonts w:ascii="Open Sans" w:hAnsi="Open Sans" w:cs="Open Sans"/>
          <w:color w:val="000000" w:themeColor="text1"/>
          <w:sz w:val="20"/>
          <w:szCs w:val="20"/>
        </w:rPr>
      </w:pPr>
    </w:p>
    <w:p w14:paraId="47FD4BE3" w14:textId="010FF850" w:rsidR="00307FA9" w:rsidRDefault="004071AA" w:rsidP="003165AE">
      <w:pPr>
        <w:pStyle w:val="ListParagraph"/>
        <w:numPr>
          <w:ilvl w:val="0"/>
          <w:numId w:val="7"/>
        </w:numPr>
        <w:ind w:left="567" w:hanging="567"/>
        <w:contextualSpacing/>
        <w:jc w:val="both"/>
        <w:rPr>
          <w:rFonts w:ascii="Open Sans" w:hAnsi="Open Sans" w:cs="Open Sans"/>
          <w:color w:val="000000" w:themeColor="text1"/>
          <w:sz w:val="20"/>
          <w:szCs w:val="20"/>
        </w:rPr>
      </w:pPr>
      <w:r w:rsidRPr="00076429">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r</w:t>
      </w:r>
      <w:r w:rsidRPr="00076429">
        <w:rPr>
          <w:rFonts w:ascii="Open Sans" w:hAnsi="Open Sans" w:cs="Open Sans"/>
          <w:color w:val="000000" w:themeColor="text1"/>
          <w:sz w:val="20"/>
          <w:szCs w:val="20"/>
        </w:rPr>
        <w:t>emuneração das Debêntures, e consequentemente, dos CRI, de forma que, a partir das datas referentes ao evento de pagamento de março de 2023 (inclusive), previstas no Anexo V</w:t>
      </w:r>
      <w:r>
        <w:rPr>
          <w:rFonts w:ascii="Open Sans" w:hAnsi="Open Sans" w:cs="Open Sans"/>
          <w:color w:val="000000" w:themeColor="text1"/>
          <w:sz w:val="20"/>
          <w:szCs w:val="20"/>
        </w:rPr>
        <w:t>I</w:t>
      </w:r>
      <w:r w:rsidRPr="00076429">
        <w:rPr>
          <w:rFonts w:ascii="Open Sans" w:hAnsi="Open Sans" w:cs="Open Sans"/>
          <w:color w:val="000000" w:themeColor="text1"/>
          <w:sz w:val="20"/>
          <w:szCs w:val="20"/>
        </w:rPr>
        <w:t xml:space="preserve"> à Escritura de Emissão de Debêntures e no Anexo II ao Termo de Securitização, respectivamente</w:t>
      </w:r>
      <w:r w:rsidR="0085260E" w:rsidRPr="00C84BAF">
        <w:rPr>
          <w:rFonts w:ascii="Open Sans" w:hAnsi="Open Sans" w:cs="Open Sans"/>
          <w:sz w:val="20"/>
          <w:szCs w:val="20"/>
        </w:rPr>
        <w:t xml:space="preserve">: </w:t>
      </w:r>
      <w:r w:rsidR="0085260E" w:rsidRPr="0080199A">
        <w:rPr>
          <w:rFonts w:ascii="Open Sans" w:hAnsi="Open Sans" w:cs="Open Sans"/>
          <w:b/>
          <w:bCs/>
          <w:sz w:val="20"/>
          <w:szCs w:val="20"/>
        </w:rPr>
        <w:t>(</w:t>
      </w:r>
      <w:r w:rsidR="0085260E" w:rsidRPr="00536B2B">
        <w:rPr>
          <w:rFonts w:ascii="Open Sans" w:hAnsi="Open Sans" w:cs="Open Sans"/>
          <w:b/>
          <w:bCs/>
          <w:sz w:val="20"/>
          <w:szCs w:val="20"/>
        </w:rPr>
        <w:t>a</w:t>
      </w:r>
      <w:r w:rsidR="0085260E" w:rsidRPr="0080199A">
        <w:rPr>
          <w:rFonts w:ascii="Open Sans" w:hAnsi="Open Sans" w:cs="Open Sans"/>
          <w:b/>
          <w:bCs/>
          <w:sz w:val="20"/>
          <w:szCs w:val="20"/>
        </w:rPr>
        <w:t>)</w:t>
      </w:r>
      <w:r w:rsidR="0085260E" w:rsidRPr="00885093">
        <w:rPr>
          <w:rFonts w:ascii="Open Sans" w:hAnsi="Open Sans" w:cs="Open Sans"/>
          <w:b/>
          <w:bCs/>
          <w:sz w:val="20"/>
          <w:szCs w:val="20"/>
        </w:rPr>
        <w:t xml:space="preserve"> </w:t>
      </w:r>
      <w:r w:rsidR="0085260E" w:rsidRPr="00C84BAF">
        <w:rPr>
          <w:rFonts w:ascii="Open Sans" w:hAnsi="Open Sans" w:cs="Open Sans"/>
          <w:sz w:val="20"/>
          <w:szCs w:val="20"/>
        </w:rPr>
        <w:t xml:space="preserve">as Debêntures </w:t>
      </w:r>
      <w:r w:rsidR="0085260E">
        <w:rPr>
          <w:rFonts w:ascii="Open Sans" w:hAnsi="Open Sans" w:cs="Open Sans"/>
          <w:sz w:val="20"/>
          <w:szCs w:val="20"/>
        </w:rPr>
        <w:t xml:space="preserve">das Séries </w:t>
      </w:r>
      <w:r w:rsidR="002D3432">
        <w:rPr>
          <w:rFonts w:ascii="Open Sans" w:hAnsi="Open Sans" w:cs="Open Sans"/>
          <w:sz w:val="20"/>
          <w:szCs w:val="20"/>
        </w:rPr>
        <w:t>A</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A</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a Remuneração de </w:t>
      </w:r>
      <w:r w:rsidR="00EE7519">
        <w:rPr>
          <w:rFonts w:ascii="Open Sans" w:hAnsi="Open Sans" w:cs="Open Sans"/>
          <w:sz w:val="20"/>
          <w:szCs w:val="20"/>
        </w:rPr>
        <w:t>9,06</w:t>
      </w:r>
      <w:r w:rsidR="0085260E" w:rsidRPr="00C84BAF">
        <w:rPr>
          <w:rFonts w:ascii="Open Sans" w:hAnsi="Open Sans" w:cs="Open Sans"/>
          <w:sz w:val="20"/>
          <w:szCs w:val="20"/>
        </w:rPr>
        <w:t>% (</w:t>
      </w:r>
      <w:r w:rsidR="00EE7519">
        <w:rPr>
          <w:rFonts w:ascii="Open Sans" w:hAnsi="Open Sans" w:cs="Open Sans"/>
          <w:sz w:val="20"/>
          <w:szCs w:val="20"/>
        </w:rPr>
        <w:t>nove inteiros e seis centésimos</w:t>
      </w:r>
      <w:r w:rsidR="0085260E" w:rsidRPr="00C84BAF">
        <w:rPr>
          <w:rFonts w:ascii="Open Sans" w:hAnsi="Open Sans" w:cs="Open Sans"/>
          <w:sz w:val="20"/>
          <w:szCs w:val="20"/>
        </w:rPr>
        <w:t xml:space="preserve"> por cento) ao ano; e </w:t>
      </w:r>
      <w:r w:rsidR="0085260E" w:rsidRPr="0080199A">
        <w:rPr>
          <w:rFonts w:ascii="Open Sans" w:hAnsi="Open Sans" w:cs="Open Sans"/>
          <w:b/>
          <w:bCs/>
          <w:sz w:val="20"/>
          <w:szCs w:val="20"/>
        </w:rPr>
        <w:t>(</w:t>
      </w:r>
      <w:r w:rsidR="0085260E" w:rsidRPr="00536B2B">
        <w:rPr>
          <w:rFonts w:ascii="Open Sans" w:hAnsi="Open Sans" w:cs="Open Sans"/>
          <w:b/>
          <w:bCs/>
          <w:sz w:val="20"/>
          <w:szCs w:val="20"/>
        </w:rPr>
        <w:t>b</w:t>
      </w:r>
      <w:r w:rsidR="0085260E" w:rsidRPr="0080199A">
        <w:rPr>
          <w:rFonts w:ascii="Open Sans" w:hAnsi="Open Sans" w:cs="Open Sans"/>
          <w:b/>
          <w:bCs/>
          <w:sz w:val="20"/>
          <w:szCs w:val="20"/>
        </w:rPr>
        <w:t>)</w:t>
      </w:r>
      <w:r w:rsidR="0085260E" w:rsidRPr="00C84BAF">
        <w:rPr>
          <w:rFonts w:ascii="Open Sans" w:hAnsi="Open Sans" w:cs="Open Sans"/>
          <w:sz w:val="20"/>
          <w:szCs w:val="20"/>
        </w:rPr>
        <w:t xml:space="preserve"> as Debêntures </w:t>
      </w:r>
      <w:r w:rsidR="00EE7519">
        <w:rPr>
          <w:rFonts w:ascii="Open Sans" w:hAnsi="Open Sans" w:cs="Open Sans"/>
          <w:sz w:val="20"/>
          <w:szCs w:val="20"/>
        </w:rPr>
        <w:t>das Séries B</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B</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Remuneração de 13,</w:t>
      </w:r>
      <w:r w:rsidR="00EE7519">
        <w:rPr>
          <w:rFonts w:ascii="Open Sans" w:hAnsi="Open Sans" w:cs="Open Sans"/>
          <w:sz w:val="20"/>
          <w:szCs w:val="20"/>
        </w:rPr>
        <w:t>06</w:t>
      </w:r>
      <w:r w:rsidR="0085260E" w:rsidRPr="00C84BAF">
        <w:rPr>
          <w:rFonts w:ascii="Open Sans" w:hAnsi="Open Sans" w:cs="Open Sans"/>
          <w:sz w:val="20"/>
          <w:szCs w:val="20"/>
        </w:rPr>
        <w:t xml:space="preserve">% (treze inteiros e </w:t>
      </w:r>
      <w:r w:rsidR="00EE7519">
        <w:rPr>
          <w:rFonts w:ascii="Open Sans" w:hAnsi="Open Sans" w:cs="Open Sans"/>
          <w:sz w:val="20"/>
          <w:szCs w:val="20"/>
        </w:rPr>
        <w:t>seis</w:t>
      </w:r>
      <w:r w:rsidR="0085260E" w:rsidRPr="00C84BAF">
        <w:rPr>
          <w:rFonts w:ascii="Open Sans" w:hAnsi="Open Sans" w:cs="Open Sans"/>
          <w:sz w:val="20"/>
          <w:szCs w:val="20"/>
        </w:rPr>
        <w:t xml:space="preserve"> centésimos por cento) ao ano</w:t>
      </w:r>
      <w:r w:rsidRPr="00076429">
        <w:rPr>
          <w:rFonts w:ascii="Open Sans" w:hAnsi="Open Sans" w:cs="Open Sans"/>
          <w:color w:val="000000" w:themeColor="text1"/>
          <w:sz w:val="20"/>
          <w:szCs w:val="20"/>
        </w:rPr>
        <w:t xml:space="preserve">, com a consequente alteração da </w:t>
      </w:r>
      <w:r w:rsidR="00DD0B94">
        <w:rPr>
          <w:rFonts w:ascii="Open Sans" w:hAnsi="Open Sans" w:cs="Open Sans"/>
          <w:color w:val="000000" w:themeColor="text1"/>
          <w:sz w:val="20"/>
          <w:szCs w:val="20"/>
        </w:rPr>
        <w:t>C</w:t>
      </w:r>
      <w:r w:rsidRPr="00076429">
        <w:rPr>
          <w:rFonts w:ascii="Open Sans" w:hAnsi="Open Sans" w:cs="Open Sans"/>
          <w:color w:val="000000" w:themeColor="text1"/>
          <w:sz w:val="20"/>
          <w:szCs w:val="20"/>
        </w:rPr>
        <w:t xml:space="preserve">láusula 3.16 da Escritura de Emissão de Debêntures, das </w:t>
      </w:r>
      <w:r w:rsidR="00E263FA">
        <w:rPr>
          <w:rFonts w:ascii="Open Sans" w:hAnsi="Open Sans" w:cs="Open Sans"/>
          <w:color w:val="000000" w:themeColor="text1"/>
          <w:sz w:val="20"/>
          <w:szCs w:val="20"/>
        </w:rPr>
        <w:t>C</w:t>
      </w:r>
      <w:r w:rsidRPr="00076429">
        <w:rPr>
          <w:rFonts w:ascii="Open Sans" w:hAnsi="Open Sans" w:cs="Open Sans"/>
          <w:color w:val="000000" w:themeColor="text1"/>
          <w:sz w:val="20"/>
          <w:szCs w:val="20"/>
        </w:rPr>
        <w:t>láusulas 1.1 e 4.1 do Termo de Securitização e das demais cláusulas correlatas (“</w:t>
      </w:r>
      <w:r w:rsidRPr="00076429">
        <w:rPr>
          <w:rFonts w:ascii="Open Sans" w:hAnsi="Open Sans" w:cs="Open Sans"/>
          <w:color w:val="000000" w:themeColor="text1"/>
          <w:sz w:val="20"/>
          <w:szCs w:val="20"/>
          <w:u w:val="single"/>
        </w:rPr>
        <w:t>Alteração da Remuneração</w:t>
      </w:r>
      <w:r w:rsidRPr="00076429">
        <w:rPr>
          <w:rFonts w:ascii="Open Sans" w:hAnsi="Open Sans" w:cs="Open Sans"/>
          <w:color w:val="000000" w:themeColor="text1"/>
          <w:sz w:val="20"/>
          <w:szCs w:val="20"/>
        </w:rPr>
        <w:t>”);</w:t>
      </w:r>
    </w:p>
    <w:p w14:paraId="7061A8A6" w14:textId="77777777" w:rsidR="00D34FA6" w:rsidRPr="00076429" w:rsidRDefault="00D34FA6" w:rsidP="00076429">
      <w:pPr>
        <w:pStyle w:val="ListParagraph"/>
        <w:ind w:left="567"/>
        <w:contextualSpacing/>
        <w:jc w:val="both"/>
        <w:rPr>
          <w:rFonts w:ascii="Open Sans" w:hAnsi="Open Sans" w:cs="Open Sans"/>
          <w:color w:val="000000" w:themeColor="text1"/>
          <w:sz w:val="20"/>
          <w:szCs w:val="20"/>
        </w:rPr>
      </w:pPr>
    </w:p>
    <w:p w14:paraId="36111D8F" w14:textId="1F37A80B" w:rsidR="003A1DF2" w:rsidRDefault="003A1DF2" w:rsidP="003165AE">
      <w:pPr>
        <w:pStyle w:val="ListParagraph"/>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da 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xml:space="preserve">, para que, durante o Período de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full cashsweep</w:t>
      </w:r>
      <w:r w:rsidR="00310A01">
        <w:rPr>
          <w:rFonts w:ascii="Open Sans" w:hAnsi="Open Sans" w:cs="Open Sans"/>
          <w:color w:val="000000" w:themeColor="text1"/>
          <w:sz w:val="20"/>
          <w:szCs w:val="20"/>
        </w:rPr>
        <w:t>);</w:t>
      </w:r>
    </w:p>
    <w:p w14:paraId="49A7BA9C" w14:textId="77777777" w:rsidR="003A1DF2" w:rsidRPr="00076429" w:rsidRDefault="003A1DF2" w:rsidP="00076429">
      <w:pPr>
        <w:pStyle w:val="ListParagraph"/>
        <w:rPr>
          <w:rFonts w:ascii="Open Sans" w:hAnsi="Open Sans" w:cs="Open Sans"/>
          <w:color w:val="000000" w:themeColor="text1"/>
          <w:sz w:val="20"/>
          <w:szCs w:val="20"/>
        </w:rPr>
      </w:pPr>
    </w:p>
    <w:p w14:paraId="26539AAD" w14:textId="10B2572C" w:rsidR="00D34FA6" w:rsidRDefault="00897355" w:rsidP="003165AE">
      <w:pPr>
        <w:pStyle w:val="ListParagraph"/>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r w:rsidRPr="00165CD8">
        <w:rPr>
          <w:rFonts w:ascii="Open Sans" w:hAnsi="Open Sans" w:cs="Open Sans"/>
          <w:color w:val="000000" w:themeColor="text1"/>
          <w:sz w:val="20"/>
          <w:szCs w:val="20"/>
        </w:rPr>
        <w:t>;</w:t>
      </w:r>
      <w:r w:rsidR="00CE41C6">
        <w:rPr>
          <w:rFonts w:ascii="Open Sans" w:hAnsi="Open Sans" w:cs="Open Sans"/>
          <w:color w:val="000000" w:themeColor="text1"/>
          <w:sz w:val="20"/>
          <w:szCs w:val="20"/>
        </w:rPr>
        <w:t xml:space="preserve"> e</w:t>
      </w:r>
    </w:p>
    <w:p w14:paraId="4A253374" w14:textId="77777777" w:rsidR="00827B4D" w:rsidRPr="00827B4D" w:rsidRDefault="00827B4D" w:rsidP="00C673D1">
      <w:pPr>
        <w:rPr>
          <w:color w:val="000000" w:themeColor="text1"/>
        </w:rPr>
      </w:pPr>
    </w:p>
    <w:p w14:paraId="3E9F3C19" w14:textId="09EC776B" w:rsidR="00552B20" w:rsidRDefault="00552B20" w:rsidP="003165AE">
      <w:pPr>
        <w:pStyle w:val="ListParagraph"/>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1"/>
    <w:p w14:paraId="057AE0D4" w14:textId="364BC260" w:rsidR="00095BF8" w:rsidRPr="00354636" w:rsidRDefault="00095BF8" w:rsidP="003165AE">
      <w:pPr>
        <w:jc w:val="both"/>
        <w:rPr>
          <w:rFonts w:ascii="Open Sans" w:hAnsi="Open Sans" w:cs="Open Sans"/>
          <w:color w:val="000000" w:themeColor="text1"/>
          <w:sz w:val="20"/>
          <w:szCs w:val="20"/>
        </w:rPr>
      </w:pPr>
    </w:p>
    <w:p w14:paraId="03401A4A" w14:textId="442F6936"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2D336082" w14:textId="77777777" w:rsidR="00923788" w:rsidRPr="001C4F40" w:rsidRDefault="00923788" w:rsidP="001C4F40">
      <w:pPr>
        <w:jc w:val="both"/>
        <w:rPr>
          <w:rFonts w:ascii="Open Sans" w:hAnsi="Open Sans" w:cs="Open Sans"/>
          <w:color w:val="000000" w:themeColor="text1"/>
          <w:sz w:val="20"/>
          <w:szCs w:val="20"/>
        </w:rPr>
      </w:pPr>
    </w:p>
    <w:p w14:paraId="40FF0A6B" w14:textId="5CB7B56E" w:rsidR="00923788" w:rsidRDefault="00923788" w:rsidP="00923788">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AB29C5">
        <w:rPr>
          <w:rFonts w:ascii="Open Sans" w:hAnsi="Open Sans" w:cs="Open Sans"/>
          <w:color w:val="000000" w:themeColor="text1"/>
          <w:sz w:val="20"/>
          <w:szCs w:val="20"/>
        </w:rPr>
        <w:t xml:space="preserve">concessão de </w:t>
      </w:r>
      <w:r w:rsidRPr="00911BA1">
        <w:rPr>
          <w:rFonts w:ascii="Open Sans" w:hAnsi="Open Sans" w:cs="Open Sans"/>
          <w:i/>
          <w:iCs/>
          <w:color w:val="000000" w:themeColor="text1"/>
          <w:sz w:val="20"/>
          <w:szCs w:val="20"/>
        </w:rPr>
        <w:t>waiver</w:t>
      </w:r>
      <w:r w:rsidRPr="00AB29C5">
        <w:rPr>
          <w:rFonts w:ascii="Open Sans" w:hAnsi="Open Sans" w:cs="Open Sans"/>
          <w:color w:val="000000" w:themeColor="text1"/>
          <w:sz w:val="20"/>
          <w:szCs w:val="20"/>
        </w:rPr>
        <w:t xml:space="preserve"> à Devedora no sentido de a Securitizadora abster-se de decretar o vencimento antecipado das Debêntures, em decorrência </w:t>
      </w:r>
      <w:r w:rsidR="00E632BA" w:rsidRPr="0084045A">
        <w:rPr>
          <w:rFonts w:ascii="Open Sans" w:hAnsi="Open Sans" w:cs="Open Sans"/>
          <w:sz w:val="20"/>
          <w:szCs w:val="20"/>
        </w:rPr>
        <w:t xml:space="preserve">inadimplemento, pela Devedora, das obrigações pecuniárias devidas </w:t>
      </w:r>
      <w:r w:rsidR="00E632BA">
        <w:rPr>
          <w:rFonts w:ascii="Open Sans" w:hAnsi="Open Sans" w:cs="Open Sans"/>
          <w:sz w:val="20"/>
          <w:szCs w:val="20"/>
        </w:rPr>
        <w:t>em janeiro e fevereiro de 2023, bem como dos respectivos encargos moratórios, no âmbito da Escritura de Emissão de Debêntures e, consequentemente, dos CRI</w:t>
      </w:r>
      <w:r>
        <w:rPr>
          <w:rFonts w:ascii="Open Sans" w:hAnsi="Open Sans" w:cs="Open Sans"/>
          <w:color w:val="000000" w:themeColor="text1"/>
          <w:sz w:val="20"/>
          <w:szCs w:val="20"/>
        </w:rPr>
        <w:t>;</w:t>
      </w:r>
    </w:p>
    <w:p w14:paraId="241E25CA" w14:textId="1EF48B4C" w:rsidR="00480629" w:rsidRDefault="00480629" w:rsidP="00480629">
      <w:pPr>
        <w:jc w:val="both"/>
        <w:rPr>
          <w:rFonts w:ascii="Open Sans" w:hAnsi="Open Sans" w:cs="Open Sans"/>
          <w:color w:val="000000" w:themeColor="text1"/>
          <w:sz w:val="20"/>
          <w:szCs w:val="20"/>
        </w:rPr>
      </w:pPr>
    </w:p>
    <w:p w14:paraId="484545C8" w14:textId="6AA5AA32" w:rsidR="009B7F2B" w:rsidRDefault="009B7F2B" w:rsidP="009C4115">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724CFF">
        <w:rPr>
          <w:rFonts w:ascii="Open Sans" w:hAnsi="Open Sans" w:cs="Open Sans"/>
          <w:color w:val="000000" w:themeColor="text1"/>
          <w:sz w:val="20"/>
          <w:szCs w:val="20"/>
        </w:rPr>
        <w:t>substituição do Anexo II ao Termo de Securitização</w:t>
      </w:r>
      <w:r>
        <w:rPr>
          <w:rFonts w:ascii="Open Sans" w:hAnsi="Open Sans" w:cs="Open Sans"/>
          <w:color w:val="000000" w:themeColor="text1"/>
          <w:sz w:val="20"/>
          <w:szCs w:val="20"/>
        </w:rPr>
        <w:t xml:space="preserve"> </w:t>
      </w:r>
      <w:r w:rsidRPr="00724CFF">
        <w:rPr>
          <w:rFonts w:ascii="Open Sans" w:hAnsi="Open Sans" w:cs="Open Sans"/>
          <w:color w:val="000000" w:themeColor="text1"/>
          <w:sz w:val="20"/>
          <w:szCs w:val="20"/>
        </w:rPr>
        <w:t>e do Anexo V</w:t>
      </w:r>
      <w:r w:rsidR="00A02E8E">
        <w:rPr>
          <w:rFonts w:ascii="Open Sans" w:hAnsi="Open Sans" w:cs="Open Sans"/>
          <w:color w:val="000000" w:themeColor="text1"/>
          <w:sz w:val="20"/>
          <w:szCs w:val="20"/>
        </w:rPr>
        <w:t>I</w:t>
      </w:r>
      <w:r w:rsidRPr="00724CFF">
        <w:rPr>
          <w:rFonts w:ascii="Open Sans" w:hAnsi="Open Sans" w:cs="Open Sans"/>
          <w:color w:val="000000" w:themeColor="text1"/>
          <w:sz w:val="20"/>
          <w:szCs w:val="20"/>
        </w:rPr>
        <w:t xml:space="preserve"> à Escritura de Emissão de Debêntures </w:t>
      </w:r>
      <w:r>
        <w:rPr>
          <w:rFonts w:ascii="Open Sans" w:hAnsi="Open Sans" w:cs="Open Sans"/>
          <w:color w:val="000000" w:themeColor="text1"/>
          <w:sz w:val="20"/>
          <w:szCs w:val="20"/>
        </w:rPr>
        <w:t xml:space="preserve">pelos </w:t>
      </w:r>
      <w:r w:rsidRPr="009B7F2B">
        <w:rPr>
          <w:rFonts w:ascii="Open Sans" w:hAnsi="Open Sans" w:cs="Open Sans"/>
          <w:color w:val="000000" w:themeColor="text1"/>
          <w:sz w:val="20"/>
          <w:szCs w:val="20"/>
          <w:u w:val="single"/>
        </w:rPr>
        <w:t>Anexos II</w:t>
      </w:r>
      <w:r w:rsidR="00DF3513">
        <w:rPr>
          <w:rFonts w:ascii="Open Sans" w:hAnsi="Open Sans" w:cs="Open Sans"/>
          <w:color w:val="000000" w:themeColor="text1"/>
          <w:sz w:val="20"/>
          <w:szCs w:val="20"/>
          <w:u w:val="single"/>
        </w:rPr>
        <w:t xml:space="preserve"> </w:t>
      </w:r>
      <w:r w:rsidRPr="009B7F2B">
        <w:rPr>
          <w:rFonts w:ascii="Open Sans" w:hAnsi="Open Sans" w:cs="Open Sans"/>
          <w:color w:val="000000" w:themeColor="text1"/>
          <w:sz w:val="20"/>
          <w:szCs w:val="20"/>
          <w:u w:val="single"/>
        </w:rPr>
        <w:t>e III</w:t>
      </w:r>
      <w:r w:rsidR="00ED5CC9" w:rsidRPr="003165AE">
        <w:rPr>
          <w:rFonts w:ascii="Open Sans" w:hAnsi="Open Sans" w:cs="Open Sans"/>
          <w:color w:val="000000" w:themeColor="text1"/>
          <w:sz w:val="20"/>
          <w:szCs w:val="20"/>
        </w:rPr>
        <w:t>, respectivamente,</w:t>
      </w:r>
      <w:r>
        <w:rPr>
          <w:rFonts w:ascii="Open Sans" w:hAnsi="Open Sans" w:cs="Open Sans"/>
          <w:color w:val="000000" w:themeColor="text1"/>
          <w:sz w:val="20"/>
          <w:szCs w:val="20"/>
        </w:rPr>
        <w:t xml:space="preserve"> à presente Ata</w:t>
      </w:r>
      <w:r w:rsidR="00532545" w:rsidRPr="00782A57">
        <w:rPr>
          <w:rFonts w:ascii="Open Sans" w:hAnsi="Open Sans" w:cs="Open Sans"/>
          <w:color w:val="000000" w:themeColor="text1"/>
          <w:sz w:val="20"/>
          <w:szCs w:val="20"/>
        </w:rPr>
        <w:t xml:space="preserve">, o que compreende: </w:t>
      </w:r>
      <w:r w:rsidR="00532545" w:rsidRPr="00165CD8">
        <w:rPr>
          <w:rFonts w:ascii="Open Sans" w:hAnsi="Open Sans" w:cs="Open Sans"/>
          <w:b/>
          <w:bCs/>
          <w:color w:val="000000" w:themeColor="text1"/>
          <w:sz w:val="20"/>
          <w:szCs w:val="20"/>
        </w:rPr>
        <w:t>(a)</w:t>
      </w:r>
      <w:r w:rsidR="00532545" w:rsidRPr="00782A57">
        <w:rPr>
          <w:rFonts w:ascii="Open Sans" w:hAnsi="Open Sans" w:cs="Open Sans"/>
          <w:color w:val="000000" w:themeColor="text1"/>
          <w:sz w:val="20"/>
          <w:szCs w:val="20"/>
        </w:rPr>
        <w:t xml:space="preserve"> a alteração dos pagamentos devidos em fevereiro de 2023, na Escritura de Emissão de Debêntures e no Termo de Securitização, para que reflitam a incorporação dos </w:t>
      </w:r>
      <w:r w:rsidR="00532545" w:rsidRPr="00782A57">
        <w:rPr>
          <w:rFonts w:ascii="Open Sans" w:hAnsi="Open Sans" w:cs="Open Sans"/>
          <w:color w:val="000000" w:themeColor="text1"/>
          <w:sz w:val="20"/>
          <w:szCs w:val="20"/>
        </w:rPr>
        <w:lastRenderedPageBreak/>
        <w:t xml:space="preserve">valores correspondentes às respectivas parcelas de pagamento inadimplidas ao saldo devedor das Debêntures e dos CRI; e </w:t>
      </w:r>
      <w:r w:rsidR="00532545" w:rsidRPr="00165CD8">
        <w:rPr>
          <w:rFonts w:ascii="Open Sans" w:hAnsi="Open Sans" w:cs="Open Sans"/>
          <w:b/>
          <w:bCs/>
          <w:color w:val="000000" w:themeColor="text1"/>
          <w:sz w:val="20"/>
          <w:szCs w:val="20"/>
        </w:rPr>
        <w:t>(b)</w:t>
      </w:r>
      <w:r w:rsidR="00532545" w:rsidRPr="00782A57">
        <w:rPr>
          <w:rFonts w:ascii="Open Sans" w:hAnsi="Open Sans" w:cs="Open Sans"/>
          <w:color w:val="000000" w:themeColor="text1"/>
          <w:sz w:val="20"/>
          <w:szCs w:val="20"/>
        </w:rPr>
        <w:t xml:space="preserve"> a concessão d</w:t>
      </w:r>
      <w:r w:rsidR="007A07D2">
        <w:rPr>
          <w:rFonts w:ascii="Open Sans" w:hAnsi="Open Sans" w:cs="Open Sans"/>
          <w:color w:val="000000" w:themeColor="text1"/>
          <w:sz w:val="20"/>
          <w:szCs w:val="20"/>
        </w:rPr>
        <w:t>a</w:t>
      </w:r>
      <w:r w:rsidR="00532545" w:rsidRPr="00782A57">
        <w:rPr>
          <w:rFonts w:ascii="Open Sans" w:hAnsi="Open Sans" w:cs="Open Sans"/>
          <w:color w:val="000000" w:themeColor="text1"/>
          <w:sz w:val="20"/>
          <w:szCs w:val="20"/>
        </w:rPr>
        <w:t xml:space="preserve"> </w:t>
      </w:r>
      <w:r w:rsidR="00F13CCA">
        <w:rPr>
          <w:rFonts w:ascii="Open Sans" w:hAnsi="Open Sans" w:cs="Open Sans"/>
          <w:color w:val="000000" w:themeColor="text1"/>
          <w:sz w:val="20"/>
          <w:szCs w:val="20"/>
        </w:rPr>
        <w:t>C</w:t>
      </w:r>
      <w:r w:rsidR="00532545" w:rsidRPr="00782A57">
        <w:rPr>
          <w:rFonts w:ascii="Open Sans" w:hAnsi="Open Sans" w:cs="Open Sans"/>
          <w:color w:val="000000" w:themeColor="text1"/>
          <w:sz w:val="20"/>
          <w:szCs w:val="20"/>
        </w:rPr>
        <w:t>arência</w:t>
      </w:r>
      <w:r>
        <w:rPr>
          <w:rFonts w:ascii="Open Sans" w:hAnsi="Open Sans" w:cs="Open Sans"/>
          <w:color w:val="000000" w:themeColor="text1"/>
          <w:sz w:val="20"/>
          <w:szCs w:val="20"/>
        </w:rPr>
        <w:t xml:space="preserve">; </w:t>
      </w:r>
    </w:p>
    <w:p w14:paraId="039CF752" w14:textId="77777777" w:rsidR="009B7F2B" w:rsidRPr="009B7F2B" w:rsidRDefault="009B7F2B" w:rsidP="009B7F2B">
      <w:pPr>
        <w:pStyle w:val="ListParagraph"/>
        <w:rPr>
          <w:rFonts w:ascii="Open Sans" w:hAnsi="Open Sans" w:cs="Open Sans"/>
          <w:color w:val="000000" w:themeColor="text1"/>
          <w:sz w:val="20"/>
          <w:szCs w:val="20"/>
        </w:rPr>
      </w:pPr>
    </w:p>
    <w:p w14:paraId="24E0BD80" w14:textId="7E1EC99C" w:rsidR="000C291F" w:rsidRDefault="000C291F" w:rsidP="009C4115">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D407E2">
        <w:rPr>
          <w:rFonts w:ascii="Open Sans" w:hAnsi="Open Sans" w:cs="Open Sans"/>
          <w:color w:val="000000" w:themeColor="text1"/>
          <w:sz w:val="20"/>
          <w:szCs w:val="20"/>
        </w:rPr>
        <w:t>A</w:t>
      </w:r>
      <w:r w:rsidRPr="00165CD8">
        <w:rPr>
          <w:rFonts w:ascii="Open Sans" w:hAnsi="Open Sans" w:cs="Open Sans"/>
          <w:color w:val="000000" w:themeColor="text1"/>
          <w:sz w:val="20"/>
          <w:szCs w:val="20"/>
        </w:rPr>
        <w:t xml:space="preserve">lteração </w:t>
      </w:r>
      <w:r w:rsidR="00D407E2">
        <w:rPr>
          <w:rFonts w:ascii="Open Sans" w:hAnsi="Open Sans" w:cs="Open Sans"/>
          <w:color w:val="000000" w:themeColor="text1"/>
          <w:sz w:val="20"/>
          <w:szCs w:val="20"/>
        </w:rPr>
        <w:t>da Remuneração</w:t>
      </w:r>
      <w:r w:rsidRPr="00165CD8">
        <w:rPr>
          <w:rFonts w:ascii="Open Sans" w:hAnsi="Open Sans" w:cs="Open Sans"/>
          <w:color w:val="000000" w:themeColor="text1"/>
          <w:sz w:val="20"/>
          <w:szCs w:val="20"/>
        </w:rPr>
        <w:t>;</w:t>
      </w:r>
    </w:p>
    <w:p w14:paraId="023D073D" w14:textId="77777777" w:rsidR="00D407E2" w:rsidRPr="00076429" w:rsidRDefault="00D407E2" w:rsidP="00076429">
      <w:pPr>
        <w:pStyle w:val="ListParagraph"/>
        <w:rPr>
          <w:rFonts w:ascii="Open Sans" w:hAnsi="Open Sans" w:cs="Open Sans"/>
          <w:color w:val="000000" w:themeColor="text1"/>
          <w:sz w:val="20"/>
          <w:szCs w:val="20"/>
        </w:rPr>
      </w:pPr>
    </w:p>
    <w:p w14:paraId="3B4E7E0C" w14:textId="6E783DD0" w:rsidR="004D1552" w:rsidRPr="00076429" w:rsidRDefault="005D2716" w:rsidP="004D1552">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4D1552" w:rsidRPr="00165CD8">
        <w:rPr>
          <w:rFonts w:ascii="Open Sans" w:hAnsi="Open Sans" w:cs="Open Sans"/>
          <w:color w:val="000000" w:themeColor="text1"/>
          <w:sz w:val="20"/>
          <w:szCs w:val="20"/>
        </w:rPr>
        <w:t>alteração</w:t>
      </w:r>
      <w:r w:rsidR="004D1552">
        <w:rPr>
          <w:rFonts w:ascii="Open Sans" w:hAnsi="Open Sans" w:cs="Open Sans"/>
          <w:color w:val="000000" w:themeColor="text1"/>
          <w:sz w:val="20"/>
          <w:szCs w:val="20"/>
        </w:rPr>
        <w:t xml:space="preserve"> da Cláusula 4.3 do Contrato de Cessão Fiduciária e outros dispositivos correlatos dos Documentos da Operação, para que, durante o Período de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4D1552">
        <w:rPr>
          <w:rFonts w:ascii="Open Sans" w:hAnsi="Open Sans" w:cs="Open Sans"/>
          <w:color w:val="000000" w:themeColor="text1"/>
          <w:sz w:val="20"/>
          <w:szCs w:val="20"/>
        </w:rPr>
        <w:t>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4D1552" w:rsidRPr="00165CD8">
        <w:rPr>
          <w:rFonts w:ascii="Open Sans" w:hAnsi="Open Sans" w:cs="Open Sans"/>
          <w:i/>
          <w:iCs/>
          <w:color w:val="000000" w:themeColor="text1"/>
          <w:sz w:val="20"/>
          <w:szCs w:val="20"/>
        </w:rPr>
        <w:t>full cashsweep</w:t>
      </w:r>
      <w:r w:rsidR="004D1552">
        <w:rPr>
          <w:rFonts w:ascii="Open Sans" w:hAnsi="Open Sans" w:cs="Open Sans"/>
          <w:color w:val="000000" w:themeColor="text1"/>
          <w:sz w:val="20"/>
          <w:szCs w:val="20"/>
        </w:rPr>
        <w:t>);</w:t>
      </w:r>
    </w:p>
    <w:p w14:paraId="4D46623C" w14:textId="77777777" w:rsidR="004D1552" w:rsidRPr="00076429" w:rsidRDefault="004D1552" w:rsidP="00076429">
      <w:pPr>
        <w:pStyle w:val="ListParagraph"/>
        <w:rPr>
          <w:rFonts w:ascii="Open Sans" w:hAnsi="Open Sans" w:cs="Open Sans"/>
          <w:color w:val="000000" w:themeColor="text1"/>
          <w:sz w:val="20"/>
          <w:szCs w:val="20"/>
        </w:rPr>
      </w:pPr>
    </w:p>
    <w:p w14:paraId="1BE3839E" w14:textId="097941E8" w:rsidR="00D407E2" w:rsidRDefault="00D407E2" w:rsidP="009C4115">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165CD8">
        <w:rPr>
          <w:rFonts w:ascii="Open Sans" w:hAnsi="Open Sans" w:cs="Open Sans"/>
          <w:color w:val="000000" w:themeColor="text1"/>
          <w:sz w:val="20"/>
          <w:szCs w:val="20"/>
        </w:rPr>
        <w:t xml:space="preserve">da alteração </w:t>
      </w:r>
      <w:r>
        <w:rPr>
          <w:rFonts w:ascii="Open Sans" w:hAnsi="Open Sans" w:cs="Open Sans"/>
          <w:color w:val="000000" w:themeColor="text1"/>
          <w:sz w:val="20"/>
          <w:szCs w:val="20"/>
        </w:rPr>
        <w:t xml:space="preserve">dos Documentos da Operação para que o Comitê Financeiro passe a ser composto por </w:t>
      </w:r>
      <w:r w:rsidRPr="00076429">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sidRPr="00076429">
        <w:rPr>
          <w:rFonts w:ascii="Open Sans" w:hAnsi="Open Sans" w:cs="Open Sans"/>
          <w:color w:val="000000" w:themeColor="text1"/>
          <w:sz w:val="20"/>
          <w:szCs w:val="20"/>
        </w:rPr>
        <w:t>Indicado pelos Investidores</w:t>
      </w:r>
      <w:r w:rsidRPr="00165CD8">
        <w:rPr>
          <w:rFonts w:ascii="Open Sans" w:hAnsi="Open Sans" w:cs="Open Sans"/>
          <w:color w:val="000000" w:themeColor="text1"/>
          <w:sz w:val="20"/>
          <w:szCs w:val="20"/>
        </w:rPr>
        <w:t>;</w:t>
      </w:r>
    </w:p>
    <w:p w14:paraId="5B3B7A83" w14:textId="77777777" w:rsidR="00855728" w:rsidRPr="00076429" w:rsidRDefault="00855728" w:rsidP="00076429">
      <w:pPr>
        <w:pStyle w:val="ListParagraph"/>
        <w:rPr>
          <w:rFonts w:ascii="Open Sans" w:hAnsi="Open Sans" w:cs="Open Sans"/>
          <w:color w:val="000000" w:themeColor="text1"/>
          <w:sz w:val="20"/>
          <w:szCs w:val="20"/>
        </w:rPr>
      </w:pPr>
    </w:p>
    <w:p w14:paraId="2115C536" w14:textId="43770274" w:rsidR="00855728" w:rsidRDefault="00855728" w:rsidP="00076429">
      <w:pPr>
        <w:pStyle w:val="ListParagraph"/>
        <w:ind w:left="567"/>
        <w:jc w:val="both"/>
        <w:rPr>
          <w:rFonts w:ascii="Open Sans" w:hAnsi="Open Sans" w:cs="Open Sans"/>
          <w:color w:val="000000" w:themeColor="text1"/>
          <w:sz w:val="20"/>
          <w:szCs w:val="20"/>
        </w:rPr>
      </w:pPr>
      <w:r w:rsidRPr="007844D4">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w:t>
      </w:r>
      <w:r>
        <w:rPr>
          <w:rFonts w:ascii="Open Sans" w:hAnsi="Open Sans" w:cs="Open Sans"/>
          <w:sz w:val="20"/>
          <w:szCs w:val="20"/>
        </w:rPr>
        <w:t xml:space="preserve">pessoas para fins de indicação como Membro </w:t>
      </w:r>
      <w:r w:rsidR="00895C0B">
        <w:rPr>
          <w:rFonts w:ascii="Open Sans" w:hAnsi="Open Sans" w:cs="Open Sans"/>
          <w:sz w:val="20"/>
          <w:szCs w:val="20"/>
        </w:rPr>
        <w:t xml:space="preserve">Adicional </w:t>
      </w:r>
      <w:r>
        <w:rPr>
          <w:rFonts w:ascii="Open Sans" w:hAnsi="Open Sans" w:cs="Open Sans"/>
          <w:sz w:val="20"/>
          <w:szCs w:val="20"/>
        </w:rPr>
        <w:t>Indicado pelos Investidores</w:t>
      </w:r>
      <w:r w:rsidRPr="007844D4">
        <w:rPr>
          <w:rFonts w:ascii="Open Sans" w:hAnsi="Open Sans" w:cs="Open Sans"/>
          <w:sz w:val="20"/>
          <w:szCs w:val="20"/>
        </w:rPr>
        <w:t xml:space="preserve"> – as comunicações referentes às </w:t>
      </w:r>
      <w:proofErr w:type="gramStart"/>
      <w:r w:rsidRPr="007844D4">
        <w:rPr>
          <w:rFonts w:ascii="Open Sans" w:hAnsi="Open Sans" w:cs="Open Sans"/>
          <w:sz w:val="20"/>
          <w:szCs w:val="20"/>
        </w:rPr>
        <w:t>referidas aprovação</w:t>
      </w:r>
      <w:proofErr w:type="gramEnd"/>
      <w:r w:rsidRPr="007844D4">
        <w:rPr>
          <w:rFonts w:ascii="Open Sans" w:hAnsi="Open Sans" w:cs="Open Sans"/>
          <w:sz w:val="20"/>
          <w:szCs w:val="20"/>
        </w:rPr>
        <w:t xml:space="preserve"> e escolha do </w:t>
      </w:r>
      <w:r>
        <w:rPr>
          <w:rFonts w:ascii="Open Sans" w:hAnsi="Open Sans" w:cs="Open Sans"/>
          <w:sz w:val="20"/>
          <w:szCs w:val="20"/>
        </w:rPr>
        <w:t>Conselheiro Indicado pelos Investidores</w:t>
      </w:r>
      <w:r w:rsidRPr="007844D4">
        <w:rPr>
          <w:rFonts w:ascii="Open Sans" w:hAnsi="Open Sans" w:cs="Open Sans"/>
          <w:sz w:val="20"/>
          <w:szCs w:val="20"/>
        </w:rPr>
        <w:t xml:space="preserve"> deverão se dar por e-mail</w:t>
      </w:r>
      <w:r w:rsidR="00CE41C6">
        <w:rPr>
          <w:rFonts w:ascii="Open Sans" w:hAnsi="Open Sans" w:cs="Open Sans"/>
          <w:sz w:val="20"/>
          <w:szCs w:val="20"/>
        </w:rPr>
        <w:t>; e</w:t>
      </w:r>
    </w:p>
    <w:p w14:paraId="6AF74554" w14:textId="77777777" w:rsidR="00080644" w:rsidRPr="00076429" w:rsidRDefault="00080644" w:rsidP="00C673D1"/>
    <w:p w14:paraId="6026D240" w14:textId="113A16BE" w:rsidR="000774C5" w:rsidRPr="003B1112" w:rsidRDefault="000774C5" w:rsidP="009C4115">
      <w:pPr>
        <w:pStyle w:val="ListParagraph"/>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Pr>
          <w:rFonts w:ascii="Open Sans" w:hAnsi="Open Sans" w:cs="Open Sans"/>
          <w:color w:val="000000" w:themeColor="text1"/>
          <w:sz w:val="20"/>
          <w:szCs w:val="20"/>
        </w:rPr>
        <w:t>que o</w:t>
      </w:r>
      <w:r w:rsidRPr="00A475BB">
        <w:rPr>
          <w:rFonts w:ascii="Open Sans" w:hAnsi="Open Sans" w:cs="Open Sans"/>
          <w:color w:val="000000" w:themeColor="text1"/>
          <w:sz w:val="20"/>
          <w:szCs w:val="20"/>
        </w:rPr>
        <w:t xml:space="preserve">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2"/>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lastRenderedPageBreak/>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5A166C53"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o </w:t>
      </w:r>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r w:rsidRPr="003F1FB0">
        <w:rPr>
          <w:rFonts w:ascii="Open Sans" w:hAnsi="Open Sans" w:cs="Open Sans"/>
          <w:color w:val="000000" w:themeColor="text1"/>
          <w:sz w:val="20"/>
          <w:szCs w:val="20"/>
        </w:rPr>
        <w:t xml:space="preserve"> a ser </w:t>
      </w:r>
      <w:r>
        <w:rPr>
          <w:rFonts w:ascii="Open Sans" w:hAnsi="Open Sans" w:cs="Open Sans"/>
          <w:color w:val="000000" w:themeColor="text1"/>
          <w:sz w:val="20"/>
          <w:szCs w:val="20"/>
        </w:rPr>
        <w:t xml:space="preserve">nomeado </w:t>
      </w:r>
      <w:r w:rsidRPr="003F1FB0">
        <w:rPr>
          <w:rFonts w:ascii="Open Sans" w:hAnsi="Open Sans" w:cs="Open Sans"/>
          <w:color w:val="000000" w:themeColor="text1"/>
          <w:sz w:val="20"/>
          <w:szCs w:val="20"/>
        </w:rPr>
        <w:t xml:space="preserve">por meio do envio das 3 (três) </w:t>
      </w:r>
      <w:r>
        <w:rPr>
          <w:rFonts w:ascii="Open Sans" w:hAnsi="Open Sans" w:cs="Open Sans"/>
          <w:color w:val="000000" w:themeColor="text1"/>
          <w:sz w:val="20"/>
          <w:szCs w:val="20"/>
        </w:rPr>
        <w:t xml:space="preserve">opções de nomes </w:t>
      </w:r>
      <w:r w:rsidR="00B50863">
        <w:rPr>
          <w:rFonts w:ascii="Open Sans" w:hAnsi="Open Sans" w:cs="Open Sans"/>
          <w:color w:val="000000" w:themeColor="text1"/>
          <w:sz w:val="20"/>
          <w:szCs w:val="20"/>
        </w:rPr>
        <w:t xml:space="preserve">a serem </w:t>
      </w:r>
      <w:r w:rsidRPr="003F1FB0">
        <w:rPr>
          <w:rFonts w:ascii="Open Sans" w:hAnsi="Open Sans" w:cs="Open Sans"/>
          <w:color w:val="000000" w:themeColor="text1"/>
          <w:sz w:val="20"/>
          <w:szCs w:val="20"/>
        </w:rPr>
        <w:t>enviadas pela Securitizadora</w:t>
      </w:r>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e deliberadas por e-mail, obedecendo os critérios de votação previstos no Termo de Securitização.</w:t>
      </w:r>
    </w:p>
    <w:p w14:paraId="0FE9807B" w14:textId="77777777" w:rsidR="0021138F" w:rsidRDefault="0021138F" w:rsidP="00155092">
      <w:pPr>
        <w:jc w:val="both"/>
        <w:rPr>
          <w:rFonts w:ascii="Open Sans" w:hAnsi="Open Sans" w:cs="Open Sans"/>
          <w:color w:val="000000" w:themeColor="text1"/>
          <w:sz w:val="20"/>
          <w:szCs w:val="20"/>
        </w:rPr>
      </w:pPr>
    </w:p>
    <w:p w14:paraId="6439067B" w14:textId="2999E4C1"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5D444D8E"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C2836">
        <w:rPr>
          <w:rFonts w:ascii="Open Sans" w:hAnsi="Open Sans" w:cs="Open Sans"/>
          <w:color w:val="000000" w:themeColor="text1"/>
          <w:sz w:val="20"/>
          <w:szCs w:val="20"/>
        </w:rPr>
        <w:t>1</w:t>
      </w:r>
      <w:r w:rsidR="0067633B">
        <w:rPr>
          <w:rFonts w:ascii="Open Sans" w:hAnsi="Open Sans" w:cs="Open Sans"/>
          <w:color w:val="000000" w:themeColor="text1"/>
          <w:sz w:val="20"/>
          <w:szCs w:val="20"/>
        </w:rPr>
        <w:t>5</w:t>
      </w:r>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20603A1F"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r w:rsidR="001C4F40">
        <w:rPr>
          <w:rFonts w:ascii="Open Sans" w:hAnsi="Open Sans" w:cs="Open Sans"/>
          <w:color w:val="000000"/>
          <w:sz w:val="20"/>
          <w:szCs w:val="20"/>
          <w:lang w:eastAsia="pt-BR"/>
        </w:rPr>
        <w:t>1</w:t>
      </w:r>
      <w:r w:rsidR="0067633B">
        <w:rPr>
          <w:rFonts w:ascii="Open Sans" w:hAnsi="Open Sans" w:cs="Open Sans"/>
          <w:color w:val="000000"/>
          <w:sz w:val="20"/>
          <w:szCs w:val="20"/>
          <w:lang w:eastAsia="pt-BR"/>
        </w:rPr>
        <w:t>5</w:t>
      </w:r>
      <w:r w:rsidR="004C283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8"/>
      </w:tblGrid>
      <w:tr w:rsidR="007E672D" w:rsidRPr="008A7241" w14:paraId="5067AE18" w14:textId="77777777" w:rsidTr="00A80F78">
        <w:trPr>
          <w:jc w:val="center"/>
        </w:trPr>
        <w:tc>
          <w:tcPr>
            <w:tcW w:w="4247" w:type="dxa"/>
          </w:tcPr>
          <w:p w14:paraId="24F99BD5" w14:textId="5B59C399"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363F4F84" w14:textId="3B926FE5" w:rsidR="00674E1D" w:rsidRPr="000774C5" w:rsidRDefault="00816ABB" w:rsidP="00A01F49">
            <w:pPr>
              <w:jc w:val="center"/>
              <w:rPr>
                <w:rStyle w:val="normaltextrun"/>
                <w:rFonts w:ascii="Open Sans" w:hAnsi="Open Sans" w:cs="Open Sans"/>
                <w:b/>
                <w:bCs/>
                <w:color w:val="000000" w:themeColor="text1"/>
                <w:sz w:val="22"/>
                <w:szCs w:val="22"/>
                <w:shd w:val="clear" w:color="auto" w:fill="FFFFFF"/>
              </w:rPr>
            </w:pPr>
            <w:r w:rsidRPr="000774C5">
              <w:rPr>
                <w:rFonts w:ascii="Open Sans" w:hAnsi="Open Sans" w:cs="Open Sans"/>
                <w:sz w:val="22"/>
                <w:szCs w:val="22"/>
              </w:rPr>
              <w:t>Rodrigo Luiz Camargo Ribeiro</w:t>
            </w:r>
          </w:p>
          <w:p w14:paraId="0E7A39A6" w14:textId="236D616D"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Presidente</w:t>
            </w:r>
          </w:p>
          <w:p w14:paraId="62363F9C" w14:textId="77777777" w:rsidR="00F26702" w:rsidRPr="000774C5" w:rsidRDefault="00F26702" w:rsidP="00A01F49">
            <w:pPr>
              <w:jc w:val="center"/>
              <w:rPr>
                <w:rFonts w:ascii="Open Sans" w:hAnsi="Open Sans" w:cs="Open Sans"/>
                <w:color w:val="000000" w:themeColor="text1"/>
                <w:sz w:val="22"/>
                <w:szCs w:val="22"/>
              </w:rPr>
            </w:pPr>
          </w:p>
          <w:p w14:paraId="020242A4" w14:textId="2B5475C1" w:rsidR="00B92061" w:rsidRPr="000774C5" w:rsidRDefault="00B92061" w:rsidP="00A01F49">
            <w:pPr>
              <w:jc w:val="center"/>
              <w:rPr>
                <w:rFonts w:ascii="Open Sans" w:hAnsi="Open Sans" w:cs="Open Sans"/>
                <w:color w:val="000000" w:themeColor="text1"/>
                <w:sz w:val="22"/>
                <w:szCs w:val="22"/>
              </w:rPr>
            </w:pPr>
          </w:p>
        </w:tc>
        <w:tc>
          <w:tcPr>
            <w:tcW w:w="4247" w:type="dxa"/>
          </w:tcPr>
          <w:p w14:paraId="2BC33CEF" w14:textId="77777777"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7EE19F3E" w14:textId="564B4A6F" w:rsidR="00674E1D" w:rsidRPr="000774C5" w:rsidRDefault="000774C5" w:rsidP="00A01F49">
            <w:pPr>
              <w:jc w:val="center"/>
              <w:rPr>
                <w:sz w:val="22"/>
                <w:szCs w:val="22"/>
              </w:rPr>
            </w:pPr>
            <w:r w:rsidRPr="000774C5">
              <w:rPr>
                <w:rFonts w:ascii="Open Sans" w:hAnsi="Open Sans" w:cs="Open Sans"/>
                <w:sz w:val="22"/>
                <w:szCs w:val="22"/>
              </w:rPr>
              <w:t>Henrique Luís Alexandre Neto</w:t>
            </w:r>
          </w:p>
          <w:p w14:paraId="7C056EDF" w14:textId="3BF48527"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Secretári</w:t>
            </w:r>
            <w:r w:rsidR="00674E1D" w:rsidRPr="000774C5">
              <w:rPr>
                <w:rStyle w:val="normaltextrun"/>
                <w:rFonts w:ascii="Open Sans" w:hAnsi="Open Sans" w:cs="Open Sans"/>
                <w:color w:val="000000" w:themeColor="text1"/>
                <w:sz w:val="22"/>
                <w:szCs w:val="22"/>
                <w:shd w:val="clear" w:color="auto" w:fill="FFFFFF"/>
              </w:rPr>
              <w:t>o</w:t>
            </w:r>
          </w:p>
          <w:p w14:paraId="777B4DE1" w14:textId="77777777" w:rsidR="00F26702" w:rsidRPr="000774C5" w:rsidRDefault="00F26702" w:rsidP="00A01F49">
            <w:pPr>
              <w:jc w:val="center"/>
              <w:rPr>
                <w:rFonts w:ascii="Open Sans" w:hAnsi="Open Sans" w:cs="Open Sans"/>
                <w:color w:val="000000" w:themeColor="text1"/>
                <w:sz w:val="22"/>
                <w:szCs w:val="22"/>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6A28291"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4C2836">
        <w:rPr>
          <w:rFonts w:ascii="Open Sans" w:hAnsi="Open Sans" w:cs="Open Sans"/>
          <w:color w:val="000000"/>
          <w:sz w:val="20"/>
          <w:szCs w:val="20"/>
          <w:lang w:eastAsia="pt-BR"/>
        </w:rPr>
        <w:t>1</w:t>
      </w:r>
      <w:r w:rsidR="0067633B">
        <w:rPr>
          <w:rFonts w:ascii="Open Sans" w:hAnsi="Open Sans" w:cs="Open Sans"/>
          <w:color w:val="000000"/>
          <w:sz w:val="20"/>
          <w:szCs w:val="20"/>
          <w:lang w:eastAsia="pt-BR"/>
        </w:rPr>
        <w:t>5</w:t>
      </w:r>
      <w:r w:rsidR="004C2836" w:rsidRPr="009277FD">
        <w:rPr>
          <w:rFonts w:ascii="Open Sans" w:hAnsi="Open Sans" w:cs="Open Sans"/>
          <w:color w:val="000000" w:themeColor="text1"/>
          <w:sz w:val="20"/>
          <w:szCs w:val="20"/>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107D4AC"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3E27C80B" w:rsidR="00771DFB" w:rsidRPr="00771DFB" w:rsidRDefault="001C4F40" w:rsidP="00771DFB">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fi</w:t>
            </w:r>
            <w:r w:rsidR="00771DFB"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77777777" w:rsidR="00771DFB" w:rsidRPr="003B1112" w:rsidRDefault="00771DFB" w:rsidP="00053445">
      <w:pPr>
        <w:jc w:val="center"/>
        <w:rPr>
          <w:rFonts w:ascii="Open Sans" w:hAnsi="Open Sans" w:cs="Open Sans"/>
          <w:b/>
          <w:smallCaps/>
          <w:color w:val="000000" w:themeColor="text1"/>
          <w:sz w:val="20"/>
          <w:szCs w:val="20"/>
        </w:rPr>
      </w:pPr>
    </w:p>
    <w:sectPr w:rsidR="00771DFB"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E429" w14:textId="77777777" w:rsidR="00156137" w:rsidRDefault="00156137">
      <w:r>
        <w:separator/>
      </w:r>
    </w:p>
  </w:endnote>
  <w:endnote w:type="continuationSeparator" w:id="0">
    <w:p w14:paraId="1C08757E" w14:textId="77777777" w:rsidR="00156137" w:rsidRDefault="00156137">
      <w:r>
        <w:continuationSeparator/>
      </w:r>
    </w:p>
  </w:endnote>
  <w:endnote w:type="continuationNotice" w:id="1">
    <w:p w14:paraId="364CF1E6" w14:textId="77777777" w:rsidR="00156137" w:rsidRDefault="00156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1D01" w14:textId="77777777" w:rsidR="00156137" w:rsidRDefault="00156137">
      <w:r>
        <w:separator/>
      </w:r>
    </w:p>
  </w:footnote>
  <w:footnote w:type="continuationSeparator" w:id="0">
    <w:p w14:paraId="38E15949" w14:textId="77777777" w:rsidR="00156137" w:rsidRDefault="00156137">
      <w:r>
        <w:continuationSeparator/>
      </w:r>
    </w:p>
  </w:footnote>
  <w:footnote w:type="continuationNotice" w:id="1">
    <w:p w14:paraId="6A059697" w14:textId="77777777" w:rsidR="00156137" w:rsidRDefault="00156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Header"/>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764F"/>
    <w:rsid w:val="000C06A6"/>
    <w:rsid w:val="000C291F"/>
    <w:rsid w:val="000C5F09"/>
    <w:rsid w:val="000C7BE1"/>
    <w:rsid w:val="000D69E8"/>
    <w:rsid w:val="000E5289"/>
    <w:rsid w:val="000F1F7C"/>
    <w:rsid w:val="000F2D07"/>
    <w:rsid w:val="000F43AE"/>
    <w:rsid w:val="000F7AA8"/>
    <w:rsid w:val="001006EF"/>
    <w:rsid w:val="00102E14"/>
    <w:rsid w:val="00103C4C"/>
    <w:rsid w:val="0010550D"/>
    <w:rsid w:val="001109E7"/>
    <w:rsid w:val="001135E0"/>
    <w:rsid w:val="001161D9"/>
    <w:rsid w:val="0012054A"/>
    <w:rsid w:val="00122C7D"/>
    <w:rsid w:val="00126CBC"/>
    <w:rsid w:val="00134BFE"/>
    <w:rsid w:val="0014421E"/>
    <w:rsid w:val="00146C91"/>
    <w:rsid w:val="00146F1E"/>
    <w:rsid w:val="001519B2"/>
    <w:rsid w:val="001521D6"/>
    <w:rsid w:val="00153058"/>
    <w:rsid w:val="00153DA2"/>
    <w:rsid w:val="00155092"/>
    <w:rsid w:val="00156137"/>
    <w:rsid w:val="00163B0A"/>
    <w:rsid w:val="00164327"/>
    <w:rsid w:val="00164C1A"/>
    <w:rsid w:val="00166817"/>
    <w:rsid w:val="001702BF"/>
    <w:rsid w:val="00173A00"/>
    <w:rsid w:val="0018644C"/>
    <w:rsid w:val="00187019"/>
    <w:rsid w:val="00192819"/>
    <w:rsid w:val="00194963"/>
    <w:rsid w:val="001A48DA"/>
    <w:rsid w:val="001B5E72"/>
    <w:rsid w:val="001B6B2B"/>
    <w:rsid w:val="001B79E5"/>
    <w:rsid w:val="001C0AD1"/>
    <w:rsid w:val="001C1D63"/>
    <w:rsid w:val="001C4F40"/>
    <w:rsid w:val="001C59BC"/>
    <w:rsid w:val="001C7976"/>
    <w:rsid w:val="001D06F4"/>
    <w:rsid w:val="001D1202"/>
    <w:rsid w:val="001D4D09"/>
    <w:rsid w:val="001D4DDD"/>
    <w:rsid w:val="001D5078"/>
    <w:rsid w:val="001E221B"/>
    <w:rsid w:val="001E2DB5"/>
    <w:rsid w:val="001E55BB"/>
    <w:rsid w:val="001F3D2C"/>
    <w:rsid w:val="00201658"/>
    <w:rsid w:val="002019FF"/>
    <w:rsid w:val="0020340B"/>
    <w:rsid w:val="00207187"/>
    <w:rsid w:val="002105CE"/>
    <w:rsid w:val="0021138F"/>
    <w:rsid w:val="0021548F"/>
    <w:rsid w:val="00216517"/>
    <w:rsid w:val="002201AF"/>
    <w:rsid w:val="00223D0D"/>
    <w:rsid w:val="00227990"/>
    <w:rsid w:val="00230A15"/>
    <w:rsid w:val="00232DFE"/>
    <w:rsid w:val="002352B5"/>
    <w:rsid w:val="00242C26"/>
    <w:rsid w:val="002433D1"/>
    <w:rsid w:val="002462BD"/>
    <w:rsid w:val="00262740"/>
    <w:rsid w:val="0026363B"/>
    <w:rsid w:val="0026749A"/>
    <w:rsid w:val="00277829"/>
    <w:rsid w:val="00285F31"/>
    <w:rsid w:val="002903EF"/>
    <w:rsid w:val="00293DC8"/>
    <w:rsid w:val="00294F41"/>
    <w:rsid w:val="0029557D"/>
    <w:rsid w:val="00296E25"/>
    <w:rsid w:val="002A30E7"/>
    <w:rsid w:val="002B2AE7"/>
    <w:rsid w:val="002B5778"/>
    <w:rsid w:val="002C382D"/>
    <w:rsid w:val="002C45D5"/>
    <w:rsid w:val="002C610E"/>
    <w:rsid w:val="002C7590"/>
    <w:rsid w:val="002D2C4B"/>
    <w:rsid w:val="002D3432"/>
    <w:rsid w:val="002D5431"/>
    <w:rsid w:val="002E6ED2"/>
    <w:rsid w:val="002F0BD5"/>
    <w:rsid w:val="002F1927"/>
    <w:rsid w:val="00302C5C"/>
    <w:rsid w:val="00304264"/>
    <w:rsid w:val="00307FA9"/>
    <w:rsid w:val="00310570"/>
    <w:rsid w:val="00310A01"/>
    <w:rsid w:val="00314B7B"/>
    <w:rsid w:val="0031561C"/>
    <w:rsid w:val="003165AE"/>
    <w:rsid w:val="00320E9B"/>
    <w:rsid w:val="00325F6E"/>
    <w:rsid w:val="00327B12"/>
    <w:rsid w:val="0033240D"/>
    <w:rsid w:val="00332DD0"/>
    <w:rsid w:val="00333782"/>
    <w:rsid w:val="00336BC0"/>
    <w:rsid w:val="00336D8F"/>
    <w:rsid w:val="00340615"/>
    <w:rsid w:val="003438E6"/>
    <w:rsid w:val="00344108"/>
    <w:rsid w:val="00345BC2"/>
    <w:rsid w:val="00346934"/>
    <w:rsid w:val="00346B4D"/>
    <w:rsid w:val="00351A39"/>
    <w:rsid w:val="00354636"/>
    <w:rsid w:val="00356887"/>
    <w:rsid w:val="00357DC0"/>
    <w:rsid w:val="003671A2"/>
    <w:rsid w:val="00373981"/>
    <w:rsid w:val="00374B2A"/>
    <w:rsid w:val="003806C9"/>
    <w:rsid w:val="00382E87"/>
    <w:rsid w:val="003846B9"/>
    <w:rsid w:val="003902A2"/>
    <w:rsid w:val="003940D8"/>
    <w:rsid w:val="00394786"/>
    <w:rsid w:val="00394FCE"/>
    <w:rsid w:val="003A1DF2"/>
    <w:rsid w:val="003A584B"/>
    <w:rsid w:val="003A6625"/>
    <w:rsid w:val="003B1112"/>
    <w:rsid w:val="003B4507"/>
    <w:rsid w:val="003B549A"/>
    <w:rsid w:val="003C1152"/>
    <w:rsid w:val="003C6B28"/>
    <w:rsid w:val="003D3F8B"/>
    <w:rsid w:val="003D6A84"/>
    <w:rsid w:val="003E52EC"/>
    <w:rsid w:val="003F23B0"/>
    <w:rsid w:val="003F5B2E"/>
    <w:rsid w:val="00401FFE"/>
    <w:rsid w:val="004071AA"/>
    <w:rsid w:val="00415528"/>
    <w:rsid w:val="004179A5"/>
    <w:rsid w:val="00420451"/>
    <w:rsid w:val="004338F3"/>
    <w:rsid w:val="00434814"/>
    <w:rsid w:val="004362F5"/>
    <w:rsid w:val="00441765"/>
    <w:rsid w:val="00441908"/>
    <w:rsid w:val="0044651E"/>
    <w:rsid w:val="00454DF2"/>
    <w:rsid w:val="00455A92"/>
    <w:rsid w:val="004577DB"/>
    <w:rsid w:val="00464EC7"/>
    <w:rsid w:val="00475BEE"/>
    <w:rsid w:val="00476FC4"/>
    <w:rsid w:val="0047723F"/>
    <w:rsid w:val="00477241"/>
    <w:rsid w:val="00480629"/>
    <w:rsid w:val="00483CEF"/>
    <w:rsid w:val="00493AB1"/>
    <w:rsid w:val="00494CB9"/>
    <w:rsid w:val="004A3878"/>
    <w:rsid w:val="004A40C2"/>
    <w:rsid w:val="004A6544"/>
    <w:rsid w:val="004A7E54"/>
    <w:rsid w:val="004B4259"/>
    <w:rsid w:val="004C1B3D"/>
    <w:rsid w:val="004C2836"/>
    <w:rsid w:val="004C2D0F"/>
    <w:rsid w:val="004C3280"/>
    <w:rsid w:val="004C4950"/>
    <w:rsid w:val="004C5345"/>
    <w:rsid w:val="004D1552"/>
    <w:rsid w:val="004D2FB2"/>
    <w:rsid w:val="004D3110"/>
    <w:rsid w:val="004D33E8"/>
    <w:rsid w:val="004D5DCF"/>
    <w:rsid w:val="004E5AC6"/>
    <w:rsid w:val="004E6EAE"/>
    <w:rsid w:val="004E7662"/>
    <w:rsid w:val="005001ED"/>
    <w:rsid w:val="00500734"/>
    <w:rsid w:val="00502591"/>
    <w:rsid w:val="005028FC"/>
    <w:rsid w:val="0051754E"/>
    <w:rsid w:val="00520649"/>
    <w:rsid w:val="00523B3D"/>
    <w:rsid w:val="00532545"/>
    <w:rsid w:val="00535970"/>
    <w:rsid w:val="00535B3C"/>
    <w:rsid w:val="00536D68"/>
    <w:rsid w:val="00542276"/>
    <w:rsid w:val="00544BD3"/>
    <w:rsid w:val="00552B20"/>
    <w:rsid w:val="005535CF"/>
    <w:rsid w:val="005569ED"/>
    <w:rsid w:val="00560CE7"/>
    <w:rsid w:val="005614D0"/>
    <w:rsid w:val="0056563C"/>
    <w:rsid w:val="00565AF5"/>
    <w:rsid w:val="00567D58"/>
    <w:rsid w:val="005742C2"/>
    <w:rsid w:val="0057490D"/>
    <w:rsid w:val="005772C5"/>
    <w:rsid w:val="0057744A"/>
    <w:rsid w:val="005801C2"/>
    <w:rsid w:val="00580B81"/>
    <w:rsid w:val="0058118D"/>
    <w:rsid w:val="0058610F"/>
    <w:rsid w:val="00586E5F"/>
    <w:rsid w:val="00587581"/>
    <w:rsid w:val="0059059C"/>
    <w:rsid w:val="00591F45"/>
    <w:rsid w:val="00595040"/>
    <w:rsid w:val="0059710A"/>
    <w:rsid w:val="0059738C"/>
    <w:rsid w:val="005A11A4"/>
    <w:rsid w:val="005A66CB"/>
    <w:rsid w:val="005B2BE5"/>
    <w:rsid w:val="005B3561"/>
    <w:rsid w:val="005B601E"/>
    <w:rsid w:val="005C0693"/>
    <w:rsid w:val="005C60DF"/>
    <w:rsid w:val="005C69A4"/>
    <w:rsid w:val="005D2716"/>
    <w:rsid w:val="005D41EA"/>
    <w:rsid w:val="005D624A"/>
    <w:rsid w:val="005D658B"/>
    <w:rsid w:val="006007D4"/>
    <w:rsid w:val="00601B3E"/>
    <w:rsid w:val="00605C5F"/>
    <w:rsid w:val="00605EC5"/>
    <w:rsid w:val="0061309D"/>
    <w:rsid w:val="00615F97"/>
    <w:rsid w:val="006217A2"/>
    <w:rsid w:val="0062254C"/>
    <w:rsid w:val="0062293F"/>
    <w:rsid w:val="00626D71"/>
    <w:rsid w:val="00631813"/>
    <w:rsid w:val="006321D6"/>
    <w:rsid w:val="0063435A"/>
    <w:rsid w:val="006373D8"/>
    <w:rsid w:val="00640A4B"/>
    <w:rsid w:val="00641D15"/>
    <w:rsid w:val="00644F64"/>
    <w:rsid w:val="00646533"/>
    <w:rsid w:val="00651E81"/>
    <w:rsid w:val="006576DB"/>
    <w:rsid w:val="006657EB"/>
    <w:rsid w:val="00674E1D"/>
    <w:rsid w:val="0067633B"/>
    <w:rsid w:val="00676EF2"/>
    <w:rsid w:val="006863BB"/>
    <w:rsid w:val="006931DF"/>
    <w:rsid w:val="00694CC6"/>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7C46"/>
    <w:rsid w:val="00707F52"/>
    <w:rsid w:val="00711E78"/>
    <w:rsid w:val="00713B23"/>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75B2"/>
    <w:rsid w:val="0076771B"/>
    <w:rsid w:val="00771DFB"/>
    <w:rsid w:val="00776C6E"/>
    <w:rsid w:val="00782A57"/>
    <w:rsid w:val="00787B6D"/>
    <w:rsid w:val="007914A1"/>
    <w:rsid w:val="007974B5"/>
    <w:rsid w:val="007A07D2"/>
    <w:rsid w:val="007A1D82"/>
    <w:rsid w:val="007A6A8D"/>
    <w:rsid w:val="007A7A73"/>
    <w:rsid w:val="007B3DE7"/>
    <w:rsid w:val="007C2515"/>
    <w:rsid w:val="007D15E0"/>
    <w:rsid w:val="007D3109"/>
    <w:rsid w:val="007E672D"/>
    <w:rsid w:val="007F06CE"/>
    <w:rsid w:val="007F0C33"/>
    <w:rsid w:val="007F37A1"/>
    <w:rsid w:val="007F42B3"/>
    <w:rsid w:val="007F5522"/>
    <w:rsid w:val="00800B69"/>
    <w:rsid w:val="00803EF2"/>
    <w:rsid w:val="0080638A"/>
    <w:rsid w:val="00813AA5"/>
    <w:rsid w:val="0081459F"/>
    <w:rsid w:val="008153AB"/>
    <w:rsid w:val="00816A96"/>
    <w:rsid w:val="00816ABB"/>
    <w:rsid w:val="00824949"/>
    <w:rsid w:val="00827B4D"/>
    <w:rsid w:val="00830320"/>
    <w:rsid w:val="008401AF"/>
    <w:rsid w:val="00843D2D"/>
    <w:rsid w:val="008471FB"/>
    <w:rsid w:val="0085260E"/>
    <w:rsid w:val="00852AD8"/>
    <w:rsid w:val="00853E56"/>
    <w:rsid w:val="00855728"/>
    <w:rsid w:val="00857D92"/>
    <w:rsid w:val="008601C2"/>
    <w:rsid w:val="008604BD"/>
    <w:rsid w:val="00861D16"/>
    <w:rsid w:val="008669AF"/>
    <w:rsid w:val="008703F2"/>
    <w:rsid w:val="00875C99"/>
    <w:rsid w:val="0087720F"/>
    <w:rsid w:val="0088600C"/>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901409"/>
    <w:rsid w:val="00905664"/>
    <w:rsid w:val="009163AD"/>
    <w:rsid w:val="009164F0"/>
    <w:rsid w:val="00917572"/>
    <w:rsid w:val="009179F8"/>
    <w:rsid w:val="00920027"/>
    <w:rsid w:val="0092124E"/>
    <w:rsid w:val="009213CA"/>
    <w:rsid w:val="009218AD"/>
    <w:rsid w:val="00923788"/>
    <w:rsid w:val="009275F9"/>
    <w:rsid w:val="009277FD"/>
    <w:rsid w:val="009305C9"/>
    <w:rsid w:val="009318B5"/>
    <w:rsid w:val="0093268E"/>
    <w:rsid w:val="009363AF"/>
    <w:rsid w:val="00936DAC"/>
    <w:rsid w:val="0094167E"/>
    <w:rsid w:val="00950B19"/>
    <w:rsid w:val="009514E2"/>
    <w:rsid w:val="00954F30"/>
    <w:rsid w:val="00957708"/>
    <w:rsid w:val="00963D87"/>
    <w:rsid w:val="00970401"/>
    <w:rsid w:val="00981407"/>
    <w:rsid w:val="00984419"/>
    <w:rsid w:val="009869D2"/>
    <w:rsid w:val="00991243"/>
    <w:rsid w:val="00992274"/>
    <w:rsid w:val="00992A6D"/>
    <w:rsid w:val="00993360"/>
    <w:rsid w:val="009B0772"/>
    <w:rsid w:val="009B0BEF"/>
    <w:rsid w:val="009B34D6"/>
    <w:rsid w:val="009B4285"/>
    <w:rsid w:val="009B7F2B"/>
    <w:rsid w:val="009C20C0"/>
    <w:rsid w:val="009C2EE8"/>
    <w:rsid w:val="009C4115"/>
    <w:rsid w:val="009C4D37"/>
    <w:rsid w:val="009C4E0C"/>
    <w:rsid w:val="009C52FD"/>
    <w:rsid w:val="009C7B40"/>
    <w:rsid w:val="009D2BC8"/>
    <w:rsid w:val="009D6EB8"/>
    <w:rsid w:val="009E4C2C"/>
    <w:rsid w:val="009F0177"/>
    <w:rsid w:val="009F091D"/>
    <w:rsid w:val="009F7360"/>
    <w:rsid w:val="00A01A31"/>
    <w:rsid w:val="00A01F49"/>
    <w:rsid w:val="00A02E8E"/>
    <w:rsid w:val="00A04629"/>
    <w:rsid w:val="00A04F55"/>
    <w:rsid w:val="00A11D0B"/>
    <w:rsid w:val="00A162AE"/>
    <w:rsid w:val="00A16A82"/>
    <w:rsid w:val="00A249EE"/>
    <w:rsid w:val="00A27C9F"/>
    <w:rsid w:val="00A345BF"/>
    <w:rsid w:val="00A35746"/>
    <w:rsid w:val="00A37790"/>
    <w:rsid w:val="00A4172A"/>
    <w:rsid w:val="00A421ED"/>
    <w:rsid w:val="00A43D72"/>
    <w:rsid w:val="00A609FD"/>
    <w:rsid w:val="00A60B33"/>
    <w:rsid w:val="00A631A0"/>
    <w:rsid w:val="00A64349"/>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4162"/>
    <w:rsid w:val="00B06B92"/>
    <w:rsid w:val="00B07585"/>
    <w:rsid w:val="00B1143C"/>
    <w:rsid w:val="00B15181"/>
    <w:rsid w:val="00B1781E"/>
    <w:rsid w:val="00B20476"/>
    <w:rsid w:val="00B32588"/>
    <w:rsid w:val="00B34F31"/>
    <w:rsid w:val="00B4005B"/>
    <w:rsid w:val="00B4222C"/>
    <w:rsid w:val="00B464B5"/>
    <w:rsid w:val="00B50863"/>
    <w:rsid w:val="00B7017D"/>
    <w:rsid w:val="00B7079A"/>
    <w:rsid w:val="00B71805"/>
    <w:rsid w:val="00B76547"/>
    <w:rsid w:val="00B82667"/>
    <w:rsid w:val="00B8451A"/>
    <w:rsid w:val="00B86C13"/>
    <w:rsid w:val="00B86C48"/>
    <w:rsid w:val="00B90509"/>
    <w:rsid w:val="00B92061"/>
    <w:rsid w:val="00B921E3"/>
    <w:rsid w:val="00B956C5"/>
    <w:rsid w:val="00B96348"/>
    <w:rsid w:val="00B963B2"/>
    <w:rsid w:val="00BA6E23"/>
    <w:rsid w:val="00BB4D96"/>
    <w:rsid w:val="00BC6B0C"/>
    <w:rsid w:val="00BC79FE"/>
    <w:rsid w:val="00BD0E61"/>
    <w:rsid w:val="00BD0FA9"/>
    <w:rsid w:val="00BD19DF"/>
    <w:rsid w:val="00BD4666"/>
    <w:rsid w:val="00BE02B6"/>
    <w:rsid w:val="00BE313F"/>
    <w:rsid w:val="00BF1AB8"/>
    <w:rsid w:val="00BF2A7D"/>
    <w:rsid w:val="00BF3C26"/>
    <w:rsid w:val="00BF3F98"/>
    <w:rsid w:val="00BF72DC"/>
    <w:rsid w:val="00C0097E"/>
    <w:rsid w:val="00C02673"/>
    <w:rsid w:val="00C125F6"/>
    <w:rsid w:val="00C21054"/>
    <w:rsid w:val="00C22BA8"/>
    <w:rsid w:val="00C234E1"/>
    <w:rsid w:val="00C24D7A"/>
    <w:rsid w:val="00C256ED"/>
    <w:rsid w:val="00C37F13"/>
    <w:rsid w:val="00C408C5"/>
    <w:rsid w:val="00C43AF6"/>
    <w:rsid w:val="00C53413"/>
    <w:rsid w:val="00C57B1C"/>
    <w:rsid w:val="00C6195C"/>
    <w:rsid w:val="00C673D1"/>
    <w:rsid w:val="00C678A4"/>
    <w:rsid w:val="00C70395"/>
    <w:rsid w:val="00C717EE"/>
    <w:rsid w:val="00C7301A"/>
    <w:rsid w:val="00C803DE"/>
    <w:rsid w:val="00C80DCC"/>
    <w:rsid w:val="00C9784B"/>
    <w:rsid w:val="00C97DD4"/>
    <w:rsid w:val="00CA0324"/>
    <w:rsid w:val="00CA040C"/>
    <w:rsid w:val="00CA7063"/>
    <w:rsid w:val="00CB1508"/>
    <w:rsid w:val="00CB2217"/>
    <w:rsid w:val="00CB3456"/>
    <w:rsid w:val="00CB4F53"/>
    <w:rsid w:val="00CB5FC4"/>
    <w:rsid w:val="00CB7EC6"/>
    <w:rsid w:val="00CC1DB8"/>
    <w:rsid w:val="00CC1FBA"/>
    <w:rsid w:val="00CC647D"/>
    <w:rsid w:val="00CC7464"/>
    <w:rsid w:val="00CD1A13"/>
    <w:rsid w:val="00CD51DB"/>
    <w:rsid w:val="00CE0B64"/>
    <w:rsid w:val="00CE1D55"/>
    <w:rsid w:val="00CE2CCF"/>
    <w:rsid w:val="00CE41C6"/>
    <w:rsid w:val="00D07B65"/>
    <w:rsid w:val="00D156AF"/>
    <w:rsid w:val="00D2423A"/>
    <w:rsid w:val="00D269C2"/>
    <w:rsid w:val="00D3055F"/>
    <w:rsid w:val="00D323C9"/>
    <w:rsid w:val="00D34FA6"/>
    <w:rsid w:val="00D4000E"/>
    <w:rsid w:val="00D407E2"/>
    <w:rsid w:val="00D4394D"/>
    <w:rsid w:val="00D47A58"/>
    <w:rsid w:val="00D52303"/>
    <w:rsid w:val="00D5395A"/>
    <w:rsid w:val="00D74B0F"/>
    <w:rsid w:val="00D80117"/>
    <w:rsid w:val="00D91D13"/>
    <w:rsid w:val="00D92101"/>
    <w:rsid w:val="00DA216E"/>
    <w:rsid w:val="00DB2419"/>
    <w:rsid w:val="00DB2B0E"/>
    <w:rsid w:val="00DB454A"/>
    <w:rsid w:val="00DC6445"/>
    <w:rsid w:val="00DC7887"/>
    <w:rsid w:val="00DD0B94"/>
    <w:rsid w:val="00DD2BC9"/>
    <w:rsid w:val="00DD7CB3"/>
    <w:rsid w:val="00DF2D6D"/>
    <w:rsid w:val="00DF3513"/>
    <w:rsid w:val="00DF3DB3"/>
    <w:rsid w:val="00DF5E99"/>
    <w:rsid w:val="00E000ED"/>
    <w:rsid w:val="00E00C18"/>
    <w:rsid w:val="00E10246"/>
    <w:rsid w:val="00E20C01"/>
    <w:rsid w:val="00E21595"/>
    <w:rsid w:val="00E2159A"/>
    <w:rsid w:val="00E24292"/>
    <w:rsid w:val="00E2503B"/>
    <w:rsid w:val="00E263FA"/>
    <w:rsid w:val="00E32463"/>
    <w:rsid w:val="00E36D5D"/>
    <w:rsid w:val="00E41C6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C7"/>
    <w:rsid w:val="00EA100D"/>
    <w:rsid w:val="00EB2C3F"/>
    <w:rsid w:val="00EB6AE1"/>
    <w:rsid w:val="00EC6546"/>
    <w:rsid w:val="00EC74FE"/>
    <w:rsid w:val="00ED0150"/>
    <w:rsid w:val="00ED0F49"/>
    <w:rsid w:val="00ED2620"/>
    <w:rsid w:val="00ED5CC9"/>
    <w:rsid w:val="00EE075F"/>
    <w:rsid w:val="00EE17D7"/>
    <w:rsid w:val="00EE5AAC"/>
    <w:rsid w:val="00EE7519"/>
    <w:rsid w:val="00EF1172"/>
    <w:rsid w:val="00EF2B19"/>
    <w:rsid w:val="00EF6DE1"/>
    <w:rsid w:val="00F0174B"/>
    <w:rsid w:val="00F11F47"/>
    <w:rsid w:val="00F13CCA"/>
    <w:rsid w:val="00F14D48"/>
    <w:rsid w:val="00F2009C"/>
    <w:rsid w:val="00F22813"/>
    <w:rsid w:val="00F22B8D"/>
    <w:rsid w:val="00F22CDB"/>
    <w:rsid w:val="00F26702"/>
    <w:rsid w:val="00F27E16"/>
    <w:rsid w:val="00F30E8B"/>
    <w:rsid w:val="00F31680"/>
    <w:rsid w:val="00F34209"/>
    <w:rsid w:val="00F40C7B"/>
    <w:rsid w:val="00F411DA"/>
    <w:rsid w:val="00F46338"/>
    <w:rsid w:val="00F46733"/>
    <w:rsid w:val="00F47F05"/>
    <w:rsid w:val="00F67390"/>
    <w:rsid w:val="00F67DF9"/>
    <w:rsid w:val="00F73705"/>
    <w:rsid w:val="00F80737"/>
    <w:rsid w:val="00F91132"/>
    <w:rsid w:val="00F9343E"/>
    <w:rsid w:val="00F9421E"/>
    <w:rsid w:val="00FB3926"/>
    <w:rsid w:val="00FC1D8F"/>
    <w:rsid w:val="00FD1A78"/>
    <w:rsid w:val="00FD2454"/>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semiHidden/>
    <w:unhideWhenUsed/>
    <w:rsid w:val="00053AEA"/>
    <w:rPr>
      <w:sz w:val="20"/>
      <w:szCs w:val="20"/>
    </w:rPr>
  </w:style>
  <w:style w:type="character" w:customStyle="1" w:styleId="CommentTextChar">
    <w:name w:val="Comment Text Char"/>
    <w:basedOn w:val="DefaultParagraphFont"/>
    <w:link w:val="CommentText"/>
    <w:uiPriority w:val="99"/>
    <w:semiHidden/>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FSV622TP5J5Y-1298124658-104467</_dlc_DocId>
    <_dlc_DocIdUrl xmlns="63cd3888-6dce-4879-9d02-778ca5cf9668">
      <Url>https://contatofortesec.sharepoint.com/sites/Juridico/_layouts/15/DocIdRedir.aspx?ID=FSV622TP5J5Y-1298124658-104467</Url>
      <Description>FSV622TP5J5Y-1298124658-104467</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3567</Words>
  <Characters>19266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Nina Hansen</cp:lastModifiedBy>
  <cp:revision>2</cp:revision>
  <cp:lastPrinted>2021-09-20T19:24:00Z</cp:lastPrinted>
  <dcterms:created xsi:type="dcterms:W3CDTF">2023-03-15T14:47:00Z</dcterms:created>
  <dcterms:modified xsi:type="dcterms:W3CDTF">2023-03-15T14:47:00Z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5983d5e3-e853-4dd6-9f55-4ea3d5e6e84b</vt:lpwstr>
  </property>
  <property fmtid="{D5CDD505-2E9C-101B-9397-08002B2CF9AE}" pid="4" name="MediaServiceImageTags">
    <vt:lpwstr/>
  </property>
</Properties>
</file>