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48DD" w14:textId="77777777" w:rsidR="00B9373E" w:rsidRPr="00A4188F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A4188F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41BFAE3" w14:textId="77777777" w:rsidR="00B9373E" w:rsidRPr="00A4188F" w:rsidRDefault="00B9373E" w:rsidP="00B9373E">
      <w:pPr>
        <w:spacing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A4188F">
        <w:rPr>
          <w:rFonts w:ascii="Open Sans" w:hAnsi="Open Sans" w:cs="Open Sans"/>
          <w:sz w:val="20"/>
          <w:szCs w:val="20"/>
        </w:rPr>
        <w:t>CNPJ/ME nº 12.979.898/0001-70</w:t>
      </w:r>
    </w:p>
    <w:p w14:paraId="30749D93" w14:textId="77777777" w:rsidR="00B9373E" w:rsidRPr="00A4188F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sz w:val="20"/>
          <w:szCs w:val="20"/>
        </w:rPr>
        <w:t>NIRE 35.300.512.944</w:t>
      </w:r>
    </w:p>
    <w:p w14:paraId="04CDD258" w14:textId="77777777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70B2773" w14:textId="623F6B0E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EDITAL DE </w:t>
      </w:r>
      <w:r w:rsidR="00677CB1" w:rsidRPr="003F20B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PRIMEIRA</w:t>
      </w:r>
      <w:r w:rsidR="0093685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CONVOCAÇÃO PARA </w:t>
      </w:r>
      <w:r w:rsidRPr="00786E4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</w:t>
      </w:r>
      <w:r w:rsidR="001A7247" w:rsidRPr="00786E4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GERAL DE TITULARES DOS</w:t>
      </w:r>
      <w:r w:rsidR="001A724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DAS </w:t>
      </w:r>
      <w:bookmarkStart w:id="0" w:name="_Hlk40114722"/>
      <w:r w:rsidR="003F20B4" w:rsidRPr="009F0177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C305EC" w:rsidRPr="00C305EC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ª</w:t>
      </w:r>
      <w:r w:rsidR="00C305E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0"/>
      <w:r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 DA </w:t>
      </w:r>
      <w:r w:rsidR="003F20B4" w:rsidRPr="009F0177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FORTE SECURITIZADORA S.A.</w:t>
      </w:r>
    </w:p>
    <w:p w14:paraId="31F54A6F" w14:textId="77777777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A354E21" w14:textId="202C26CD" w:rsidR="00B9373E" w:rsidRPr="00A4188F" w:rsidRDefault="00B9373E" w:rsidP="00B9373E">
      <w:pPr>
        <w:pStyle w:val="SemEspaament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sz w:val="20"/>
          <w:szCs w:val="20"/>
        </w:rPr>
        <w:t xml:space="preserve">A </w:t>
      </w:r>
      <w:r w:rsidRPr="00A4188F">
        <w:rPr>
          <w:rFonts w:ascii="Open Sans" w:hAnsi="Open Sans" w:cs="Open Sans"/>
          <w:b/>
          <w:bCs/>
          <w:sz w:val="20"/>
          <w:szCs w:val="20"/>
        </w:rPr>
        <w:t>FORTE SECURITIZADORA S.A.</w:t>
      </w:r>
      <w:r w:rsidRPr="00A4188F">
        <w:rPr>
          <w:rFonts w:ascii="Open Sans" w:hAnsi="Open Sans" w:cs="Open Sans"/>
          <w:sz w:val="20"/>
          <w:szCs w:val="20"/>
        </w:rPr>
        <w:t>, companhia securitizadora, com sede na Rua Fidêncio Ramos, 213, cj. 41, Vila Olímpia, CEP 04.551-010, na Cidade e Estado de São Paulo, inscrita no CNPJ/ME nº 12.979.898/0001-70 (“</w:t>
      </w:r>
      <w:r w:rsidRPr="00A4188F">
        <w:rPr>
          <w:rFonts w:ascii="Open Sans" w:hAnsi="Open Sans" w:cs="Open Sans"/>
          <w:sz w:val="20"/>
          <w:szCs w:val="20"/>
          <w:u w:val="single"/>
        </w:rPr>
        <w:t>Securitizadora</w:t>
      </w:r>
      <w:r w:rsidRPr="00A4188F">
        <w:rPr>
          <w:rFonts w:ascii="Open Sans" w:hAnsi="Open Sans" w:cs="Open Sans"/>
          <w:sz w:val="20"/>
          <w:szCs w:val="20"/>
        </w:rPr>
        <w:t>” ou “</w:t>
      </w:r>
      <w:r w:rsidRPr="00A4188F">
        <w:rPr>
          <w:rFonts w:ascii="Open Sans" w:hAnsi="Open Sans" w:cs="Open Sans"/>
          <w:sz w:val="20"/>
          <w:szCs w:val="20"/>
          <w:u w:val="single"/>
        </w:rPr>
        <w:t>Emissora</w:t>
      </w:r>
      <w:r w:rsidRPr="00A4188F">
        <w:rPr>
          <w:rFonts w:ascii="Open Sans" w:hAnsi="Open Sans" w:cs="Open Sans"/>
          <w:sz w:val="20"/>
          <w:szCs w:val="20"/>
        </w:rPr>
        <w:t xml:space="preserve">”), nos termos do Termo de Securitização de Créditos Imobiliários das </w:t>
      </w:r>
      <w:r w:rsidR="00316FFA" w:rsidRPr="009F0177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9B2A45" w:rsidRPr="00677CB1">
        <w:rPr>
          <w:rFonts w:ascii="Open Sans" w:hAnsi="Open Sans" w:cs="Open Sans"/>
          <w:sz w:val="20"/>
          <w:szCs w:val="20"/>
          <w:highlight w:val="yellow"/>
        </w:rPr>
        <w:t xml:space="preserve"> </w:t>
      </w:r>
      <w:r w:rsidRPr="00677CB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Séries</w:t>
      </w:r>
      <w:r w:rsidRPr="00677CB1">
        <w:rPr>
          <w:rFonts w:ascii="Open Sans" w:hAnsi="Open Sans" w:cs="Open Sans"/>
          <w:i/>
          <w:iCs/>
          <w:color w:val="000000" w:themeColor="text1"/>
          <w:sz w:val="20"/>
          <w:szCs w:val="20"/>
          <w:highlight w:val="yellow"/>
        </w:rPr>
        <w:t xml:space="preserve"> </w:t>
      </w:r>
      <w:r w:rsidRPr="00677CB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 xml:space="preserve">da </w:t>
      </w:r>
      <w:r w:rsidR="00316FFA" w:rsidRPr="009F0177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Pr="00677CB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ª Emissão</w:t>
      </w:r>
      <w:r w:rsidRPr="00A4188F">
        <w:rPr>
          <w:rFonts w:ascii="Open Sans" w:hAnsi="Open Sans" w:cs="Open Sans"/>
          <w:sz w:val="20"/>
          <w:szCs w:val="20"/>
        </w:rPr>
        <w:t xml:space="preserve"> de Certificados de Recebíveis Imobiliários da Emissora (”</w:t>
      </w:r>
      <w:r w:rsidRPr="00A4188F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A4188F">
        <w:rPr>
          <w:rFonts w:ascii="Open Sans" w:hAnsi="Open Sans" w:cs="Open Sans"/>
          <w:sz w:val="20"/>
          <w:szCs w:val="20"/>
        </w:rPr>
        <w:t>”, “</w:t>
      </w:r>
      <w:r w:rsidRPr="00A4188F">
        <w:rPr>
          <w:rFonts w:ascii="Open Sans" w:hAnsi="Open Sans" w:cs="Open Sans"/>
          <w:sz w:val="20"/>
          <w:szCs w:val="20"/>
          <w:u w:val="single"/>
        </w:rPr>
        <w:t>Emissão</w:t>
      </w:r>
      <w:r w:rsidRPr="00A4188F">
        <w:rPr>
          <w:rFonts w:ascii="Open Sans" w:hAnsi="Open Sans" w:cs="Open Sans"/>
          <w:sz w:val="20"/>
          <w:szCs w:val="20"/>
        </w:rPr>
        <w:t>” e “</w:t>
      </w:r>
      <w:r w:rsidRPr="00A4188F">
        <w:rPr>
          <w:rFonts w:ascii="Open Sans" w:hAnsi="Open Sans" w:cs="Open Sans"/>
          <w:sz w:val="20"/>
          <w:szCs w:val="20"/>
          <w:u w:val="single"/>
        </w:rPr>
        <w:t>CRI</w:t>
      </w:r>
      <w:r w:rsidRPr="00A4188F">
        <w:rPr>
          <w:rFonts w:ascii="Open Sans" w:hAnsi="Open Sans" w:cs="Open Sans"/>
          <w:sz w:val="20"/>
          <w:szCs w:val="20"/>
        </w:rPr>
        <w:t xml:space="preserve">”, respectivamente), </w:t>
      </w:r>
      <w:r w:rsidRPr="00A4188F">
        <w:rPr>
          <w:rFonts w:ascii="Open Sans" w:hAnsi="Open Sans" w:cs="Open Sans"/>
          <w:b/>
          <w:bCs/>
          <w:sz w:val="20"/>
          <w:szCs w:val="20"/>
          <w:u w:val="single"/>
        </w:rPr>
        <w:t>CONVOCA</w:t>
      </w:r>
      <w:r w:rsidRPr="00A4188F">
        <w:rPr>
          <w:rFonts w:ascii="Open Sans" w:hAnsi="Open Sans" w:cs="Open Sans"/>
          <w:sz w:val="20"/>
          <w:szCs w:val="20"/>
        </w:rPr>
        <w:t xml:space="preserve"> os titulares dos CRI (“</w:t>
      </w:r>
      <w:r w:rsidRPr="007C25A2">
        <w:rPr>
          <w:rFonts w:ascii="Open Sans" w:hAnsi="Open Sans" w:cs="Open Sans"/>
          <w:sz w:val="20"/>
          <w:szCs w:val="20"/>
          <w:u w:val="single"/>
        </w:rPr>
        <w:t>Titulares d</w:t>
      </w:r>
      <w:r w:rsidR="001B0229" w:rsidRPr="007C25A2">
        <w:rPr>
          <w:rFonts w:ascii="Open Sans" w:hAnsi="Open Sans" w:cs="Open Sans"/>
          <w:sz w:val="20"/>
          <w:szCs w:val="20"/>
          <w:u w:val="single"/>
        </w:rPr>
        <w:t>e</w:t>
      </w:r>
      <w:r w:rsidRPr="007C25A2">
        <w:rPr>
          <w:rFonts w:ascii="Open Sans" w:hAnsi="Open Sans" w:cs="Open Sans"/>
          <w:sz w:val="20"/>
          <w:szCs w:val="20"/>
          <w:u w:val="single"/>
        </w:rPr>
        <w:t xml:space="preserve"> CRI</w:t>
      </w:r>
      <w:r w:rsidRPr="007C25A2">
        <w:rPr>
          <w:rFonts w:ascii="Open Sans" w:hAnsi="Open Sans" w:cs="Open Sans"/>
          <w:sz w:val="20"/>
          <w:szCs w:val="20"/>
        </w:rPr>
        <w:t xml:space="preserve">”) para participarem </w:t>
      </w:r>
      <w:r w:rsidR="00786E47">
        <w:rPr>
          <w:rFonts w:ascii="Open Sans" w:hAnsi="Open Sans" w:cs="Open Sans"/>
          <w:sz w:val="20"/>
          <w:szCs w:val="20"/>
        </w:rPr>
        <w:t>da Assembleia Geral (“AGT</w:t>
      </w:r>
      <w:r w:rsidR="0074034B">
        <w:rPr>
          <w:rFonts w:ascii="Open Sans" w:hAnsi="Open Sans" w:cs="Open Sans"/>
          <w:sz w:val="20"/>
          <w:szCs w:val="20"/>
        </w:rPr>
        <w:t xml:space="preserve">CRI” ou “Assembleia”) </w:t>
      </w:r>
      <w:r w:rsidRPr="00A4188F">
        <w:rPr>
          <w:rFonts w:ascii="Open Sans" w:hAnsi="Open Sans" w:cs="Open Sans"/>
          <w:sz w:val="20"/>
          <w:szCs w:val="20"/>
        </w:rPr>
        <w:t xml:space="preserve">a ser realizada, em </w:t>
      </w:r>
      <w:r w:rsidR="00677CB1" w:rsidRPr="00AF35D3">
        <w:rPr>
          <w:rFonts w:ascii="Open Sans" w:hAnsi="Open Sans" w:cs="Open Sans"/>
          <w:sz w:val="20"/>
          <w:szCs w:val="20"/>
        </w:rPr>
        <w:t>1</w:t>
      </w:r>
      <w:r w:rsidRPr="00AF35D3">
        <w:rPr>
          <w:rFonts w:ascii="Open Sans" w:hAnsi="Open Sans" w:cs="Open Sans"/>
          <w:sz w:val="20"/>
          <w:szCs w:val="20"/>
        </w:rPr>
        <w:t xml:space="preserve">ª </w:t>
      </w:r>
      <w:r w:rsidR="00936859" w:rsidRPr="00AF35D3">
        <w:rPr>
          <w:rFonts w:ascii="Open Sans" w:hAnsi="Open Sans" w:cs="Open Sans"/>
          <w:sz w:val="20"/>
          <w:szCs w:val="20"/>
        </w:rPr>
        <w:t>(</w:t>
      </w:r>
      <w:r w:rsidR="00677CB1" w:rsidRPr="00AF35D3">
        <w:rPr>
          <w:rFonts w:ascii="Open Sans" w:hAnsi="Open Sans" w:cs="Open Sans"/>
          <w:sz w:val="20"/>
          <w:szCs w:val="20"/>
        </w:rPr>
        <w:t>primeira</w:t>
      </w:r>
      <w:r w:rsidR="00936859" w:rsidRPr="00AF35D3">
        <w:rPr>
          <w:rFonts w:ascii="Open Sans" w:hAnsi="Open Sans" w:cs="Open Sans"/>
          <w:sz w:val="20"/>
          <w:szCs w:val="20"/>
        </w:rPr>
        <w:t>)</w:t>
      </w:r>
      <w:r w:rsidR="00936859" w:rsidRPr="00A4188F">
        <w:rPr>
          <w:rFonts w:ascii="Open Sans" w:hAnsi="Open Sans" w:cs="Open Sans"/>
          <w:sz w:val="20"/>
          <w:szCs w:val="20"/>
        </w:rPr>
        <w:t xml:space="preserve"> </w:t>
      </w:r>
      <w:r w:rsidRPr="00A4188F">
        <w:rPr>
          <w:rFonts w:ascii="Open Sans" w:hAnsi="Open Sans" w:cs="Open Sans"/>
          <w:sz w:val="20"/>
          <w:szCs w:val="20"/>
        </w:rPr>
        <w:t xml:space="preserve">convocação, em </w:t>
      </w:r>
      <w:r w:rsidR="00AF35D3" w:rsidRPr="009F0177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AF35D3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 xml:space="preserve"> </w:t>
      </w:r>
      <w:r w:rsidR="00420960" w:rsidRPr="00677CB1">
        <w:rPr>
          <w:rFonts w:ascii="Open Sans" w:hAnsi="Open Sans" w:cs="Open Sans"/>
          <w:b/>
          <w:bCs/>
          <w:sz w:val="20"/>
          <w:szCs w:val="20"/>
          <w:highlight w:val="yellow"/>
        </w:rPr>
        <w:t xml:space="preserve">de </w:t>
      </w:r>
      <w:r w:rsidR="00AF35D3">
        <w:rPr>
          <w:rFonts w:ascii="Open Sans" w:hAnsi="Open Sans" w:cs="Open Sans"/>
          <w:b/>
          <w:bCs/>
          <w:sz w:val="20"/>
          <w:szCs w:val="20"/>
          <w:highlight w:val="yellow"/>
        </w:rPr>
        <w:t>janeiro</w:t>
      </w:r>
      <w:r w:rsidR="00420960" w:rsidRPr="00677CB1">
        <w:rPr>
          <w:rFonts w:ascii="Open Sans" w:hAnsi="Open Sans" w:cs="Open Sans"/>
          <w:b/>
          <w:bCs/>
          <w:sz w:val="20"/>
          <w:szCs w:val="20"/>
          <w:highlight w:val="yellow"/>
        </w:rPr>
        <w:t xml:space="preserve"> de 202</w:t>
      </w:r>
      <w:r w:rsidR="00AF35D3">
        <w:rPr>
          <w:rFonts w:ascii="Open Sans" w:hAnsi="Open Sans" w:cs="Open Sans"/>
          <w:b/>
          <w:bCs/>
          <w:sz w:val="20"/>
          <w:szCs w:val="20"/>
          <w:highlight w:val="yellow"/>
        </w:rPr>
        <w:t>3</w:t>
      </w:r>
      <w:r w:rsidRPr="00677CB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 xml:space="preserve">, </w:t>
      </w:r>
      <w:r w:rsidRPr="00677CB1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 xml:space="preserve">às </w:t>
      </w:r>
      <w:r w:rsidR="00AF35D3" w:rsidRPr="009F0177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7C052C" w:rsidRPr="00677CB1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h</w:t>
      </w:r>
      <w:r w:rsidR="00AF35D3" w:rsidRPr="009F0177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Pr="00A4188F">
        <w:rPr>
          <w:rFonts w:ascii="Open Sans" w:hAnsi="Open Sans" w:cs="Open Sans"/>
          <w:sz w:val="20"/>
          <w:szCs w:val="20"/>
        </w:rPr>
        <w:t xml:space="preserve">, </w:t>
      </w:r>
      <w:bookmarkStart w:id="1" w:name="_Hlk37933220"/>
      <w:r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modo exclusivamente digital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, por meio da plataforma eletrônica 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, administrada pela Emissora, </w:t>
      </w:r>
      <w:r w:rsidR="00363503" w:rsidRPr="00A4188F">
        <w:rPr>
          <w:rFonts w:ascii="Open Sans" w:hAnsi="Open Sans" w:cs="Open Sans"/>
          <w:noProof/>
          <w:sz w:val="20"/>
          <w:szCs w:val="20"/>
        </w:rPr>
        <w:t xml:space="preserve">nos termos da </w:t>
      </w:r>
      <w:r w:rsidR="00363503" w:rsidRPr="00A4188F">
        <w:rPr>
          <w:rFonts w:ascii="Open Sans" w:hAnsi="Open Sans" w:cs="Open Sans"/>
          <w:sz w:val="20"/>
          <w:szCs w:val="20"/>
        </w:rPr>
        <w:t>Resolução da Comissão de Valores Mobiliários (“</w:t>
      </w:r>
      <w:r w:rsidR="00363503" w:rsidRPr="00A4188F">
        <w:rPr>
          <w:rFonts w:ascii="Open Sans" w:hAnsi="Open Sans" w:cs="Open Sans"/>
          <w:sz w:val="20"/>
          <w:szCs w:val="20"/>
          <w:u w:val="single"/>
        </w:rPr>
        <w:t>CVM</w:t>
      </w:r>
      <w:r w:rsidR="00363503" w:rsidRPr="00A4188F">
        <w:rPr>
          <w:rFonts w:ascii="Open Sans" w:hAnsi="Open Sans" w:cs="Open Sans"/>
          <w:sz w:val="20"/>
          <w:szCs w:val="20"/>
        </w:rPr>
        <w:t>”) nº 60, de 23 de dezembro de 2021 (“</w:t>
      </w:r>
      <w:r w:rsidR="00363503" w:rsidRPr="00A4188F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363503" w:rsidRPr="00A4188F">
        <w:rPr>
          <w:rFonts w:ascii="Open Sans" w:hAnsi="Open Sans" w:cs="Open Sans"/>
          <w:sz w:val="20"/>
          <w:szCs w:val="20"/>
        </w:rPr>
        <w:t>”)</w:t>
      </w:r>
      <w:r w:rsidR="00363503"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, cujo acesso deve ser feito por meio de </w:t>
      </w:r>
      <w:r w:rsidR="00363503"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link</w:t>
      </w:r>
      <w:r w:rsidR="00363503"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a ser encaminhado aos Titulares de CRI </w:t>
      </w:r>
      <w:r w:rsidR="00575403">
        <w:rPr>
          <w:rFonts w:ascii="Open Sans" w:hAnsi="Open Sans" w:cs="Open Sans"/>
          <w:color w:val="000000" w:themeColor="text1"/>
          <w:sz w:val="20"/>
          <w:szCs w:val="20"/>
        </w:rPr>
        <w:t>Credenciados (conforme definido abaixo)</w:t>
      </w:r>
      <w:r w:rsidR="00363503"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, sem prejuízo da possibilidade de preenchimento e envio de instrução de voto a distância previamente à realização do conclave, para deliberar sobre os assuntos que compõem a seguinte </w:t>
      </w:r>
      <w:r w:rsidR="00363503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  <w:t>Ordem do Dia</w:t>
      </w:r>
      <w:r w:rsidR="00363503" w:rsidRPr="00A4188F">
        <w:rPr>
          <w:rFonts w:ascii="Open Sans" w:hAnsi="Open Sans" w:cs="Open Sans"/>
          <w:color w:val="000000" w:themeColor="text1"/>
          <w:sz w:val="20"/>
          <w:szCs w:val="20"/>
        </w:rPr>
        <w:t>:</w:t>
      </w:r>
      <w:bookmarkEnd w:id="1"/>
    </w:p>
    <w:p w14:paraId="63C89F06" w14:textId="77777777" w:rsidR="0073763F" w:rsidRPr="00A4188F" w:rsidRDefault="0073763F" w:rsidP="00B9373E">
      <w:pPr>
        <w:pStyle w:val="SemEspaamento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784BD890" w14:textId="4A09F832" w:rsidR="002039DF" w:rsidRDefault="002039DF" w:rsidP="002039DF">
      <w:pPr>
        <w:pStyle w:val="PargrafodaLista"/>
        <w:numPr>
          <w:ilvl w:val="0"/>
          <w:numId w:val="2"/>
        </w:numPr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2" w:name="_Hlk37933162"/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a aprovação, ou não, das Demonstrações Financeiras do Patrimônio Separado referentes ao exercício encerrado </w:t>
      </w:r>
      <w:r w:rsidRPr="00353C3F">
        <w:rPr>
          <w:rFonts w:ascii="Open Sans" w:hAnsi="Open Sans" w:cs="Open Sans"/>
          <w:color w:val="000000" w:themeColor="text1"/>
          <w:sz w:val="20"/>
          <w:szCs w:val="20"/>
        </w:rPr>
        <w:t xml:space="preserve">em 30 de </w:t>
      </w:r>
      <w:r w:rsidR="00353C3F">
        <w:rPr>
          <w:rFonts w:ascii="Open Sans" w:hAnsi="Open Sans" w:cs="Open Sans"/>
          <w:color w:val="000000" w:themeColor="text1"/>
          <w:sz w:val="20"/>
          <w:szCs w:val="20"/>
        </w:rPr>
        <w:t>setembro</w:t>
      </w:r>
      <w:r w:rsidRPr="00353C3F">
        <w:rPr>
          <w:rFonts w:ascii="Open Sans" w:hAnsi="Open Sans" w:cs="Open Sans"/>
          <w:color w:val="000000" w:themeColor="text1"/>
          <w:sz w:val="20"/>
          <w:szCs w:val="20"/>
        </w:rPr>
        <w:t xml:space="preserve"> de 2022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Pr="00A4188F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>”), emitidas sem ressalvas e sem opinião modificada, acompanhadas do relatório da Deloitte Touche Tohmatsu Auditores Independentes Ltda., na qualidade de auditor independente, elaboradas conforme a Resolução CVM 60, a Lei nº 6.404, de 15 de dezembro de 1976, conforme alterada, e demais normas contábeis, legais e regulatórias aplicáveis</w:t>
      </w:r>
      <w:r w:rsidR="00225DA0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BC6218">
        <w:rPr>
          <w:rFonts w:ascii="Open Sans" w:hAnsi="Open Sans" w:cs="Open Sans"/>
          <w:color w:val="000000" w:themeColor="text1"/>
          <w:sz w:val="20"/>
          <w:szCs w:val="20"/>
        </w:rPr>
        <w:t xml:space="preserve"> e</w:t>
      </w:r>
    </w:p>
    <w:p w14:paraId="6EB39081" w14:textId="77777777" w:rsidR="00BC6218" w:rsidRDefault="00BC6218" w:rsidP="00BC6218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3CECC8" w14:textId="3E776299" w:rsidR="001A7247" w:rsidRDefault="00BC6218" w:rsidP="002039DF">
      <w:pPr>
        <w:pStyle w:val="PargrafodaLista"/>
        <w:numPr>
          <w:ilvl w:val="0"/>
          <w:numId w:val="2"/>
        </w:numPr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color w:val="000000" w:themeColor="text1"/>
          <w:sz w:val="20"/>
          <w:szCs w:val="20"/>
        </w:rPr>
        <w:t>a aprovação, ou não,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da alteração do Termo de Securitização para: </w:t>
      </w:r>
      <w:r w:rsidR="009B489B" w:rsidRPr="009B489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(a)</w:t>
      </w:r>
      <w:r w:rsidR="009B489B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E331F4">
        <w:rPr>
          <w:rFonts w:ascii="Open Sans" w:hAnsi="Open Sans" w:cs="Open Sans"/>
          <w:color w:val="000000" w:themeColor="text1"/>
          <w:sz w:val="20"/>
          <w:szCs w:val="20"/>
        </w:rPr>
        <w:t xml:space="preserve">que as convocações de </w:t>
      </w:r>
      <w:r w:rsidR="006C300F">
        <w:rPr>
          <w:rFonts w:ascii="Open Sans" w:hAnsi="Open Sans" w:cs="Open Sans"/>
          <w:color w:val="000000" w:themeColor="text1"/>
          <w:sz w:val="20"/>
          <w:szCs w:val="20"/>
        </w:rPr>
        <w:t>[</w:t>
      </w:r>
      <w:r w:rsidR="006C300F" w:rsidRPr="00B5491B">
        <w:rPr>
          <w:rFonts w:ascii="Open Sans" w:hAnsi="Open Sans" w:cs="Open Sans"/>
          <w:color w:val="000000" w:themeColor="text1"/>
          <w:sz w:val="20"/>
          <w:szCs w:val="20"/>
        </w:rPr>
        <w:t>Assembleias Gerais]</w:t>
      </w:r>
      <w:r w:rsidR="00E331F4">
        <w:rPr>
          <w:rFonts w:ascii="Open Sans" w:hAnsi="Open Sans" w:cs="Open Sans"/>
          <w:color w:val="000000" w:themeColor="text1"/>
          <w:sz w:val="20"/>
          <w:szCs w:val="20"/>
        </w:rPr>
        <w:t xml:space="preserve"> p</w:t>
      </w:r>
      <w:r w:rsidR="00475934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E331F4">
        <w:rPr>
          <w:rFonts w:ascii="Open Sans" w:hAnsi="Open Sans" w:cs="Open Sans"/>
          <w:color w:val="000000" w:themeColor="text1"/>
          <w:sz w:val="20"/>
          <w:szCs w:val="20"/>
        </w:rPr>
        <w:t>ss</w:t>
      </w:r>
      <w:r w:rsidR="00D465B9">
        <w:rPr>
          <w:rFonts w:ascii="Open Sans" w:hAnsi="Open Sans" w:cs="Open Sans"/>
          <w:color w:val="000000" w:themeColor="text1"/>
          <w:sz w:val="20"/>
          <w:szCs w:val="20"/>
        </w:rPr>
        <w:t>am</w:t>
      </w:r>
      <w:r w:rsidR="00E331F4">
        <w:rPr>
          <w:rFonts w:ascii="Open Sans" w:hAnsi="Open Sans" w:cs="Open Sans"/>
          <w:color w:val="000000" w:themeColor="text1"/>
          <w:sz w:val="20"/>
          <w:szCs w:val="20"/>
        </w:rPr>
        <w:t xml:space="preserve"> ocorrer</w:t>
      </w:r>
      <w:r w:rsidR="00D85E8A">
        <w:rPr>
          <w:rFonts w:ascii="Open Sans" w:hAnsi="Open Sans" w:cs="Open Sans"/>
          <w:color w:val="000000" w:themeColor="text1"/>
          <w:sz w:val="20"/>
          <w:szCs w:val="20"/>
        </w:rPr>
        <w:t>, a critério da Emissora:</w:t>
      </w:r>
      <w:r w:rsidR="00E331F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9027B2">
        <w:rPr>
          <w:rFonts w:ascii="Open Sans" w:hAnsi="Open Sans" w:cs="Open Sans"/>
          <w:color w:val="000000" w:themeColor="text1"/>
          <w:sz w:val="20"/>
          <w:szCs w:val="20"/>
        </w:rPr>
        <w:t xml:space="preserve">(a.1) mediante </w:t>
      </w:r>
      <w:r w:rsidR="003268AC">
        <w:rPr>
          <w:rFonts w:ascii="Open Sans" w:hAnsi="Open Sans" w:cs="Open Sans"/>
          <w:color w:val="000000" w:themeColor="text1"/>
          <w:sz w:val="20"/>
          <w:szCs w:val="20"/>
        </w:rPr>
        <w:t>publicação de edital em jornal de grande circulação utilizado pela Emissora para a divulgação de suas informações societárias, por 3 (três) vezes em dias consecutivos, com antecedência mínima de 20 (vinte) dias</w:t>
      </w:r>
      <w:r w:rsidR="00D85E8A">
        <w:rPr>
          <w:rFonts w:ascii="Open Sans" w:hAnsi="Open Sans" w:cs="Open Sans"/>
          <w:color w:val="000000" w:themeColor="text1"/>
          <w:sz w:val="20"/>
          <w:szCs w:val="20"/>
        </w:rPr>
        <w:t xml:space="preserve">; </w:t>
      </w:r>
      <w:r w:rsidR="00D85E8A" w:rsidRPr="006C300F"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  <w:t>ou</w:t>
      </w:r>
      <w:r w:rsidR="00D85E8A">
        <w:rPr>
          <w:rFonts w:ascii="Open Sans" w:hAnsi="Open Sans" w:cs="Open Sans"/>
          <w:color w:val="000000" w:themeColor="text1"/>
          <w:sz w:val="20"/>
          <w:szCs w:val="20"/>
        </w:rPr>
        <w:t xml:space="preserve"> (</w:t>
      </w:r>
      <w:r w:rsidR="00E062C2">
        <w:rPr>
          <w:rFonts w:ascii="Open Sans" w:hAnsi="Open Sans" w:cs="Open Sans"/>
          <w:color w:val="000000" w:themeColor="text1"/>
          <w:sz w:val="20"/>
          <w:szCs w:val="20"/>
        </w:rPr>
        <w:t xml:space="preserve">a.2) </w:t>
      </w:r>
      <w:r w:rsidR="00652991" w:rsidRPr="00652991">
        <w:rPr>
          <w:rFonts w:ascii="Open Sans" w:hAnsi="Open Sans" w:cs="Open Sans"/>
          <w:color w:val="000000" w:themeColor="text1"/>
          <w:sz w:val="20"/>
          <w:szCs w:val="20"/>
        </w:rPr>
        <w:t>por meio de edital publicado no sítio eletrônico da Emissora</w:t>
      </w:r>
      <w:r w:rsidR="00D85002">
        <w:rPr>
          <w:rFonts w:ascii="Open Sans" w:hAnsi="Open Sans" w:cs="Open Sans"/>
          <w:color w:val="000000" w:themeColor="text1"/>
          <w:sz w:val="20"/>
          <w:szCs w:val="20"/>
        </w:rPr>
        <w:t>, com antecedência mínima de 20 (vinte) dias</w:t>
      </w:r>
      <w:r w:rsidR="001D5BFB">
        <w:rPr>
          <w:rFonts w:ascii="Open Sans" w:hAnsi="Open Sans" w:cs="Open Sans"/>
          <w:color w:val="000000" w:themeColor="text1"/>
          <w:sz w:val="20"/>
          <w:szCs w:val="20"/>
        </w:rPr>
        <w:t>, sem prejuízo do quanto previsto na Resolução CVM 60</w:t>
      </w:r>
      <w:r w:rsidR="006C300F">
        <w:rPr>
          <w:rFonts w:ascii="Open Sans" w:hAnsi="Open Sans" w:cs="Open Sans"/>
          <w:color w:val="000000" w:themeColor="text1"/>
          <w:sz w:val="20"/>
          <w:szCs w:val="20"/>
        </w:rPr>
        <w:t xml:space="preserve"> a respeito da convocação de [</w:t>
      </w:r>
      <w:r w:rsidR="006C300F" w:rsidRPr="00B5491B">
        <w:rPr>
          <w:rFonts w:ascii="Open Sans" w:hAnsi="Open Sans" w:cs="Open Sans"/>
          <w:color w:val="000000" w:themeColor="text1"/>
          <w:sz w:val="20"/>
          <w:szCs w:val="20"/>
        </w:rPr>
        <w:t>Assembleias Gerais]</w:t>
      </w:r>
      <w:r w:rsidR="009B489B" w:rsidRPr="00B5491B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9B489B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9B489B" w:rsidRPr="009B489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(b)</w:t>
      </w:r>
      <w:r w:rsidR="009B489B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34364D">
        <w:rPr>
          <w:rFonts w:ascii="Open Sans" w:hAnsi="Open Sans" w:cs="Open Sans"/>
          <w:color w:val="000000" w:themeColor="text1"/>
          <w:sz w:val="20"/>
          <w:szCs w:val="20"/>
        </w:rPr>
        <w:t>inclusão</w:t>
      </w:r>
      <w:r w:rsidR="00C666AA">
        <w:rPr>
          <w:rFonts w:ascii="Open Sans" w:hAnsi="Open Sans" w:cs="Open Sans"/>
          <w:color w:val="000000" w:themeColor="text1"/>
          <w:sz w:val="20"/>
          <w:szCs w:val="20"/>
        </w:rPr>
        <w:t xml:space="preserve">, na Cláusula </w:t>
      </w:r>
      <w:r w:rsidR="00A7754C" w:rsidRPr="009748D0">
        <w:rPr>
          <w:rFonts w:ascii="Open Sans" w:hAnsi="Open Sans" w:cs="Open Sans"/>
          <w:color w:val="000000" w:themeColor="text1"/>
          <w:sz w:val="20"/>
          <w:szCs w:val="20"/>
        </w:rPr>
        <w:t>[XII</w:t>
      </w:r>
      <w:r w:rsidR="00A7754C">
        <w:rPr>
          <w:rFonts w:ascii="Open Sans" w:hAnsi="Open Sans" w:cs="Open Sans"/>
          <w:color w:val="000000" w:themeColor="text1"/>
          <w:sz w:val="20"/>
          <w:szCs w:val="20"/>
        </w:rPr>
        <w:t>] do Termo de Securitização,</w:t>
      </w:r>
      <w:r w:rsidR="0034364D">
        <w:rPr>
          <w:rFonts w:ascii="Open Sans" w:hAnsi="Open Sans" w:cs="Open Sans"/>
          <w:color w:val="000000" w:themeColor="text1"/>
          <w:sz w:val="20"/>
          <w:szCs w:val="20"/>
        </w:rPr>
        <w:t xml:space="preserve"> d</w:t>
      </w:r>
      <w:r w:rsidR="00F45494">
        <w:rPr>
          <w:rFonts w:ascii="Open Sans" w:hAnsi="Open Sans" w:cs="Open Sans"/>
          <w:color w:val="000000" w:themeColor="text1"/>
          <w:sz w:val="20"/>
          <w:szCs w:val="20"/>
        </w:rPr>
        <w:t xml:space="preserve">e </w:t>
      </w:r>
      <w:r w:rsidR="00BC084C">
        <w:rPr>
          <w:rFonts w:ascii="Open Sans" w:hAnsi="Open Sans" w:cs="Open Sans"/>
          <w:color w:val="000000" w:themeColor="text1"/>
          <w:sz w:val="20"/>
          <w:szCs w:val="20"/>
        </w:rPr>
        <w:t>item</w:t>
      </w:r>
      <w:r w:rsidR="00F45494">
        <w:rPr>
          <w:rFonts w:ascii="Open Sans" w:hAnsi="Open Sans" w:cs="Open Sans"/>
          <w:color w:val="000000" w:themeColor="text1"/>
          <w:sz w:val="20"/>
          <w:szCs w:val="20"/>
        </w:rPr>
        <w:t xml:space="preserve"> no seguinte sentido</w:t>
      </w:r>
      <w:r w:rsidR="0034364D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9B489B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4ABF6926" w14:textId="2C31A841" w:rsidR="00262E10" w:rsidRDefault="00262E10" w:rsidP="00262E10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5E4AD51" w14:textId="33C7B4FE" w:rsidR="0034364D" w:rsidRDefault="00804B51" w:rsidP="00262E10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“</w:t>
      </w:r>
      <w:r w:rsidR="00DC464F"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Exclusivamente para fins da aprovação de Demonstrações Financeiras do Patrimônio Separado (conforme abaixo definido), n</w:t>
      </w:r>
      <w:r w:rsidR="0034364D"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ão é necessária a segunda convocação na hipótese de não instalação da </w:t>
      </w:r>
      <w:r w:rsidR="00F45494"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[</w:t>
      </w:r>
      <w:r w:rsidR="00F45494" w:rsidRPr="00B5491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Assembleia Gera</w:t>
      </w:r>
      <w:r w:rsidR="004D43D8" w:rsidRPr="00B5491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</w:t>
      </w:r>
      <w:r w:rsidR="00F45494" w:rsidRPr="00B5491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]</w:t>
      </w:r>
      <w:r w:rsidR="00F45494"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4D43D8"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cuja</w:t>
      </w:r>
      <w:r w:rsidR="0034364D"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Ordem do Dia </w:t>
      </w:r>
      <w:r w:rsidR="004D43D8"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contenha deliberação sobre </w:t>
      </w:r>
      <w:r w:rsidR="0034364D"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a aprovação d</w:t>
      </w:r>
      <w:r w:rsidR="00E37A9C"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</w:t>
      </w:r>
      <w:r w:rsidR="0034364D"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demonstrações financeiras do Patrimônio Separado </w:t>
      </w:r>
      <w:r w:rsidR="00447E28"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(“</w:t>
      </w:r>
      <w:r w:rsidR="00447E28" w:rsidRPr="00DC464F">
        <w:rPr>
          <w:rFonts w:ascii="Open Sans" w:hAnsi="Open Sans" w:cs="Open Sans"/>
          <w:i/>
          <w:iCs/>
          <w:color w:val="000000" w:themeColor="text1"/>
          <w:sz w:val="20"/>
          <w:szCs w:val="20"/>
          <w:u w:val="single"/>
        </w:rPr>
        <w:t>Demonstrações Financeiras do Patrimônio Separado</w:t>
      </w:r>
      <w:r w:rsidR="00447E28"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”)</w:t>
      </w:r>
      <w:r w:rsidR="00447E28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34364D"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acompanhadas de opinião não modificada do auditor independente, caso no qual as demonstrações financeiras serão consideradas automaticamente aprovadas conforme previsto no artigo 25, §2º da Resolução CVM 60.</w:t>
      </w:r>
      <w:r>
        <w:rPr>
          <w:rFonts w:ascii="Open Sans" w:hAnsi="Open Sans" w:cs="Open Sans"/>
          <w:color w:val="000000" w:themeColor="text1"/>
          <w:sz w:val="20"/>
          <w:szCs w:val="20"/>
        </w:rPr>
        <w:t>”</w:t>
      </w:r>
    </w:p>
    <w:p w14:paraId="71CC8B8D" w14:textId="77777777" w:rsidR="0034364D" w:rsidRDefault="0034364D" w:rsidP="00262E10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8108A1A" w14:textId="2EAA43E4" w:rsidR="00262E10" w:rsidRPr="00575099" w:rsidRDefault="00262E10" w:rsidP="00575099">
      <w:pPr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75099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Ficam os senhores Titulares d</w:t>
      </w:r>
      <w:r w:rsidR="007C25A2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Pr="00575099">
        <w:rPr>
          <w:rFonts w:ascii="Open Sans" w:hAnsi="Open Sans" w:cs="Open Sans"/>
          <w:color w:val="000000" w:themeColor="text1"/>
          <w:sz w:val="20"/>
          <w:szCs w:val="20"/>
        </w:rPr>
        <w:t xml:space="preserve"> CRI cientes de que, </w:t>
      </w:r>
      <w:r w:rsidR="009347D8" w:rsidRPr="00575099">
        <w:rPr>
          <w:rFonts w:ascii="Open Sans" w:hAnsi="Open Sans" w:cs="Open Sans"/>
          <w:color w:val="000000" w:themeColor="text1"/>
          <w:sz w:val="20"/>
          <w:szCs w:val="20"/>
        </w:rPr>
        <w:t xml:space="preserve">caso a Assembleia não seja instalada em virtude do não comparecimento de Titulares </w:t>
      </w:r>
      <w:r w:rsidR="00282FF5" w:rsidRPr="00575099">
        <w:rPr>
          <w:rFonts w:ascii="Open Sans" w:hAnsi="Open Sans" w:cs="Open Sans"/>
          <w:color w:val="000000" w:themeColor="text1"/>
          <w:sz w:val="20"/>
          <w:szCs w:val="20"/>
        </w:rPr>
        <w:t>d</w:t>
      </w:r>
      <w:r w:rsidR="007C25A2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9347D8" w:rsidRPr="00575099">
        <w:rPr>
          <w:rFonts w:ascii="Open Sans" w:hAnsi="Open Sans" w:cs="Open Sans"/>
          <w:color w:val="000000" w:themeColor="text1"/>
          <w:sz w:val="20"/>
          <w:szCs w:val="20"/>
        </w:rPr>
        <w:t xml:space="preserve"> CRI, </w:t>
      </w:r>
      <w:r w:rsidR="00282FF5" w:rsidRPr="00575099">
        <w:rPr>
          <w:rFonts w:ascii="Open Sans" w:hAnsi="Open Sans" w:cs="Open Sans"/>
          <w:color w:val="000000" w:themeColor="text1"/>
          <w:sz w:val="20"/>
          <w:szCs w:val="20"/>
        </w:rPr>
        <w:t xml:space="preserve">as Demonstrações Financeiras </w:t>
      </w:r>
      <w:r w:rsidR="009347D8" w:rsidRPr="00575099">
        <w:rPr>
          <w:rFonts w:ascii="Open Sans" w:hAnsi="Open Sans" w:cs="Open Sans"/>
          <w:color w:val="000000" w:themeColor="text1"/>
          <w:sz w:val="20"/>
          <w:szCs w:val="20"/>
        </w:rPr>
        <w:t>serão consideradas automaticamente aprovadas</w:t>
      </w:r>
      <w:r w:rsidR="00282FF5" w:rsidRPr="00575099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9347D8" w:rsidRPr="0057509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575099">
        <w:rPr>
          <w:rFonts w:ascii="Open Sans" w:hAnsi="Open Sans" w:cs="Open Sans"/>
          <w:color w:val="000000" w:themeColor="text1"/>
          <w:sz w:val="20"/>
          <w:szCs w:val="20"/>
        </w:rPr>
        <w:t>nos termos do §2º, do artigo 25, da Resolução CVM 60.</w:t>
      </w:r>
    </w:p>
    <w:p w14:paraId="31EACC42" w14:textId="158C85A6" w:rsidR="00D7747C" w:rsidRPr="00575099" w:rsidRDefault="00D7747C" w:rsidP="00575099">
      <w:p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C7BD84A" w14:textId="0BECE377" w:rsidR="00B9373E" w:rsidRPr="00A4188F" w:rsidRDefault="00B9373E" w:rsidP="005342CD">
      <w:pPr>
        <w:spacing w:line="276" w:lineRule="auto"/>
        <w:contextualSpacing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</w:rPr>
      </w:pPr>
      <w:r w:rsidRPr="00575099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Informações Gerais</w:t>
      </w:r>
    </w:p>
    <w:p w14:paraId="26254ECC" w14:textId="77777777" w:rsidR="00B9373E" w:rsidRPr="00A4188F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</w:p>
    <w:p w14:paraId="004CBFA1" w14:textId="40CC5B6D" w:rsidR="00B9373E" w:rsidRPr="00A4188F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eastAsia="Tahoma" w:hAnsi="Open Sans" w:cs="Open Sans"/>
          <w:color w:val="000000" w:themeColor="text1"/>
          <w:sz w:val="20"/>
          <w:szCs w:val="20"/>
        </w:rPr>
        <w:t>Quaisquer documentos e/ou informações relevantes relacionados à Ordem do Dia e que venham a ser obtidos pela Emissora serão oportunamente disponibilizados nas páginas da rede mundial de computadores da Emissora (</w:t>
      </w:r>
      <w:hyperlink r:id="rId11" w:history="1">
        <w:r w:rsidRPr="00A4188F">
          <w:rPr>
            <w:rStyle w:val="Hyperlink"/>
            <w:rFonts w:ascii="Open Sans" w:eastAsia="Tahoma" w:hAnsi="Open Sans" w:cs="Open Sans"/>
            <w:sz w:val="20"/>
            <w:szCs w:val="20"/>
          </w:rPr>
          <w:t>www.fortesec.com.br</w:t>
        </w:r>
      </w:hyperlink>
      <w:r w:rsidRPr="00A4188F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) e do Agente Fiduciário </w:t>
      </w:r>
      <w:r w:rsidR="00613487" w:rsidRPr="00613487">
        <w:rPr>
          <w:rFonts w:ascii="Open Sans" w:eastAsia="Tahoma" w:hAnsi="Open Sans" w:cs="Open Sans"/>
          <w:color w:val="000000" w:themeColor="text1"/>
          <w:sz w:val="20"/>
          <w:szCs w:val="20"/>
        </w:rPr>
        <w:t>(</w:t>
      </w:r>
      <w:hyperlink r:id="rId12" w:history="1">
        <w:r w:rsidR="00613487" w:rsidRPr="00D44993">
          <w:rPr>
            <w:rStyle w:val="Hyperlink"/>
            <w:rFonts w:ascii="Open Sans" w:eastAsia="Tahoma" w:hAnsi="Open Sans" w:cs="Open Sans"/>
            <w:sz w:val="20"/>
            <w:szCs w:val="20"/>
          </w:rPr>
          <w:t>www.simplificpavarini.com.br</w:t>
        </w:r>
      </w:hyperlink>
      <w:hyperlink r:id="rId13" w:history="1"/>
      <w:r w:rsidRPr="007C052C">
        <w:rPr>
          <w:rFonts w:ascii="Open Sans" w:eastAsia="Tahoma" w:hAnsi="Open Sans" w:cs="Open Sans"/>
          <w:color w:val="000000" w:themeColor="text1"/>
          <w:sz w:val="20"/>
          <w:szCs w:val="20"/>
        </w:rPr>
        <w:t>)</w:t>
      </w:r>
      <w:r w:rsidRPr="00A4188F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 aos Titulares de CRI, para suporte às discussões e deliberações acima descritas.</w:t>
      </w:r>
    </w:p>
    <w:p w14:paraId="241A972D" w14:textId="2B264F13" w:rsidR="00852ED4" w:rsidRPr="00A4188F" w:rsidRDefault="00852ED4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77B44871" w14:textId="7F7D69F8" w:rsidR="00852ED4" w:rsidRPr="00A4188F" w:rsidRDefault="00852ED4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eastAsia="Tahoma" w:hAnsi="Open Sans" w:cs="Open Sans"/>
          <w:color w:val="000000" w:themeColor="text1"/>
          <w:sz w:val="20"/>
          <w:szCs w:val="20"/>
        </w:rPr>
        <w:t>A Assembleia instalar-se-á, em 2ª (segunda) convocação, com a presença de qualquer número de Titulares d</w:t>
      </w:r>
      <w:r w:rsidR="007C25A2">
        <w:rPr>
          <w:rFonts w:ascii="Open Sans" w:eastAsia="Tahoma" w:hAnsi="Open Sans" w:cs="Open Sans"/>
          <w:color w:val="000000" w:themeColor="text1"/>
          <w:sz w:val="20"/>
          <w:szCs w:val="20"/>
        </w:rPr>
        <w:t>e</w:t>
      </w:r>
      <w:r w:rsidRPr="00A4188F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 CRI, excluídos os Titulares d</w:t>
      </w:r>
      <w:r w:rsidR="007C25A2">
        <w:rPr>
          <w:rFonts w:ascii="Open Sans" w:eastAsia="Tahoma" w:hAnsi="Open Sans" w:cs="Open Sans"/>
          <w:color w:val="000000" w:themeColor="text1"/>
          <w:sz w:val="20"/>
          <w:szCs w:val="20"/>
        </w:rPr>
        <w:t>e</w:t>
      </w:r>
      <w:r w:rsidRPr="00A4188F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 CRI que eventualmente não possuírem direito de voto conforme previsto no Termo de Securitização.</w:t>
      </w:r>
    </w:p>
    <w:p w14:paraId="1B603CF6" w14:textId="77777777" w:rsidR="00B9373E" w:rsidRPr="00A4188F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560F690F" w14:textId="77777777" w:rsidR="00B9373E" w:rsidRPr="00A4188F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A4188F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Documentos de Representação</w:t>
      </w:r>
    </w:p>
    <w:p w14:paraId="283E3573" w14:textId="77777777" w:rsidR="00B9373E" w:rsidRPr="00575099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</w:p>
    <w:p w14:paraId="75953DD0" w14:textId="57200D49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A Assembleia será realizada por meio da plataforma eletrônica 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para aqueles Titulares </w:t>
      </w:r>
      <w:r w:rsidRPr="007C25A2">
        <w:rPr>
          <w:rFonts w:ascii="Open Sans" w:hAnsi="Open Sans" w:cs="Open Sans"/>
          <w:color w:val="000000" w:themeColor="text1"/>
          <w:sz w:val="20"/>
          <w:szCs w:val="20"/>
        </w:rPr>
        <w:t xml:space="preserve">de CRI que enviarem para a Emissora, no endereço eletrônico </w:t>
      </w:r>
      <w:hyperlink r:id="rId14" w:history="1">
        <w:r w:rsidRPr="00A4188F">
          <w:rPr>
            <w:rStyle w:val="Hyperlink"/>
            <w:rFonts w:ascii="Open Sans" w:eastAsia="Tahoma" w:hAnsi="Open Sans" w:cs="Open Sans"/>
            <w:sz w:val="20"/>
            <w:szCs w:val="20"/>
          </w:rPr>
          <w:t>gestao@fortesec.com.br</w:t>
        </w:r>
      </w:hyperlink>
      <w:r w:rsidRPr="00A4188F">
        <w:rPr>
          <w:rFonts w:ascii="Open Sans" w:hAnsi="Open Sans" w:cs="Open Sans"/>
          <w:color w:val="000000" w:themeColor="text1"/>
          <w:sz w:val="20"/>
          <w:szCs w:val="20"/>
        </w:rPr>
        <w:t>, com cópia para o Agente Fiduciário, no endereço</w:t>
      </w:r>
      <w:r w:rsidR="007A442F">
        <w:rPr>
          <w:rFonts w:ascii="Open Sans" w:hAnsi="Open Sans" w:cs="Open Sans"/>
          <w:color w:val="000000" w:themeColor="text1"/>
          <w:sz w:val="20"/>
          <w:szCs w:val="20"/>
        </w:rPr>
        <w:t xml:space="preserve"> eletrônico </w:t>
      </w:r>
      <w:hyperlink r:id="rId15" w:history="1">
        <w:r w:rsidR="007A442F" w:rsidRPr="00D44993">
          <w:rPr>
            <w:rStyle w:val="Hyperlink"/>
            <w:rFonts w:ascii="Open Sans" w:hAnsi="Open Sans" w:cs="Open Sans"/>
            <w:sz w:val="20"/>
            <w:szCs w:val="20"/>
            <w:highlight w:val="yellow"/>
          </w:rPr>
          <w:t>agentefiduciario@vortx.com.br</w:t>
        </w:r>
      </w:hyperlink>
      <w:r w:rsidRPr="007A442F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,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preferencialmente até 2 (dois) dias antes da data de realização da </w:t>
      </w:r>
      <w:r w:rsidR="00404E1D">
        <w:rPr>
          <w:rFonts w:ascii="Open Sans" w:hAnsi="Open Sans" w:cs="Open Sans"/>
          <w:color w:val="000000" w:themeColor="text1"/>
          <w:sz w:val="20"/>
          <w:szCs w:val="20"/>
        </w:rPr>
        <w:t>Assembleia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, os seguintes documentos: </w:t>
      </w:r>
    </w:p>
    <w:p w14:paraId="797147E0" w14:textId="77777777" w:rsidR="00B9373E" w:rsidRPr="00A4188F" w:rsidRDefault="00B9373E" w:rsidP="00B9373E">
      <w:pPr>
        <w:pStyle w:val="Estil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9DF4B33" w14:textId="5312B310" w:rsidR="00B9373E" w:rsidRPr="007C25A2" w:rsidRDefault="00B9373E" w:rsidP="00575099">
      <w:pPr>
        <w:pStyle w:val="Estilo"/>
        <w:numPr>
          <w:ilvl w:val="0"/>
          <w:numId w:val="1"/>
        </w:numPr>
        <w:spacing w:line="276" w:lineRule="auto"/>
        <w:ind w:left="567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A4188F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quando pessoa física, cópia digitalizada de documento de identidade válido com foto do 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Titular de CRI; </w:t>
      </w:r>
    </w:p>
    <w:p w14:paraId="56548984" w14:textId="77777777" w:rsidR="00B9373E" w:rsidRPr="007C25A2" w:rsidRDefault="00B9373E" w:rsidP="00575099">
      <w:pPr>
        <w:pStyle w:val="Estilo"/>
        <w:spacing w:line="276" w:lineRule="auto"/>
        <w:ind w:left="567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42C6A51" w14:textId="0A40CD59" w:rsidR="00B9373E" w:rsidRPr="007C25A2" w:rsidRDefault="00B9373E" w:rsidP="00575099">
      <w:pPr>
        <w:pStyle w:val="Estilo"/>
        <w:numPr>
          <w:ilvl w:val="0"/>
          <w:numId w:val="1"/>
        </w:numPr>
        <w:spacing w:line="276" w:lineRule="auto"/>
        <w:ind w:left="567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pessoa jurídica, (</w:t>
      </w:r>
      <w:r w:rsidR="001B0229"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estatuto social ou contrato social consolidado, devidamente registrado na junta comercial competente; (</w:t>
      </w:r>
      <w:r w:rsidR="001B0229"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documentos societários que comprovem a representação legal do Titular d</w:t>
      </w:r>
      <w:r w:rsidRPr="00A4188F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e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 CRI; e (</w:t>
      </w:r>
      <w:r w:rsidR="001B0229"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</w:t>
      </w:r>
    </w:p>
    <w:p w14:paraId="36F76557" w14:textId="77777777" w:rsidR="00B9373E" w:rsidRPr="007C25A2" w:rsidRDefault="00B9373E" w:rsidP="00575099">
      <w:pPr>
        <w:pStyle w:val="Estilo"/>
        <w:spacing w:line="276" w:lineRule="auto"/>
        <w:ind w:left="567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4BF7921F" w14:textId="628C05C1" w:rsidR="00B9373E" w:rsidRPr="007C25A2" w:rsidRDefault="00B9373E" w:rsidP="00575099">
      <w:pPr>
        <w:pStyle w:val="Estilo"/>
        <w:numPr>
          <w:ilvl w:val="0"/>
          <w:numId w:val="1"/>
        </w:numPr>
        <w:spacing w:line="276" w:lineRule="auto"/>
        <w:ind w:left="567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fundo de investimento, (</w:t>
      </w:r>
      <w:r w:rsidR="001B0229"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regulamento consolidado do fundo; (</w:t>
      </w:r>
      <w:r w:rsidR="006A0628"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estatuto ou contrato social do seu administrador ou gestor, conforme o caso, observada a política de voto do fundo e documentos societários que comprovem os poderes de representação em Assembleia Geral de Titulares de CRI; e (</w:t>
      </w:r>
      <w:r w:rsidR="006A0628"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 e</w:t>
      </w:r>
    </w:p>
    <w:p w14:paraId="73AD8F18" w14:textId="77777777" w:rsidR="00B9373E" w:rsidRPr="007C25A2" w:rsidRDefault="00B9373E" w:rsidP="00575099">
      <w:pPr>
        <w:pStyle w:val="Estilo"/>
        <w:spacing w:line="276" w:lineRule="auto"/>
        <w:ind w:left="567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645771C5" w14:textId="26B9F44C" w:rsidR="00B9373E" w:rsidRPr="007C25A2" w:rsidRDefault="00B9373E" w:rsidP="00575099">
      <w:pPr>
        <w:pStyle w:val="Estilo"/>
        <w:numPr>
          <w:ilvl w:val="0"/>
          <w:numId w:val="1"/>
        </w:numPr>
        <w:spacing w:line="276" w:lineRule="auto"/>
        <w:ind w:left="567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caso qualquer dos Titulares de CRI indicados nos itens (</w:t>
      </w:r>
      <w:r w:rsidR="00AC512A"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a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a (</w:t>
      </w:r>
      <w:r w:rsidR="00AC512A"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) acima venha a ser representado por procurador, além dos respectivos documentos indicados acima, deverá encaminhar procuração com poderes específicos para sua representação na </w:t>
      </w:r>
      <w:r w:rsidR="00404E1D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Assembleia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. </w:t>
      </w:r>
    </w:p>
    <w:p w14:paraId="417F0E01" w14:textId="733CA2F1" w:rsidR="0025307E" w:rsidRPr="007C25A2" w:rsidRDefault="0025307E" w:rsidP="00575099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FA0911" w14:textId="3744BE47" w:rsidR="00B9373E" w:rsidRPr="007C25A2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7C25A2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Participação na Assembleia</w:t>
      </w:r>
    </w:p>
    <w:p w14:paraId="723AD439" w14:textId="77777777" w:rsidR="00B9373E" w:rsidRPr="007C25A2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5EC8312" w14:textId="2EBFD7DB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7C25A2">
        <w:rPr>
          <w:rFonts w:ascii="Open Sans" w:hAnsi="Open Sans" w:cs="Open Sans"/>
          <w:color w:val="000000" w:themeColor="text1"/>
          <w:sz w:val="20"/>
          <w:szCs w:val="20"/>
        </w:rPr>
        <w:t xml:space="preserve">A participação e votação dos Titulares de CRI se dará por meio da plataforma eletrônica </w:t>
      </w:r>
      <w:r w:rsidRPr="007C25A2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7C25A2">
        <w:rPr>
          <w:rFonts w:ascii="Open Sans" w:hAnsi="Open Sans" w:cs="Open Sans"/>
          <w:color w:val="000000" w:themeColor="text1"/>
          <w:sz w:val="20"/>
          <w:szCs w:val="20"/>
        </w:rPr>
        <w:t xml:space="preserve">, devendo ser observados os procedimentos descritos abaixo. Para participar via plataforma eletrônica, os Titulares de CRI interessados devem entrar em contato com a Emissora no </w:t>
      </w:r>
      <w:r w:rsidRPr="007C25A2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7C25A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6" w:history="1">
        <w:r w:rsidRPr="00A4188F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ao Agente Fiduciário, no 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="005863D0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:</w:t>
      </w:r>
      <w:r w:rsidR="006C441C" w:rsidRPr="006C441C">
        <w:t xml:space="preserve"> </w:t>
      </w:r>
      <w:hyperlink r:id="rId17" w:history="1">
        <w:r w:rsidR="006C441C" w:rsidRPr="00D44993">
          <w:rPr>
            <w:rStyle w:val="Hyperlink"/>
            <w:rFonts w:ascii="Open Sans" w:hAnsi="Open Sans" w:cs="Open Sans"/>
            <w:i/>
            <w:iCs/>
            <w:sz w:val="20"/>
            <w:szCs w:val="20"/>
            <w:highlight w:val="yellow"/>
          </w:rPr>
          <w:t>agentefiduciario@vortx.com.br</w:t>
        </w:r>
      </w:hyperlink>
      <w:r w:rsidRPr="00A4188F">
        <w:rPr>
          <w:rFonts w:ascii="Open Sans" w:hAnsi="Open Sans" w:cs="Open Sans"/>
          <w:color w:val="000000" w:themeColor="text1"/>
          <w:sz w:val="20"/>
          <w:szCs w:val="20"/>
        </w:rPr>
        <w:t>, para: (i) enviar os documentos de representação necessários (especificando o nome da pessoa natural que estará presente pela plataforma eletrônica ), em formato PDF; e (ii) receber as credenciais de acesso e instruções para sua identificação durante o uso da plataforma. O acesso via plataforma eletrônica estará restrito aos Titulares de CRI que se credenciarem, nos termos aqui descritos (“</w:t>
      </w:r>
      <w:r w:rsidRPr="00A4188F">
        <w:rPr>
          <w:rFonts w:ascii="Open Sans" w:hAnsi="Open Sans" w:cs="Open Sans"/>
          <w:color w:val="000000" w:themeColor="text1"/>
          <w:sz w:val="20"/>
          <w:szCs w:val="20"/>
          <w:u w:val="single"/>
        </w:rPr>
        <w:t>Titulares de CRI Credenciados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”). </w:t>
      </w:r>
    </w:p>
    <w:p w14:paraId="6D6D26D3" w14:textId="77777777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F774BF7" w14:textId="572A07A2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Por questões operacionais, recomenda-se que os Titulares de CRI Credenciados enviem 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e-mail 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e documentos, conforme instruções acima, com a antecedência mínima de 48 (quarenta e oito) horas da realização da Assembleia, ressalvado que, caso não seja possível o envio neste prazo, poderão participar da Assembleia os Titulares de CRI que o fizerem até o horário estipulado para a abertura dos trabalhos. </w:t>
      </w:r>
    </w:p>
    <w:p w14:paraId="6EA9F801" w14:textId="77777777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9C1DD3" w14:textId="7ECBC6B4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Os convites individuais para admissão e participação na Assembleia serão remetidos aos endereços de 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que enviarem a solicitação de participação e os documentos na forma referida no parágrafo acima (sendo remetido apenas um convite individual por Titular de CRI). Somente serão admitidos, pelos convites individuais, os Titulares de CRI Credenciados e seus representantes ou procuradores (nos termos da Lei das Sociedades por Ações). Caso</w:t>
      </w:r>
      <w:r w:rsidR="00EF2967">
        <w:rPr>
          <w:rFonts w:ascii="Open Sans" w:hAnsi="Open Sans" w:cs="Open Sans"/>
          <w:color w:val="000000" w:themeColor="text1"/>
          <w:sz w:val="20"/>
          <w:szCs w:val="20"/>
        </w:rPr>
        <w:t>, após o contato com a Emissora e o Agente Fiduciário nos moldes acima mencionados,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determinado Titular de CRI não receba o convite individual para participação na Assembleia com até 24 (vinte e quatro) horas de antecedência em relação ao horário de início da Assembleia, deverá entrar em contato com a Emissora pelo 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8" w:history="1">
        <w:r w:rsidRPr="00A4188F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4118-0614 ou com o Agente Fiduciário pelo 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="005863D0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9" w:history="1">
        <w:r w:rsidR="006C441C" w:rsidRPr="006C441C">
          <w:rPr>
            <w:rStyle w:val="Hyperlink"/>
            <w:rFonts w:ascii="Open Sans" w:hAnsi="Open Sans" w:cs="Open Sans"/>
            <w:sz w:val="20"/>
            <w:szCs w:val="20"/>
            <w:highlight w:val="yellow"/>
          </w:rPr>
          <w:t>agentefiduciario@vortx.com.br</w:t>
        </w:r>
      </w:hyperlink>
      <w:r w:rsidR="006C441C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ou pelo telefone </w:t>
      </w:r>
      <w:r w:rsidR="00710917">
        <w:t>(21) 2507-1949</w:t>
      </w:r>
      <w:r w:rsidR="00710917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com, no mínimo, 2 (duas) horas de antecedência em relação ao horário de início da Assembleia para que seja prestado o suporte adequado e, conforme o caso, o acesso do Titular de CRI seja liberado mediante o envio de novo convite individual. </w:t>
      </w:r>
    </w:p>
    <w:p w14:paraId="4530EB03" w14:textId="77777777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0B4B73F" w14:textId="0BF25DEB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A Emissora recomenda que os Titulares de CRI acessem a plataforma eletrônica com antecedência de, no mínimo, 5 (cinco) minutos do início da Assembleia a fim de evitar eventuais problemas operacionais e que os Titulares de CRI Credenciados se familiarizem previamente com a plataforma eletrônica para evitar problemas com a sua utilização no dia da Assembleia. A Emissora não se responsabiliza por problemas de conexão que os Titulares de CRI Credenciados venham a enfrentar </w:t>
      </w:r>
      <w:r w:rsidR="00730C3B"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ou por qualquer 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>outra situaç</w:t>
      </w:r>
      <w:r w:rsidR="00730C3B" w:rsidRPr="00A4188F">
        <w:rPr>
          <w:rFonts w:ascii="Open Sans" w:hAnsi="Open Sans" w:cs="Open Sans"/>
          <w:color w:val="000000" w:themeColor="text1"/>
          <w:sz w:val="20"/>
          <w:szCs w:val="20"/>
        </w:rPr>
        <w:t>ão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que não esteja sob o controle da Emissora (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e.g.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, instabilidade na conexão do Titular de CRI com a internet ou incompatibilidade da plataforma eletrônica 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com o equipamento do Titular de CRI). </w:t>
      </w:r>
    </w:p>
    <w:p w14:paraId="14C4D9C9" w14:textId="77777777" w:rsidR="0025307E" w:rsidRPr="00575099" w:rsidRDefault="0025307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EB8B63C" w14:textId="5FAC1F25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Voto </w:t>
      </w:r>
      <w:r w:rsidR="00430955" w:rsidRPr="00A4188F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a</w:t>
      </w:r>
      <w:r w:rsidRPr="00A4188F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Distância</w:t>
      </w:r>
    </w:p>
    <w:p w14:paraId="4F33E15E" w14:textId="77777777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459B2E9" w14:textId="7FD10C8C" w:rsidR="00B9373E" w:rsidRPr="00A4188F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  <w:r w:rsidRPr="00A4188F">
        <w:rPr>
          <w:rFonts w:ascii="Open Sans" w:hAnsi="Open Sans" w:cs="Open Sans"/>
          <w:color w:val="000000" w:themeColor="text1"/>
          <w:sz w:val="20"/>
          <w:lang w:val="pt-BR"/>
        </w:rPr>
        <w:lastRenderedPageBreak/>
        <w:t xml:space="preserve">Os Titulares de CRI poderão optar por exercer o seu direito de voto, sem a necessidade de ingressar por videoconferência, enviando a correspondente instrução de voto </w:t>
      </w:r>
      <w:r w:rsidR="00430955" w:rsidRPr="00A4188F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A4188F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à Emissora, com cópia ao Agente Fiduciário, preferencialmente, em até 48 (quarenta e oito) horas antes da realização da Assembleia. A Emissora disponibilizará modelo de documento a ser adotado para o envio da instrução de voto </w:t>
      </w:r>
      <w:r w:rsidR="00430955" w:rsidRPr="00A4188F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A4188F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em sua página na rede mundial de computadores (</w:t>
      </w:r>
      <w:hyperlink r:id="rId20" w:history="1">
        <w:r w:rsidRPr="00A4188F">
          <w:rPr>
            <w:rStyle w:val="Hyperlink"/>
            <w:rFonts w:ascii="Open Sans" w:eastAsia="Tahoma" w:hAnsi="Open Sans" w:cs="Open Sans"/>
            <w:sz w:val="20"/>
            <w:lang w:val="pt-BR"/>
          </w:rPr>
          <w:t>www.fortesec.com.br</w:t>
        </w:r>
      </w:hyperlink>
      <w:r w:rsidRPr="00A4188F">
        <w:rPr>
          <w:rFonts w:ascii="Open Sans" w:eastAsia="Tahoma" w:hAnsi="Open Sans" w:cs="Open Sans"/>
          <w:color w:val="000000" w:themeColor="text1"/>
          <w:sz w:val="20"/>
          <w:lang w:val="pt-BR"/>
        </w:rPr>
        <w:t xml:space="preserve">) </w:t>
      </w:r>
      <w:r w:rsidRPr="00A4188F">
        <w:rPr>
          <w:rFonts w:ascii="Open Sans" w:hAnsi="Open Sans" w:cs="Open Sans"/>
          <w:color w:val="000000" w:themeColor="text1"/>
          <w:sz w:val="20"/>
          <w:lang w:val="pt-BR"/>
        </w:rPr>
        <w:t>e na página de rede mundial de computadores na CVM. A instrução de voto deverá (i) estar devidamente preenchida e assinada pelo Titular de CRI ou por seu representante legal, de forma eletrônica, por meio de plataforma para assinaturas eletrônicas, com ou sem certificados digitais emitidos pela ICP-Brasil, (ii) ser enviada com a antecedência acima mencionada, e (iii) no caso de o Titular de CRI ser pessoa jurídica, ser enviada acompanhada dos instrumentos de procuração e/ou Contrato/Estatuto Social que comprove os respectivos poderes.</w:t>
      </w:r>
    </w:p>
    <w:bookmarkEnd w:id="2"/>
    <w:p w14:paraId="50314D5D" w14:textId="0D137C75" w:rsidR="00753DC6" w:rsidRPr="00A4188F" w:rsidRDefault="00753DC6" w:rsidP="005B57A6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0E71D5E2" w14:textId="77777777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A4188F">
        <w:rPr>
          <w:rFonts w:ascii="Open Sans" w:hAnsi="Open Sans" w:cs="Open Sans"/>
          <w:sz w:val="20"/>
          <w:szCs w:val="20"/>
        </w:rPr>
        <w:t xml:space="preserve">Os termos ora utilizados em letras maiúsculas e aqui não definidos terão os significados a eles atribuídos no Termo de Securitização. </w:t>
      </w:r>
    </w:p>
    <w:p w14:paraId="4027048F" w14:textId="77777777" w:rsidR="00B9373E" w:rsidRPr="00A4188F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</w:p>
    <w:p w14:paraId="33E6CA66" w14:textId="3BE33BEE" w:rsidR="00B9373E" w:rsidRPr="00A4188F" w:rsidRDefault="00B9373E" w:rsidP="00B9373E">
      <w:pPr>
        <w:spacing w:after="0" w:line="276" w:lineRule="auto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r w:rsidR="0021633D">
        <w:rPr>
          <w:rFonts w:ascii="Open Sans" w:hAnsi="Open Sans" w:cs="Open Sans"/>
          <w:color w:val="000000" w:themeColor="text1"/>
          <w:sz w:val="20"/>
          <w:szCs w:val="20"/>
        </w:rPr>
        <w:t xml:space="preserve">06 </w:t>
      </w:r>
      <w:r w:rsidR="009B2A5F">
        <w:rPr>
          <w:rFonts w:ascii="Open Sans" w:hAnsi="Open Sans" w:cs="Open Sans"/>
          <w:color w:val="000000" w:themeColor="text1"/>
          <w:sz w:val="20"/>
          <w:szCs w:val="20"/>
        </w:rPr>
        <w:t>de janeiro de 2023</w:t>
      </w:r>
    </w:p>
    <w:p w14:paraId="7BFAC927" w14:textId="77777777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461E40" w14:textId="697075B1" w:rsidR="00BD27C7" w:rsidRPr="00A4188F" w:rsidRDefault="00B9373E" w:rsidP="00575099">
      <w:pPr>
        <w:spacing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A4188F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sectPr w:rsidR="00BD27C7" w:rsidRPr="00A4188F" w:rsidSect="00013241">
      <w:headerReference w:type="default" r:id="rId21"/>
      <w:footerReference w:type="default" r:id="rId22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15CA" w14:textId="77777777" w:rsidR="00BB2A3F" w:rsidRDefault="00BB2A3F">
      <w:pPr>
        <w:spacing w:after="0" w:line="240" w:lineRule="auto"/>
      </w:pPr>
      <w:r>
        <w:separator/>
      </w:r>
    </w:p>
  </w:endnote>
  <w:endnote w:type="continuationSeparator" w:id="0">
    <w:p w14:paraId="5CCCA635" w14:textId="77777777" w:rsidR="00BB2A3F" w:rsidRDefault="00BB2A3F">
      <w:pPr>
        <w:spacing w:after="0" w:line="240" w:lineRule="auto"/>
      </w:pPr>
      <w:r>
        <w:continuationSeparator/>
      </w:r>
    </w:p>
  </w:endnote>
  <w:endnote w:type="continuationNotice" w:id="1">
    <w:p w14:paraId="55DCB54D" w14:textId="77777777" w:rsidR="00BB2A3F" w:rsidRDefault="00BB2A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D50451" w14:textId="77777777" w:rsidR="00013241" w:rsidRDefault="00B9373E" w:rsidP="00013241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266E" w14:textId="77777777" w:rsidR="00BB2A3F" w:rsidRDefault="00BB2A3F">
      <w:pPr>
        <w:spacing w:after="0" w:line="240" w:lineRule="auto"/>
      </w:pPr>
      <w:r>
        <w:separator/>
      </w:r>
    </w:p>
  </w:footnote>
  <w:footnote w:type="continuationSeparator" w:id="0">
    <w:p w14:paraId="48F79730" w14:textId="77777777" w:rsidR="00BB2A3F" w:rsidRDefault="00BB2A3F">
      <w:pPr>
        <w:spacing w:after="0" w:line="240" w:lineRule="auto"/>
      </w:pPr>
      <w:r>
        <w:continuationSeparator/>
      </w:r>
    </w:p>
  </w:footnote>
  <w:footnote w:type="continuationNotice" w:id="1">
    <w:p w14:paraId="27441617" w14:textId="77777777" w:rsidR="00BB2A3F" w:rsidRDefault="00BB2A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7363" w14:textId="77777777" w:rsidR="00013241" w:rsidRDefault="00B9373E" w:rsidP="00013241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D7686C9" wp14:editId="571DBA90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4577D" w14:textId="77777777" w:rsidR="00013241" w:rsidRDefault="000132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93155937">
    <w:abstractNumId w:val="1"/>
  </w:num>
  <w:num w:numId="2" w16cid:durableId="140942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3E"/>
    <w:rsid w:val="00013241"/>
    <w:rsid w:val="00014A2B"/>
    <w:rsid w:val="00062660"/>
    <w:rsid w:val="000733BC"/>
    <w:rsid w:val="00080AF2"/>
    <w:rsid w:val="00096BE0"/>
    <w:rsid w:val="000A572C"/>
    <w:rsid w:val="000C17D1"/>
    <w:rsid w:val="000C66BF"/>
    <w:rsid w:val="000E2702"/>
    <w:rsid w:val="000F0714"/>
    <w:rsid w:val="000F5025"/>
    <w:rsid w:val="00115AC8"/>
    <w:rsid w:val="0012152C"/>
    <w:rsid w:val="0012333B"/>
    <w:rsid w:val="00167255"/>
    <w:rsid w:val="0018638A"/>
    <w:rsid w:val="001A6253"/>
    <w:rsid w:val="001A7247"/>
    <w:rsid w:val="001B0229"/>
    <w:rsid w:val="001B12C1"/>
    <w:rsid w:val="001D0719"/>
    <w:rsid w:val="001D3D6A"/>
    <w:rsid w:val="001D5BFB"/>
    <w:rsid w:val="001D7899"/>
    <w:rsid w:val="002025CF"/>
    <w:rsid w:val="002039DF"/>
    <w:rsid w:val="00210E8D"/>
    <w:rsid w:val="00214AF4"/>
    <w:rsid w:val="0021633D"/>
    <w:rsid w:val="00216357"/>
    <w:rsid w:val="00225DA0"/>
    <w:rsid w:val="00246196"/>
    <w:rsid w:val="0025307E"/>
    <w:rsid w:val="00262E10"/>
    <w:rsid w:val="0027012D"/>
    <w:rsid w:val="00272FE9"/>
    <w:rsid w:val="00282FF5"/>
    <w:rsid w:val="00296D95"/>
    <w:rsid w:val="002D7155"/>
    <w:rsid w:val="002F2A73"/>
    <w:rsid w:val="00316FFA"/>
    <w:rsid w:val="003268AC"/>
    <w:rsid w:val="00342D82"/>
    <w:rsid w:val="0034364D"/>
    <w:rsid w:val="003452D7"/>
    <w:rsid w:val="00353C3F"/>
    <w:rsid w:val="0035786F"/>
    <w:rsid w:val="00363503"/>
    <w:rsid w:val="003731B5"/>
    <w:rsid w:val="00396434"/>
    <w:rsid w:val="003A5F89"/>
    <w:rsid w:val="003A64D6"/>
    <w:rsid w:val="003A7CCD"/>
    <w:rsid w:val="003C26A6"/>
    <w:rsid w:val="003C3C8B"/>
    <w:rsid w:val="003C702D"/>
    <w:rsid w:val="003D3C65"/>
    <w:rsid w:val="003F20B4"/>
    <w:rsid w:val="00400738"/>
    <w:rsid w:val="00404E1D"/>
    <w:rsid w:val="00420960"/>
    <w:rsid w:val="0042565A"/>
    <w:rsid w:val="00430955"/>
    <w:rsid w:val="00447E28"/>
    <w:rsid w:val="00452159"/>
    <w:rsid w:val="00475934"/>
    <w:rsid w:val="00487907"/>
    <w:rsid w:val="004A4063"/>
    <w:rsid w:val="004B0D35"/>
    <w:rsid w:val="004D1160"/>
    <w:rsid w:val="004D1FD8"/>
    <w:rsid w:val="004D422D"/>
    <w:rsid w:val="004D43D8"/>
    <w:rsid w:val="00517459"/>
    <w:rsid w:val="005212BB"/>
    <w:rsid w:val="005342CD"/>
    <w:rsid w:val="005664BA"/>
    <w:rsid w:val="0057282C"/>
    <w:rsid w:val="00575099"/>
    <w:rsid w:val="00575403"/>
    <w:rsid w:val="005863D0"/>
    <w:rsid w:val="0059606D"/>
    <w:rsid w:val="005A07B6"/>
    <w:rsid w:val="005B57A6"/>
    <w:rsid w:val="005C7DEE"/>
    <w:rsid w:val="005D743F"/>
    <w:rsid w:val="00600A7D"/>
    <w:rsid w:val="00604CBC"/>
    <w:rsid w:val="00613487"/>
    <w:rsid w:val="00652991"/>
    <w:rsid w:val="00676061"/>
    <w:rsid w:val="00677CB1"/>
    <w:rsid w:val="00683469"/>
    <w:rsid w:val="006A0628"/>
    <w:rsid w:val="006C300F"/>
    <w:rsid w:val="006C441C"/>
    <w:rsid w:val="006F605E"/>
    <w:rsid w:val="00710917"/>
    <w:rsid w:val="007159D0"/>
    <w:rsid w:val="00716072"/>
    <w:rsid w:val="00727A8D"/>
    <w:rsid w:val="00730C3B"/>
    <w:rsid w:val="0073763F"/>
    <w:rsid w:val="0074034B"/>
    <w:rsid w:val="00753DC6"/>
    <w:rsid w:val="00756448"/>
    <w:rsid w:val="00786E47"/>
    <w:rsid w:val="00791BE1"/>
    <w:rsid w:val="007964A4"/>
    <w:rsid w:val="007A442F"/>
    <w:rsid w:val="007C052C"/>
    <w:rsid w:val="007C25A2"/>
    <w:rsid w:val="007D00AD"/>
    <w:rsid w:val="007D25E6"/>
    <w:rsid w:val="007E6DA3"/>
    <w:rsid w:val="00804B51"/>
    <w:rsid w:val="00820E73"/>
    <w:rsid w:val="00852ED4"/>
    <w:rsid w:val="00856157"/>
    <w:rsid w:val="00874F5D"/>
    <w:rsid w:val="00884269"/>
    <w:rsid w:val="008A2149"/>
    <w:rsid w:val="008B1B67"/>
    <w:rsid w:val="008F68D3"/>
    <w:rsid w:val="00901E07"/>
    <w:rsid w:val="009027B2"/>
    <w:rsid w:val="00905360"/>
    <w:rsid w:val="009064B5"/>
    <w:rsid w:val="009132D8"/>
    <w:rsid w:val="009347D8"/>
    <w:rsid w:val="00936859"/>
    <w:rsid w:val="00962379"/>
    <w:rsid w:val="00967319"/>
    <w:rsid w:val="009748D0"/>
    <w:rsid w:val="009750E9"/>
    <w:rsid w:val="009B01E8"/>
    <w:rsid w:val="009B2A45"/>
    <w:rsid w:val="009B2A5F"/>
    <w:rsid w:val="009B35FF"/>
    <w:rsid w:val="009B489B"/>
    <w:rsid w:val="009C68BB"/>
    <w:rsid w:val="009E0FCA"/>
    <w:rsid w:val="00A0188A"/>
    <w:rsid w:val="00A169F6"/>
    <w:rsid w:val="00A23E40"/>
    <w:rsid w:val="00A34BCD"/>
    <w:rsid w:val="00A4188F"/>
    <w:rsid w:val="00A716D3"/>
    <w:rsid w:val="00A7754C"/>
    <w:rsid w:val="00A84F79"/>
    <w:rsid w:val="00AC307D"/>
    <w:rsid w:val="00AC512A"/>
    <w:rsid w:val="00AD5B5D"/>
    <w:rsid w:val="00AD67B7"/>
    <w:rsid w:val="00AF35D3"/>
    <w:rsid w:val="00B43CC2"/>
    <w:rsid w:val="00B5491B"/>
    <w:rsid w:val="00B7233E"/>
    <w:rsid w:val="00B73C4C"/>
    <w:rsid w:val="00B761F0"/>
    <w:rsid w:val="00B92EE0"/>
    <w:rsid w:val="00B9373E"/>
    <w:rsid w:val="00BA05FA"/>
    <w:rsid w:val="00BA39F8"/>
    <w:rsid w:val="00BB2A3F"/>
    <w:rsid w:val="00BB35E0"/>
    <w:rsid w:val="00BB605D"/>
    <w:rsid w:val="00BC084C"/>
    <w:rsid w:val="00BC1E29"/>
    <w:rsid w:val="00BC6218"/>
    <w:rsid w:val="00BD27C7"/>
    <w:rsid w:val="00BF0351"/>
    <w:rsid w:val="00BF5403"/>
    <w:rsid w:val="00C007D3"/>
    <w:rsid w:val="00C02DE0"/>
    <w:rsid w:val="00C230E3"/>
    <w:rsid w:val="00C25A59"/>
    <w:rsid w:val="00C305EC"/>
    <w:rsid w:val="00C47A3D"/>
    <w:rsid w:val="00C666AA"/>
    <w:rsid w:val="00C709ED"/>
    <w:rsid w:val="00C92655"/>
    <w:rsid w:val="00CD4DA6"/>
    <w:rsid w:val="00D17F3F"/>
    <w:rsid w:val="00D33CCA"/>
    <w:rsid w:val="00D465B9"/>
    <w:rsid w:val="00D73C2E"/>
    <w:rsid w:val="00D7747C"/>
    <w:rsid w:val="00D85002"/>
    <w:rsid w:val="00D85E8A"/>
    <w:rsid w:val="00DA198F"/>
    <w:rsid w:val="00DC464F"/>
    <w:rsid w:val="00DC6859"/>
    <w:rsid w:val="00DD0B21"/>
    <w:rsid w:val="00DD31D8"/>
    <w:rsid w:val="00DE4849"/>
    <w:rsid w:val="00E05106"/>
    <w:rsid w:val="00E062C2"/>
    <w:rsid w:val="00E331F4"/>
    <w:rsid w:val="00E37A9C"/>
    <w:rsid w:val="00E53BD5"/>
    <w:rsid w:val="00E72790"/>
    <w:rsid w:val="00E812C7"/>
    <w:rsid w:val="00EE12C2"/>
    <w:rsid w:val="00EF2967"/>
    <w:rsid w:val="00F23A9B"/>
    <w:rsid w:val="00F31901"/>
    <w:rsid w:val="00F35D59"/>
    <w:rsid w:val="00F416E9"/>
    <w:rsid w:val="00F45494"/>
    <w:rsid w:val="00F547CC"/>
    <w:rsid w:val="00F54DD4"/>
    <w:rsid w:val="00F71066"/>
    <w:rsid w:val="00F7495F"/>
    <w:rsid w:val="00F83427"/>
    <w:rsid w:val="00F86476"/>
    <w:rsid w:val="00F91ADB"/>
    <w:rsid w:val="00FD4B6A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9372"/>
  <w15:chartTrackingRefBased/>
  <w15:docId w15:val="{181180FD-D487-4DC5-B2D4-7FA32D21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373E"/>
    <w:rPr>
      <w:color w:val="0000FF"/>
      <w:u w:val="single"/>
    </w:rPr>
  </w:style>
  <w:style w:type="paragraph" w:customStyle="1" w:styleId="BodyCopy">
    <w:name w:val="Body Copy"/>
    <w:basedOn w:val="Normal"/>
    <w:rsid w:val="00B9373E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B9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">
    <w:name w:val="Estilo"/>
    <w:rsid w:val="00B93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B937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937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D42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42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42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42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422D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05106"/>
    <w:rPr>
      <w:color w:val="605E5C"/>
      <w:shd w:val="clear" w:color="auto" w:fill="E1DFDD"/>
    </w:rPr>
  </w:style>
  <w:style w:type="paragraph" w:customStyle="1" w:styleId="Default">
    <w:name w:val="Default"/>
    <w:rsid w:val="00D7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00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ortx.com.br" TargetMode="External"/><Relationship Id="rId18" Type="http://schemas.openxmlformats.org/officeDocument/2006/relationships/hyperlink" Target="mailto:gestao@fortesec.com.b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simplificpavarini.com.br" TargetMode="External"/><Relationship Id="rId17" Type="http://schemas.openxmlformats.org/officeDocument/2006/relationships/hyperlink" Target="mailto:agentefiduciario@vortx.com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estao@fortesec.com.br" TargetMode="External"/><Relationship Id="rId20" Type="http://schemas.openxmlformats.org/officeDocument/2006/relationships/hyperlink" Target="http://www.fortesec.com.b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tesec.com.b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gentefiduciario@vortx.com.b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agentefiduciario@vortx.com.b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estao@fortesec.com.b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2" ma:contentTypeDescription="Criar um novo documento." ma:contentTypeScope="" ma:versionID="a4e038cc68ba504e8eb54419722c7d07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b736c2e4cb3eab381d107126a0bdf4cc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HYRCNR5SWDYV-532882092-579</_dlc_DocId>
    <_dlc_DocIdUrl xmlns="b9360862-552f-4963-8e0f-4f94fc1c70f6">
      <Url>https://contatofortesec.sharepoint.com/sites/Controledeobrigaes/_layouts/15/DocIdRedir.aspx?ID=HYRCNR5SWDYV-532882092-579</Url>
      <Description>HYRCNR5SWDYV-532882092-579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ABAF5E-63FA-448D-988C-A351DD985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B11B7C-13F4-4486-839C-ED7362C3B5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68D6E6-66E5-455A-A91F-363D8F82A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357D90-CBEA-4661-B52F-EF669308082F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1625</Words>
  <Characters>8775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10380</CharactersWithSpaces>
  <SharedDoc>false</SharedDoc>
  <HLinks>
    <vt:vector size="42" baseType="variant">
      <vt:variant>
        <vt:i4>2228279</vt:i4>
      </vt:variant>
      <vt:variant>
        <vt:i4>18</vt:i4>
      </vt:variant>
      <vt:variant>
        <vt:i4>0</vt:i4>
      </vt:variant>
      <vt:variant>
        <vt:i4>5</vt:i4>
      </vt:variant>
      <vt:variant>
        <vt:lpwstr>http://www.fortesec.com.br/</vt:lpwstr>
      </vt:variant>
      <vt:variant>
        <vt:lpwstr/>
      </vt:variant>
      <vt:variant>
        <vt:i4>3145807</vt:i4>
      </vt:variant>
      <vt:variant>
        <vt:i4>15</vt:i4>
      </vt:variant>
      <vt:variant>
        <vt:i4>0</vt:i4>
      </vt:variant>
      <vt:variant>
        <vt:i4>5</vt:i4>
      </vt:variant>
      <vt:variant>
        <vt:lpwstr>mailto:gestao@fortesec.com.br</vt:lpwstr>
      </vt:variant>
      <vt:variant>
        <vt:lpwstr/>
      </vt:variant>
      <vt:variant>
        <vt:i4>1245229</vt:i4>
      </vt:variant>
      <vt:variant>
        <vt:i4>12</vt:i4>
      </vt:variant>
      <vt:variant>
        <vt:i4>0</vt:i4>
      </vt:variant>
      <vt:variant>
        <vt:i4>5</vt:i4>
      </vt:variant>
      <vt:variant>
        <vt:lpwstr>mailto:af.assembleias@oliveiratrust.com.br</vt:lpwstr>
      </vt:variant>
      <vt:variant>
        <vt:lpwstr/>
      </vt:variant>
      <vt:variant>
        <vt:i4>3145807</vt:i4>
      </vt:variant>
      <vt:variant>
        <vt:i4>9</vt:i4>
      </vt:variant>
      <vt:variant>
        <vt:i4>0</vt:i4>
      </vt:variant>
      <vt:variant>
        <vt:i4>5</vt:i4>
      </vt:variant>
      <vt:variant>
        <vt:lpwstr>mailto:gestao@fortesec.com.br</vt:lpwstr>
      </vt:variant>
      <vt:variant>
        <vt:lpwstr/>
      </vt:variant>
      <vt:variant>
        <vt:i4>3145807</vt:i4>
      </vt:variant>
      <vt:variant>
        <vt:i4>6</vt:i4>
      </vt:variant>
      <vt:variant>
        <vt:i4>0</vt:i4>
      </vt:variant>
      <vt:variant>
        <vt:i4>5</vt:i4>
      </vt:variant>
      <vt:variant>
        <vt:lpwstr>mailto:gestao@fortesec.com.br</vt:lpwstr>
      </vt:variant>
      <vt:variant>
        <vt:lpwstr/>
      </vt:variant>
      <vt:variant>
        <vt:i4>1310806</vt:i4>
      </vt:variant>
      <vt:variant>
        <vt:i4>3</vt:i4>
      </vt:variant>
      <vt:variant>
        <vt:i4>0</vt:i4>
      </vt:variant>
      <vt:variant>
        <vt:i4>5</vt:i4>
      </vt:variant>
      <vt:variant>
        <vt:lpwstr>http://www.vortx.com.br/</vt:lpwstr>
      </vt:variant>
      <vt:variant>
        <vt:lpwstr/>
      </vt:variant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http://www.fortesec.com.br/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Schiavinato</dc:creator>
  <cp:keywords/>
  <dc:description/>
  <cp:lastModifiedBy>Cintia Carla Gonçalves</cp:lastModifiedBy>
  <cp:revision>55</cp:revision>
  <cp:lastPrinted>2022-12-07T00:44:00Z</cp:lastPrinted>
  <dcterms:created xsi:type="dcterms:W3CDTF">2023-01-03T17:17:00Z</dcterms:created>
  <dcterms:modified xsi:type="dcterms:W3CDTF">2023-01-04T21:25:00Z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_dlc_DocIdItemGuid">
    <vt:lpwstr>622634d4-0d5d-4630-b4d1-036368602628</vt:lpwstr>
  </property>
  <property fmtid="{D5CDD505-2E9C-101B-9397-08002B2CF9AE}" pid="4" name="MediaServiceImageTags">
    <vt:lpwstr/>
  </property>
</Properties>
</file>