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04D2AF0D" w:rsidR="00923FDD" w:rsidRPr="005270B8" w:rsidRDefault="0057717E" w:rsidP="00271EF9">
      <w:pPr>
        <w:pBdr>
          <w:bottom w:val="double" w:sz="4" w:space="1" w:color="auto"/>
        </w:pBdr>
        <w:spacing w:line="280" w:lineRule="atLeast"/>
        <w:jc w:val="center"/>
        <w:rPr>
          <w:rFonts w:ascii="Verdana" w:hAnsi="Verdana" w:cstheme="minorHAnsi"/>
          <w:sz w:val="20"/>
          <w:szCs w:val="20"/>
        </w:rPr>
      </w:pPr>
      <w:r w:rsidRPr="0057717E">
        <w:rPr>
          <w:rFonts w:ascii="Verdana" w:hAnsi="Verdana" w:cstheme="minorHAnsi"/>
          <w:sz w:val="20"/>
          <w:szCs w:val="20"/>
          <w:highlight w:val="yellow"/>
        </w:rPr>
        <w:t>[--]</w:t>
      </w:r>
      <w:r w:rsidR="00FA7237">
        <w:rPr>
          <w:rFonts w:ascii="Verdana" w:hAnsi="Verdana" w:cstheme="minorHAnsi"/>
          <w:sz w:val="20"/>
          <w:szCs w:val="20"/>
        </w:rPr>
        <w:t xml:space="preserve"> </w:t>
      </w:r>
      <w:r w:rsidR="00D64DAF">
        <w:rPr>
          <w:rFonts w:ascii="Verdana" w:hAnsi="Verdana" w:cstheme="minorHAnsi"/>
          <w:sz w:val="20"/>
          <w:szCs w:val="20"/>
        </w:rPr>
        <w:t xml:space="preserve">de </w:t>
      </w:r>
      <w:r w:rsidR="00FA7237" w:rsidRPr="0057717E">
        <w:rPr>
          <w:rFonts w:ascii="Verdana" w:hAnsi="Verdana" w:cstheme="minorHAnsi"/>
          <w:sz w:val="20"/>
          <w:szCs w:val="20"/>
          <w:highlight w:val="yellow"/>
        </w:rPr>
        <w:t>[--]</w:t>
      </w:r>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4ABD3210" w14:textId="77777777" w:rsidR="00FE37D9"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1353081" w:history="1">
        <w:r w:rsidR="00FE37D9" w:rsidRPr="003E23EC">
          <w:rPr>
            <w:rStyle w:val="Hyperlink"/>
            <w:rFonts w:ascii="Verdana" w:hAnsi="Verdana" w:cstheme="minorHAnsi"/>
            <w:noProof/>
          </w:rPr>
          <w:t>PARTES</w:t>
        </w:r>
        <w:r w:rsidR="00FE37D9">
          <w:rPr>
            <w:noProof/>
            <w:webHidden/>
          </w:rPr>
          <w:tab/>
        </w:r>
        <w:r w:rsidR="00FE37D9">
          <w:rPr>
            <w:noProof/>
            <w:webHidden/>
          </w:rPr>
          <w:fldChar w:fldCharType="begin"/>
        </w:r>
        <w:r w:rsidR="00FE37D9">
          <w:rPr>
            <w:noProof/>
            <w:webHidden/>
          </w:rPr>
          <w:instrText xml:space="preserve"> PAGEREF _Toc61353081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57367FE7" w14:textId="77777777" w:rsidR="00FE37D9" w:rsidRDefault="00DC682B">
      <w:pPr>
        <w:pStyle w:val="Sumrio2"/>
        <w:rPr>
          <w:rFonts w:asciiTheme="minorHAnsi" w:eastAsiaTheme="minorEastAsia" w:hAnsiTheme="minorHAnsi" w:cstheme="minorBidi"/>
          <w:noProof/>
          <w:szCs w:val="22"/>
        </w:rPr>
      </w:pPr>
      <w:hyperlink w:anchor="_Toc61353082" w:history="1">
        <w:r w:rsidR="00FE37D9" w:rsidRPr="003E23EC">
          <w:rPr>
            <w:rStyle w:val="Hyperlink"/>
            <w:rFonts w:ascii="Verdana" w:hAnsi="Verdana" w:cstheme="minorHAnsi"/>
            <w:noProof/>
          </w:rPr>
          <w:t>CLÁUSULA PRIMEIRA: DEFINIÇÕES</w:t>
        </w:r>
        <w:r w:rsidR="00FE37D9">
          <w:rPr>
            <w:noProof/>
            <w:webHidden/>
          </w:rPr>
          <w:tab/>
        </w:r>
        <w:r w:rsidR="00FE37D9">
          <w:rPr>
            <w:noProof/>
            <w:webHidden/>
          </w:rPr>
          <w:fldChar w:fldCharType="begin"/>
        </w:r>
        <w:r w:rsidR="00FE37D9">
          <w:rPr>
            <w:noProof/>
            <w:webHidden/>
          </w:rPr>
          <w:instrText xml:space="preserve"> PAGEREF _Toc61353082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60D5B6EE" w14:textId="77777777" w:rsidR="00FE37D9" w:rsidRDefault="00DC682B">
      <w:pPr>
        <w:pStyle w:val="Sumrio2"/>
        <w:rPr>
          <w:rFonts w:asciiTheme="minorHAnsi" w:eastAsiaTheme="minorEastAsia" w:hAnsiTheme="minorHAnsi" w:cstheme="minorBidi"/>
          <w:noProof/>
          <w:szCs w:val="22"/>
        </w:rPr>
      </w:pPr>
      <w:hyperlink w:anchor="_Toc61353083" w:history="1">
        <w:r w:rsidR="00FE37D9" w:rsidRPr="003E23EC">
          <w:rPr>
            <w:rStyle w:val="Hyperlink"/>
            <w:rFonts w:ascii="Verdana" w:hAnsi="Verdana" w:cstheme="minorHAnsi"/>
            <w:noProof/>
          </w:rPr>
          <w:t>CLÁUSULA SEGUNDA: OBJETO E CRÉDITOS IMOBILIÁRIOS</w:t>
        </w:r>
        <w:r w:rsidR="00FE37D9">
          <w:rPr>
            <w:noProof/>
            <w:webHidden/>
          </w:rPr>
          <w:tab/>
        </w:r>
        <w:r w:rsidR="00FE37D9">
          <w:rPr>
            <w:noProof/>
            <w:webHidden/>
          </w:rPr>
          <w:fldChar w:fldCharType="begin"/>
        </w:r>
        <w:r w:rsidR="00FE37D9">
          <w:rPr>
            <w:noProof/>
            <w:webHidden/>
          </w:rPr>
          <w:instrText xml:space="preserve"> PAGEREF _Toc61353083 \h </w:instrText>
        </w:r>
        <w:r w:rsidR="00FE37D9">
          <w:rPr>
            <w:noProof/>
            <w:webHidden/>
          </w:rPr>
        </w:r>
        <w:r w:rsidR="00FE37D9">
          <w:rPr>
            <w:noProof/>
            <w:webHidden/>
          </w:rPr>
          <w:fldChar w:fldCharType="separate"/>
        </w:r>
        <w:r w:rsidR="00FE37D9">
          <w:rPr>
            <w:noProof/>
            <w:webHidden/>
          </w:rPr>
          <w:t>16</w:t>
        </w:r>
        <w:r w:rsidR="00FE37D9">
          <w:rPr>
            <w:noProof/>
            <w:webHidden/>
          </w:rPr>
          <w:fldChar w:fldCharType="end"/>
        </w:r>
      </w:hyperlink>
    </w:p>
    <w:p w14:paraId="01D7A587" w14:textId="77777777" w:rsidR="00FE37D9" w:rsidRDefault="00DC682B">
      <w:pPr>
        <w:pStyle w:val="Sumrio2"/>
        <w:rPr>
          <w:rFonts w:asciiTheme="minorHAnsi" w:eastAsiaTheme="minorEastAsia" w:hAnsiTheme="minorHAnsi" w:cstheme="minorBidi"/>
          <w:noProof/>
          <w:szCs w:val="22"/>
        </w:rPr>
      </w:pPr>
      <w:hyperlink w:anchor="_Toc61353084" w:history="1">
        <w:r w:rsidR="00FE37D9" w:rsidRPr="003E23EC">
          <w:rPr>
            <w:rStyle w:val="Hyperlink"/>
            <w:rFonts w:ascii="Verdana" w:hAnsi="Verdana" w:cstheme="minorHAnsi"/>
            <w:noProof/>
          </w:rPr>
          <w:t>CLÁUSULA TERCEIRA: IDENTIFICAÇÃO DOS CRI E FORMA DE DISTRIBUIÇÃO</w:t>
        </w:r>
        <w:r w:rsidR="00FE37D9">
          <w:rPr>
            <w:noProof/>
            <w:webHidden/>
          </w:rPr>
          <w:tab/>
        </w:r>
        <w:r w:rsidR="00FE37D9">
          <w:rPr>
            <w:noProof/>
            <w:webHidden/>
          </w:rPr>
          <w:fldChar w:fldCharType="begin"/>
        </w:r>
        <w:r w:rsidR="00FE37D9">
          <w:rPr>
            <w:noProof/>
            <w:webHidden/>
          </w:rPr>
          <w:instrText xml:space="preserve"> PAGEREF _Toc61353084 \h </w:instrText>
        </w:r>
        <w:r w:rsidR="00FE37D9">
          <w:rPr>
            <w:noProof/>
            <w:webHidden/>
          </w:rPr>
        </w:r>
        <w:r w:rsidR="00FE37D9">
          <w:rPr>
            <w:noProof/>
            <w:webHidden/>
          </w:rPr>
          <w:fldChar w:fldCharType="separate"/>
        </w:r>
        <w:r w:rsidR="00FE37D9">
          <w:rPr>
            <w:noProof/>
            <w:webHidden/>
          </w:rPr>
          <w:t>17</w:t>
        </w:r>
        <w:r w:rsidR="00FE37D9">
          <w:rPr>
            <w:noProof/>
            <w:webHidden/>
          </w:rPr>
          <w:fldChar w:fldCharType="end"/>
        </w:r>
      </w:hyperlink>
    </w:p>
    <w:p w14:paraId="48F5D015" w14:textId="77777777" w:rsidR="00FE37D9" w:rsidRDefault="00DC682B">
      <w:pPr>
        <w:pStyle w:val="Sumrio2"/>
        <w:rPr>
          <w:rFonts w:asciiTheme="minorHAnsi" w:eastAsiaTheme="minorEastAsia" w:hAnsiTheme="minorHAnsi" w:cstheme="minorBidi"/>
          <w:noProof/>
          <w:szCs w:val="22"/>
        </w:rPr>
      </w:pPr>
      <w:hyperlink w:anchor="_Toc61353085" w:history="1">
        <w:r w:rsidR="00FE37D9" w:rsidRPr="003E23EC">
          <w:rPr>
            <w:rStyle w:val="Hyperlink"/>
            <w:rFonts w:ascii="Verdana" w:hAnsi="Verdana" w:cstheme="minorHAnsi"/>
            <w:noProof/>
          </w:rPr>
          <w:t>CLÁUSULA QUARTA: SUBSCRIÇÃO E INTEGRALIZAÇÃO DOS CRI</w:t>
        </w:r>
        <w:r w:rsidR="00FE37D9">
          <w:rPr>
            <w:noProof/>
            <w:webHidden/>
          </w:rPr>
          <w:tab/>
        </w:r>
        <w:r w:rsidR="00FE37D9">
          <w:rPr>
            <w:noProof/>
            <w:webHidden/>
          </w:rPr>
          <w:fldChar w:fldCharType="begin"/>
        </w:r>
        <w:r w:rsidR="00FE37D9">
          <w:rPr>
            <w:noProof/>
            <w:webHidden/>
          </w:rPr>
          <w:instrText xml:space="preserve"> PAGEREF _Toc61353085 \h </w:instrText>
        </w:r>
        <w:r w:rsidR="00FE37D9">
          <w:rPr>
            <w:noProof/>
            <w:webHidden/>
          </w:rPr>
        </w:r>
        <w:r w:rsidR="00FE37D9">
          <w:rPr>
            <w:noProof/>
            <w:webHidden/>
          </w:rPr>
          <w:fldChar w:fldCharType="separate"/>
        </w:r>
        <w:r w:rsidR="00FE37D9">
          <w:rPr>
            <w:noProof/>
            <w:webHidden/>
          </w:rPr>
          <w:t>20</w:t>
        </w:r>
        <w:r w:rsidR="00FE37D9">
          <w:rPr>
            <w:noProof/>
            <w:webHidden/>
          </w:rPr>
          <w:fldChar w:fldCharType="end"/>
        </w:r>
      </w:hyperlink>
    </w:p>
    <w:p w14:paraId="193C9DA2" w14:textId="77777777" w:rsidR="00FE37D9" w:rsidRDefault="00DC682B">
      <w:pPr>
        <w:pStyle w:val="Sumrio2"/>
        <w:rPr>
          <w:rFonts w:asciiTheme="minorHAnsi" w:eastAsiaTheme="minorEastAsia" w:hAnsiTheme="minorHAnsi" w:cstheme="minorBidi"/>
          <w:noProof/>
          <w:szCs w:val="22"/>
        </w:rPr>
      </w:pPr>
      <w:hyperlink w:anchor="_Toc61353086" w:history="1">
        <w:r w:rsidR="00FE37D9" w:rsidRPr="003E23EC">
          <w:rPr>
            <w:rStyle w:val="Hyperlink"/>
            <w:rFonts w:ascii="Verdana" w:hAnsi="Verdana" w:cstheme="minorHAnsi"/>
            <w:noProof/>
          </w:rPr>
          <w:t>CLÁUSULA QUINTA: CÁLCULO DO VALOR NOMINAL UNITÁRIO COM ATUALIZAÇÃO MONETÁRIA, JUROS REMUNERATÓRIOS E AMORTIZAÇÃO</w:t>
        </w:r>
        <w:r w:rsidR="00FE37D9">
          <w:rPr>
            <w:noProof/>
            <w:webHidden/>
          </w:rPr>
          <w:tab/>
        </w:r>
        <w:r w:rsidR="00FE37D9">
          <w:rPr>
            <w:noProof/>
            <w:webHidden/>
          </w:rPr>
          <w:fldChar w:fldCharType="begin"/>
        </w:r>
        <w:r w:rsidR="00FE37D9">
          <w:rPr>
            <w:noProof/>
            <w:webHidden/>
          </w:rPr>
          <w:instrText xml:space="preserve"> PAGEREF _Toc61353086 \h </w:instrText>
        </w:r>
        <w:r w:rsidR="00FE37D9">
          <w:rPr>
            <w:noProof/>
            <w:webHidden/>
          </w:rPr>
        </w:r>
        <w:r w:rsidR="00FE37D9">
          <w:rPr>
            <w:noProof/>
            <w:webHidden/>
          </w:rPr>
          <w:fldChar w:fldCharType="separate"/>
        </w:r>
        <w:r w:rsidR="00FE37D9">
          <w:rPr>
            <w:noProof/>
            <w:webHidden/>
          </w:rPr>
          <w:t>22</w:t>
        </w:r>
        <w:r w:rsidR="00FE37D9">
          <w:rPr>
            <w:noProof/>
            <w:webHidden/>
          </w:rPr>
          <w:fldChar w:fldCharType="end"/>
        </w:r>
      </w:hyperlink>
    </w:p>
    <w:p w14:paraId="45781ED3" w14:textId="77777777" w:rsidR="00FE37D9" w:rsidRDefault="00DC682B">
      <w:pPr>
        <w:pStyle w:val="Sumrio2"/>
        <w:rPr>
          <w:rFonts w:asciiTheme="minorHAnsi" w:eastAsiaTheme="minorEastAsia" w:hAnsiTheme="minorHAnsi" w:cstheme="minorBidi"/>
          <w:noProof/>
          <w:szCs w:val="22"/>
        </w:rPr>
      </w:pPr>
      <w:hyperlink w:anchor="_Toc61353087" w:history="1">
        <w:r w:rsidR="00FE37D9" w:rsidRPr="003E23EC">
          <w:rPr>
            <w:rStyle w:val="Hyperlink"/>
            <w:rFonts w:ascii="Verdana" w:hAnsi="Verdana" w:cstheme="minorHAnsi"/>
            <w:noProof/>
          </w:rPr>
          <w:t>CLÁUSULA SEXTA: AMORTIZAÇÃO EXTRAORDINÁRIA E RESGATE ANTECIPADO DOS CRI</w:t>
        </w:r>
        <w:r w:rsidR="00FE37D9">
          <w:rPr>
            <w:noProof/>
            <w:webHidden/>
          </w:rPr>
          <w:tab/>
        </w:r>
        <w:r w:rsidR="00FE37D9">
          <w:rPr>
            <w:noProof/>
            <w:webHidden/>
          </w:rPr>
          <w:fldChar w:fldCharType="begin"/>
        </w:r>
        <w:r w:rsidR="00FE37D9">
          <w:rPr>
            <w:noProof/>
            <w:webHidden/>
          </w:rPr>
          <w:instrText xml:space="preserve"> PAGEREF _Toc61353087 \h </w:instrText>
        </w:r>
        <w:r w:rsidR="00FE37D9">
          <w:rPr>
            <w:noProof/>
            <w:webHidden/>
          </w:rPr>
        </w:r>
        <w:r w:rsidR="00FE37D9">
          <w:rPr>
            <w:noProof/>
            <w:webHidden/>
          </w:rPr>
          <w:fldChar w:fldCharType="separate"/>
        </w:r>
        <w:r w:rsidR="00FE37D9">
          <w:rPr>
            <w:noProof/>
            <w:webHidden/>
          </w:rPr>
          <w:t>24</w:t>
        </w:r>
        <w:r w:rsidR="00FE37D9">
          <w:rPr>
            <w:noProof/>
            <w:webHidden/>
          </w:rPr>
          <w:fldChar w:fldCharType="end"/>
        </w:r>
      </w:hyperlink>
    </w:p>
    <w:p w14:paraId="2C436FBA" w14:textId="77777777" w:rsidR="00FE37D9" w:rsidRDefault="00DC682B">
      <w:pPr>
        <w:pStyle w:val="Sumrio2"/>
        <w:rPr>
          <w:rFonts w:asciiTheme="minorHAnsi" w:eastAsiaTheme="minorEastAsia" w:hAnsiTheme="minorHAnsi" w:cstheme="minorBidi"/>
          <w:noProof/>
          <w:szCs w:val="22"/>
        </w:rPr>
      </w:pPr>
      <w:hyperlink w:anchor="_Toc61353088" w:history="1">
        <w:r w:rsidR="00FE37D9" w:rsidRPr="003E23EC">
          <w:rPr>
            <w:rStyle w:val="Hyperlink"/>
            <w:rFonts w:ascii="Verdana" w:hAnsi="Verdana" w:cstheme="minorHAnsi"/>
            <w:noProof/>
          </w:rPr>
          <w:t>CLÁUSULA SÉTIMA: OBRIGAÇÕES E DECLARAÇÕES DA EMISSORA</w:t>
        </w:r>
        <w:r w:rsidR="00FE37D9">
          <w:rPr>
            <w:noProof/>
            <w:webHidden/>
          </w:rPr>
          <w:tab/>
        </w:r>
        <w:r w:rsidR="00FE37D9">
          <w:rPr>
            <w:noProof/>
            <w:webHidden/>
          </w:rPr>
          <w:fldChar w:fldCharType="begin"/>
        </w:r>
        <w:r w:rsidR="00FE37D9">
          <w:rPr>
            <w:noProof/>
            <w:webHidden/>
          </w:rPr>
          <w:instrText xml:space="preserve"> PAGEREF _Toc61353088 \h </w:instrText>
        </w:r>
        <w:r w:rsidR="00FE37D9">
          <w:rPr>
            <w:noProof/>
            <w:webHidden/>
          </w:rPr>
        </w:r>
        <w:r w:rsidR="00FE37D9">
          <w:rPr>
            <w:noProof/>
            <w:webHidden/>
          </w:rPr>
          <w:fldChar w:fldCharType="separate"/>
        </w:r>
        <w:r w:rsidR="00FE37D9">
          <w:rPr>
            <w:noProof/>
            <w:webHidden/>
          </w:rPr>
          <w:t>31</w:t>
        </w:r>
        <w:r w:rsidR="00FE37D9">
          <w:rPr>
            <w:noProof/>
            <w:webHidden/>
          </w:rPr>
          <w:fldChar w:fldCharType="end"/>
        </w:r>
      </w:hyperlink>
    </w:p>
    <w:p w14:paraId="3221FBB4" w14:textId="77777777" w:rsidR="00FE37D9" w:rsidRDefault="00DC682B">
      <w:pPr>
        <w:pStyle w:val="Sumrio2"/>
        <w:rPr>
          <w:rFonts w:asciiTheme="minorHAnsi" w:eastAsiaTheme="minorEastAsia" w:hAnsiTheme="minorHAnsi" w:cstheme="minorBidi"/>
          <w:noProof/>
          <w:szCs w:val="22"/>
        </w:rPr>
      </w:pPr>
      <w:hyperlink w:anchor="_Toc61353089" w:history="1">
        <w:r w:rsidR="00FE37D9" w:rsidRPr="003E23EC">
          <w:rPr>
            <w:rStyle w:val="Hyperlink"/>
            <w:rFonts w:ascii="Verdana" w:hAnsi="Verdana" w:cstheme="minorHAnsi"/>
            <w:noProof/>
          </w:rPr>
          <w:t>CLÁUSULA OITAVA: GARANTIAS E FUNDO DE RESERVA</w:t>
        </w:r>
        <w:r w:rsidR="00FE37D9">
          <w:rPr>
            <w:noProof/>
            <w:webHidden/>
          </w:rPr>
          <w:tab/>
        </w:r>
        <w:r w:rsidR="00FE37D9">
          <w:rPr>
            <w:noProof/>
            <w:webHidden/>
          </w:rPr>
          <w:fldChar w:fldCharType="begin"/>
        </w:r>
        <w:r w:rsidR="00FE37D9">
          <w:rPr>
            <w:noProof/>
            <w:webHidden/>
          </w:rPr>
          <w:instrText xml:space="preserve"> PAGEREF _Toc61353089 \h </w:instrText>
        </w:r>
        <w:r w:rsidR="00FE37D9">
          <w:rPr>
            <w:noProof/>
            <w:webHidden/>
          </w:rPr>
        </w:r>
        <w:r w:rsidR="00FE37D9">
          <w:rPr>
            <w:noProof/>
            <w:webHidden/>
          </w:rPr>
          <w:fldChar w:fldCharType="separate"/>
        </w:r>
        <w:r w:rsidR="00FE37D9">
          <w:rPr>
            <w:noProof/>
            <w:webHidden/>
          </w:rPr>
          <w:t>38</w:t>
        </w:r>
        <w:r w:rsidR="00FE37D9">
          <w:rPr>
            <w:noProof/>
            <w:webHidden/>
          </w:rPr>
          <w:fldChar w:fldCharType="end"/>
        </w:r>
      </w:hyperlink>
    </w:p>
    <w:p w14:paraId="5CC1E6A8" w14:textId="77777777" w:rsidR="00FE37D9" w:rsidRDefault="00DC682B">
      <w:pPr>
        <w:pStyle w:val="Sumrio2"/>
        <w:rPr>
          <w:rFonts w:asciiTheme="minorHAnsi" w:eastAsiaTheme="minorEastAsia" w:hAnsiTheme="minorHAnsi" w:cstheme="minorBidi"/>
          <w:noProof/>
          <w:szCs w:val="22"/>
        </w:rPr>
      </w:pPr>
      <w:hyperlink w:anchor="_Toc61353090" w:history="1">
        <w:r w:rsidR="00FE37D9" w:rsidRPr="003E23EC">
          <w:rPr>
            <w:rStyle w:val="Hyperlink"/>
            <w:rFonts w:ascii="Verdana" w:hAnsi="Verdana" w:cstheme="minorHAnsi"/>
            <w:noProof/>
          </w:rPr>
          <w:t>CLÁUSULA NONA: CLASSIFICAÇÃO DE RISCO</w:t>
        </w:r>
        <w:r w:rsidR="00FE37D9">
          <w:rPr>
            <w:noProof/>
            <w:webHidden/>
          </w:rPr>
          <w:tab/>
        </w:r>
        <w:r w:rsidR="00FE37D9">
          <w:rPr>
            <w:noProof/>
            <w:webHidden/>
          </w:rPr>
          <w:fldChar w:fldCharType="begin"/>
        </w:r>
        <w:r w:rsidR="00FE37D9">
          <w:rPr>
            <w:noProof/>
            <w:webHidden/>
          </w:rPr>
          <w:instrText xml:space="preserve"> PAGEREF _Toc61353090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15BA92B3" w14:textId="77777777" w:rsidR="00FE37D9" w:rsidRDefault="00DC682B">
      <w:pPr>
        <w:pStyle w:val="Sumrio2"/>
        <w:rPr>
          <w:rFonts w:asciiTheme="minorHAnsi" w:eastAsiaTheme="minorEastAsia" w:hAnsiTheme="minorHAnsi" w:cstheme="minorBidi"/>
          <w:noProof/>
          <w:szCs w:val="22"/>
        </w:rPr>
      </w:pPr>
      <w:hyperlink w:anchor="_Toc61353091" w:history="1">
        <w:r w:rsidR="00FE37D9" w:rsidRPr="003E23EC">
          <w:rPr>
            <w:rStyle w:val="Hyperlink"/>
            <w:rFonts w:ascii="Verdana" w:hAnsi="Verdana" w:cstheme="minorHAnsi"/>
            <w:noProof/>
          </w:rPr>
          <w:t>CLÁUSULA DÉCIMA: REGIME FIDUCIÁRIO E ADMINISTRAÇÃO DO PATRIMÔNIO SEPARADO</w:t>
        </w:r>
        <w:r w:rsidR="00FE37D9">
          <w:rPr>
            <w:noProof/>
            <w:webHidden/>
          </w:rPr>
          <w:tab/>
        </w:r>
        <w:r w:rsidR="00FE37D9">
          <w:rPr>
            <w:noProof/>
            <w:webHidden/>
          </w:rPr>
          <w:fldChar w:fldCharType="begin"/>
        </w:r>
        <w:r w:rsidR="00FE37D9">
          <w:rPr>
            <w:noProof/>
            <w:webHidden/>
          </w:rPr>
          <w:instrText xml:space="preserve"> PAGEREF _Toc61353091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319AA46F" w14:textId="77777777" w:rsidR="00FE37D9" w:rsidRDefault="00DC682B">
      <w:pPr>
        <w:pStyle w:val="Sumrio2"/>
        <w:rPr>
          <w:rFonts w:asciiTheme="minorHAnsi" w:eastAsiaTheme="minorEastAsia" w:hAnsiTheme="minorHAnsi" w:cstheme="minorBidi"/>
          <w:noProof/>
          <w:szCs w:val="22"/>
        </w:rPr>
      </w:pPr>
      <w:hyperlink w:anchor="_Toc61353092" w:history="1">
        <w:r w:rsidR="00FE37D9" w:rsidRPr="003E23EC">
          <w:rPr>
            <w:rStyle w:val="Hyperlink"/>
            <w:rFonts w:ascii="Verdana" w:hAnsi="Verdana" w:cstheme="minorHAnsi"/>
            <w:noProof/>
          </w:rPr>
          <w:t>CLÁUSULA DÉCIMA PRIMEIRA: AGENTE FIDUCIÁRIO</w:t>
        </w:r>
        <w:r w:rsidR="00FE37D9">
          <w:rPr>
            <w:noProof/>
            <w:webHidden/>
          </w:rPr>
          <w:tab/>
        </w:r>
        <w:r w:rsidR="00FE37D9">
          <w:rPr>
            <w:noProof/>
            <w:webHidden/>
          </w:rPr>
          <w:fldChar w:fldCharType="begin"/>
        </w:r>
        <w:r w:rsidR="00FE37D9">
          <w:rPr>
            <w:noProof/>
            <w:webHidden/>
          </w:rPr>
          <w:instrText xml:space="preserve"> PAGEREF _Toc61353092 \h </w:instrText>
        </w:r>
        <w:r w:rsidR="00FE37D9">
          <w:rPr>
            <w:noProof/>
            <w:webHidden/>
          </w:rPr>
        </w:r>
        <w:r w:rsidR="00FE37D9">
          <w:rPr>
            <w:noProof/>
            <w:webHidden/>
          </w:rPr>
          <w:fldChar w:fldCharType="separate"/>
        </w:r>
        <w:r w:rsidR="00FE37D9">
          <w:rPr>
            <w:noProof/>
            <w:webHidden/>
          </w:rPr>
          <w:t>41</w:t>
        </w:r>
        <w:r w:rsidR="00FE37D9">
          <w:rPr>
            <w:noProof/>
            <w:webHidden/>
          </w:rPr>
          <w:fldChar w:fldCharType="end"/>
        </w:r>
      </w:hyperlink>
    </w:p>
    <w:p w14:paraId="14A31423" w14:textId="77777777" w:rsidR="00FE37D9" w:rsidRDefault="00DC682B">
      <w:pPr>
        <w:pStyle w:val="Sumrio2"/>
        <w:rPr>
          <w:rFonts w:asciiTheme="minorHAnsi" w:eastAsiaTheme="minorEastAsia" w:hAnsiTheme="minorHAnsi" w:cstheme="minorBidi"/>
          <w:noProof/>
          <w:szCs w:val="22"/>
        </w:rPr>
      </w:pPr>
      <w:hyperlink w:anchor="_Toc61353093" w:history="1">
        <w:r w:rsidR="00FE37D9" w:rsidRPr="003E23EC">
          <w:rPr>
            <w:rStyle w:val="Hyperlink"/>
            <w:rFonts w:ascii="Verdana" w:hAnsi="Verdana" w:cstheme="minorHAnsi"/>
            <w:noProof/>
          </w:rPr>
          <w:t>CLÁUSULA DÉCIMA SEGUNDA: LIQUIDAÇÃO DO PATRIMÔNIO SEPARADO</w:t>
        </w:r>
        <w:r w:rsidR="00FE37D9">
          <w:rPr>
            <w:noProof/>
            <w:webHidden/>
          </w:rPr>
          <w:tab/>
        </w:r>
        <w:r w:rsidR="00FE37D9">
          <w:rPr>
            <w:noProof/>
            <w:webHidden/>
          </w:rPr>
          <w:fldChar w:fldCharType="begin"/>
        </w:r>
        <w:r w:rsidR="00FE37D9">
          <w:rPr>
            <w:noProof/>
            <w:webHidden/>
          </w:rPr>
          <w:instrText xml:space="preserve"> PAGEREF _Toc61353093 \h </w:instrText>
        </w:r>
        <w:r w:rsidR="00FE37D9">
          <w:rPr>
            <w:noProof/>
            <w:webHidden/>
          </w:rPr>
        </w:r>
        <w:r w:rsidR="00FE37D9">
          <w:rPr>
            <w:noProof/>
            <w:webHidden/>
          </w:rPr>
          <w:fldChar w:fldCharType="separate"/>
        </w:r>
        <w:r w:rsidR="00FE37D9">
          <w:rPr>
            <w:noProof/>
            <w:webHidden/>
          </w:rPr>
          <w:t>49</w:t>
        </w:r>
        <w:r w:rsidR="00FE37D9">
          <w:rPr>
            <w:noProof/>
            <w:webHidden/>
          </w:rPr>
          <w:fldChar w:fldCharType="end"/>
        </w:r>
      </w:hyperlink>
    </w:p>
    <w:p w14:paraId="4F484613" w14:textId="77777777" w:rsidR="00FE37D9" w:rsidRDefault="00DC682B">
      <w:pPr>
        <w:pStyle w:val="Sumrio2"/>
        <w:rPr>
          <w:rFonts w:asciiTheme="minorHAnsi" w:eastAsiaTheme="minorEastAsia" w:hAnsiTheme="minorHAnsi" w:cstheme="minorBidi"/>
          <w:noProof/>
          <w:szCs w:val="22"/>
        </w:rPr>
      </w:pPr>
      <w:hyperlink w:anchor="_Toc61353094" w:history="1">
        <w:r w:rsidR="00FE37D9" w:rsidRPr="003E23EC">
          <w:rPr>
            <w:rStyle w:val="Hyperlink"/>
            <w:rFonts w:ascii="Verdana" w:hAnsi="Verdana" w:cstheme="minorHAnsi"/>
            <w:noProof/>
          </w:rPr>
          <w:t>CLÁUSULA DÉCIMA TERCEIRA: ASSEMBLEIA GERAL</w:t>
        </w:r>
        <w:r w:rsidR="00FE37D9">
          <w:rPr>
            <w:noProof/>
            <w:webHidden/>
          </w:rPr>
          <w:tab/>
        </w:r>
        <w:r w:rsidR="00FE37D9">
          <w:rPr>
            <w:noProof/>
            <w:webHidden/>
          </w:rPr>
          <w:fldChar w:fldCharType="begin"/>
        </w:r>
        <w:r w:rsidR="00FE37D9">
          <w:rPr>
            <w:noProof/>
            <w:webHidden/>
          </w:rPr>
          <w:instrText xml:space="preserve"> PAGEREF _Toc61353094 \h </w:instrText>
        </w:r>
        <w:r w:rsidR="00FE37D9">
          <w:rPr>
            <w:noProof/>
            <w:webHidden/>
          </w:rPr>
        </w:r>
        <w:r w:rsidR="00FE37D9">
          <w:rPr>
            <w:noProof/>
            <w:webHidden/>
          </w:rPr>
          <w:fldChar w:fldCharType="separate"/>
        </w:r>
        <w:r w:rsidR="00FE37D9">
          <w:rPr>
            <w:noProof/>
            <w:webHidden/>
          </w:rPr>
          <w:t>50</w:t>
        </w:r>
        <w:r w:rsidR="00FE37D9">
          <w:rPr>
            <w:noProof/>
            <w:webHidden/>
          </w:rPr>
          <w:fldChar w:fldCharType="end"/>
        </w:r>
      </w:hyperlink>
    </w:p>
    <w:p w14:paraId="22B52C0F" w14:textId="77777777" w:rsidR="00FE37D9" w:rsidRDefault="00DC682B">
      <w:pPr>
        <w:pStyle w:val="Sumrio2"/>
        <w:rPr>
          <w:rFonts w:asciiTheme="minorHAnsi" w:eastAsiaTheme="minorEastAsia" w:hAnsiTheme="minorHAnsi" w:cstheme="minorBidi"/>
          <w:noProof/>
          <w:szCs w:val="22"/>
        </w:rPr>
      </w:pPr>
      <w:hyperlink w:anchor="_Toc61353095" w:history="1">
        <w:r w:rsidR="00FE37D9" w:rsidRPr="003E23EC">
          <w:rPr>
            <w:rStyle w:val="Hyperlink"/>
            <w:rFonts w:ascii="Verdana" w:hAnsi="Verdana" w:cstheme="minorHAnsi"/>
            <w:noProof/>
          </w:rPr>
          <w:t>CLÁUSULA DÉCIMA QUARTA: DESPESAS DO PATRIMÔNIO SEPARADO E FUNDO DE DESPESAS</w:t>
        </w:r>
        <w:r w:rsidR="00FE37D9">
          <w:rPr>
            <w:noProof/>
            <w:webHidden/>
          </w:rPr>
          <w:tab/>
        </w:r>
        <w:r w:rsidR="00FE37D9">
          <w:rPr>
            <w:noProof/>
            <w:webHidden/>
          </w:rPr>
          <w:fldChar w:fldCharType="begin"/>
        </w:r>
        <w:r w:rsidR="00FE37D9">
          <w:rPr>
            <w:noProof/>
            <w:webHidden/>
          </w:rPr>
          <w:instrText xml:space="preserve"> PAGEREF _Toc61353095 \h </w:instrText>
        </w:r>
        <w:r w:rsidR="00FE37D9">
          <w:rPr>
            <w:noProof/>
            <w:webHidden/>
          </w:rPr>
        </w:r>
        <w:r w:rsidR="00FE37D9">
          <w:rPr>
            <w:noProof/>
            <w:webHidden/>
          </w:rPr>
          <w:fldChar w:fldCharType="separate"/>
        </w:r>
        <w:r w:rsidR="00FE37D9">
          <w:rPr>
            <w:noProof/>
            <w:webHidden/>
          </w:rPr>
          <w:t>53</w:t>
        </w:r>
        <w:r w:rsidR="00FE37D9">
          <w:rPr>
            <w:noProof/>
            <w:webHidden/>
          </w:rPr>
          <w:fldChar w:fldCharType="end"/>
        </w:r>
      </w:hyperlink>
    </w:p>
    <w:p w14:paraId="1B67F72B" w14:textId="77777777" w:rsidR="00FE37D9" w:rsidRDefault="00DC682B">
      <w:pPr>
        <w:pStyle w:val="Sumrio2"/>
        <w:rPr>
          <w:rFonts w:asciiTheme="minorHAnsi" w:eastAsiaTheme="minorEastAsia" w:hAnsiTheme="minorHAnsi" w:cstheme="minorBidi"/>
          <w:noProof/>
          <w:szCs w:val="22"/>
        </w:rPr>
      </w:pPr>
      <w:hyperlink w:anchor="_Toc61353096" w:history="1">
        <w:r w:rsidR="00FE37D9" w:rsidRPr="003E23EC">
          <w:rPr>
            <w:rStyle w:val="Hyperlink"/>
            <w:rFonts w:ascii="Verdana" w:hAnsi="Verdana" w:cstheme="minorHAnsi"/>
            <w:noProof/>
          </w:rPr>
          <w:t>CLÁUSULA DÉCIMA QUINTA: TRATAMENTO TRIBUTÁRIO APLICÁVEL AOS TITULARES DOS CRI</w:t>
        </w:r>
        <w:r w:rsidR="00FE37D9">
          <w:rPr>
            <w:noProof/>
            <w:webHidden/>
          </w:rPr>
          <w:tab/>
        </w:r>
        <w:r w:rsidR="00FE37D9">
          <w:rPr>
            <w:noProof/>
            <w:webHidden/>
          </w:rPr>
          <w:fldChar w:fldCharType="begin"/>
        </w:r>
        <w:r w:rsidR="00FE37D9">
          <w:rPr>
            <w:noProof/>
            <w:webHidden/>
          </w:rPr>
          <w:instrText xml:space="preserve"> PAGEREF _Toc61353096 \h </w:instrText>
        </w:r>
        <w:r w:rsidR="00FE37D9">
          <w:rPr>
            <w:noProof/>
            <w:webHidden/>
          </w:rPr>
        </w:r>
        <w:r w:rsidR="00FE37D9">
          <w:rPr>
            <w:noProof/>
            <w:webHidden/>
          </w:rPr>
          <w:fldChar w:fldCharType="separate"/>
        </w:r>
        <w:r w:rsidR="00FE37D9">
          <w:rPr>
            <w:noProof/>
            <w:webHidden/>
          </w:rPr>
          <w:t>60</w:t>
        </w:r>
        <w:r w:rsidR="00FE37D9">
          <w:rPr>
            <w:noProof/>
            <w:webHidden/>
          </w:rPr>
          <w:fldChar w:fldCharType="end"/>
        </w:r>
      </w:hyperlink>
    </w:p>
    <w:p w14:paraId="7E81FD8A" w14:textId="77777777" w:rsidR="00FE37D9" w:rsidRDefault="00DC682B">
      <w:pPr>
        <w:pStyle w:val="Sumrio2"/>
        <w:rPr>
          <w:rFonts w:asciiTheme="minorHAnsi" w:eastAsiaTheme="minorEastAsia" w:hAnsiTheme="minorHAnsi" w:cstheme="minorBidi"/>
          <w:noProof/>
          <w:szCs w:val="22"/>
        </w:rPr>
      </w:pPr>
      <w:hyperlink w:anchor="_Toc61353097" w:history="1">
        <w:r w:rsidR="00FE37D9" w:rsidRPr="003E23EC">
          <w:rPr>
            <w:rStyle w:val="Hyperlink"/>
            <w:rFonts w:ascii="Verdana" w:hAnsi="Verdana" w:cstheme="minorHAnsi"/>
            <w:noProof/>
          </w:rPr>
          <w:t>CLÁUSULA DÉCIMA SEXTA: PUBLICIDADE</w:t>
        </w:r>
        <w:r w:rsidR="00FE37D9">
          <w:rPr>
            <w:noProof/>
            <w:webHidden/>
          </w:rPr>
          <w:tab/>
        </w:r>
        <w:r w:rsidR="00FE37D9">
          <w:rPr>
            <w:noProof/>
            <w:webHidden/>
          </w:rPr>
          <w:fldChar w:fldCharType="begin"/>
        </w:r>
        <w:r w:rsidR="00FE37D9">
          <w:rPr>
            <w:noProof/>
            <w:webHidden/>
          </w:rPr>
          <w:instrText xml:space="preserve"> PAGEREF _Toc61353097 \h </w:instrText>
        </w:r>
        <w:r w:rsidR="00FE37D9">
          <w:rPr>
            <w:noProof/>
            <w:webHidden/>
          </w:rPr>
        </w:r>
        <w:r w:rsidR="00FE37D9">
          <w:rPr>
            <w:noProof/>
            <w:webHidden/>
          </w:rPr>
          <w:fldChar w:fldCharType="separate"/>
        </w:r>
        <w:r w:rsidR="00FE37D9">
          <w:rPr>
            <w:noProof/>
            <w:webHidden/>
          </w:rPr>
          <w:t>62</w:t>
        </w:r>
        <w:r w:rsidR="00FE37D9">
          <w:rPr>
            <w:noProof/>
            <w:webHidden/>
          </w:rPr>
          <w:fldChar w:fldCharType="end"/>
        </w:r>
      </w:hyperlink>
    </w:p>
    <w:p w14:paraId="5BE89DED" w14:textId="77777777" w:rsidR="00FE37D9" w:rsidRDefault="00DC682B">
      <w:pPr>
        <w:pStyle w:val="Sumrio2"/>
        <w:rPr>
          <w:rFonts w:asciiTheme="minorHAnsi" w:eastAsiaTheme="minorEastAsia" w:hAnsiTheme="minorHAnsi" w:cstheme="minorBidi"/>
          <w:noProof/>
          <w:szCs w:val="22"/>
        </w:rPr>
      </w:pPr>
      <w:hyperlink w:anchor="_Toc61353098" w:history="1">
        <w:r w:rsidR="00FE37D9" w:rsidRPr="003E23EC">
          <w:rPr>
            <w:rStyle w:val="Hyperlink"/>
            <w:rFonts w:ascii="Verdana" w:hAnsi="Verdana" w:cstheme="minorHAnsi"/>
            <w:noProof/>
          </w:rPr>
          <w:t>CLÁUSULA DÉCIMA SÉTIMA: REGISTROS</w:t>
        </w:r>
        <w:r w:rsidR="00FE37D9">
          <w:rPr>
            <w:noProof/>
            <w:webHidden/>
          </w:rPr>
          <w:tab/>
        </w:r>
        <w:r w:rsidR="00FE37D9">
          <w:rPr>
            <w:noProof/>
            <w:webHidden/>
          </w:rPr>
          <w:fldChar w:fldCharType="begin"/>
        </w:r>
        <w:r w:rsidR="00FE37D9">
          <w:rPr>
            <w:noProof/>
            <w:webHidden/>
          </w:rPr>
          <w:instrText xml:space="preserve"> PAGEREF _Toc61353098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05FF849D" w14:textId="77777777" w:rsidR="00FE37D9" w:rsidRDefault="00DC682B">
      <w:pPr>
        <w:pStyle w:val="Sumrio2"/>
        <w:rPr>
          <w:rFonts w:asciiTheme="minorHAnsi" w:eastAsiaTheme="minorEastAsia" w:hAnsiTheme="minorHAnsi" w:cstheme="minorBidi"/>
          <w:noProof/>
          <w:szCs w:val="22"/>
        </w:rPr>
      </w:pPr>
      <w:hyperlink w:anchor="_Toc61353099" w:history="1">
        <w:r w:rsidR="00FE37D9" w:rsidRPr="003E23EC">
          <w:rPr>
            <w:rStyle w:val="Hyperlink"/>
            <w:rFonts w:ascii="Verdana" w:hAnsi="Verdana" w:cstheme="minorHAnsi"/>
            <w:noProof/>
          </w:rPr>
          <w:t>CLÁUSULA DÉCIMA OITAVA: FATORES DE RISCOS</w:t>
        </w:r>
        <w:r w:rsidR="00FE37D9">
          <w:rPr>
            <w:noProof/>
            <w:webHidden/>
          </w:rPr>
          <w:tab/>
        </w:r>
        <w:r w:rsidR="00FE37D9">
          <w:rPr>
            <w:noProof/>
            <w:webHidden/>
          </w:rPr>
          <w:fldChar w:fldCharType="begin"/>
        </w:r>
        <w:r w:rsidR="00FE37D9">
          <w:rPr>
            <w:noProof/>
            <w:webHidden/>
          </w:rPr>
          <w:instrText xml:space="preserve"> PAGEREF _Toc61353099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368F23A6" w14:textId="77777777" w:rsidR="00FE37D9" w:rsidRDefault="00DC682B">
      <w:pPr>
        <w:pStyle w:val="Sumrio2"/>
        <w:rPr>
          <w:rFonts w:asciiTheme="minorHAnsi" w:eastAsiaTheme="minorEastAsia" w:hAnsiTheme="minorHAnsi" w:cstheme="minorBidi"/>
          <w:noProof/>
          <w:szCs w:val="22"/>
        </w:rPr>
      </w:pPr>
      <w:hyperlink w:anchor="_Toc61353100" w:history="1">
        <w:r w:rsidR="00FE37D9" w:rsidRPr="003E23EC">
          <w:rPr>
            <w:rStyle w:val="Hyperlink"/>
            <w:rFonts w:ascii="Verdana" w:hAnsi="Verdana" w:cstheme="minorHAnsi"/>
            <w:noProof/>
          </w:rPr>
          <w:t>CLÁUSULA VIGÉSIMA: DISPOSIÇÕES GERAIS</w:t>
        </w:r>
        <w:r w:rsidR="00FE37D9">
          <w:rPr>
            <w:noProof/>
            <w:webHidden/>
          </w:rPr>
          <w:tab/>
        </w:r>
        <w:r w:rsidR="00FE37D9">
          <w:rPr>
            <w:noProof/>
            <w:webHidden/>
          </w:rPr>
          <w:fldChar w:fldCharType="begin"/>
        </w:r>
        <w:r w:rsidR="00FE37D9">
          <w:rPr>
            <w:noProof/>
            <w:webHidden/>
          </w:rPr>
          <w:instrText xml:space="preserve"> PAGEREF _Toc61353100 \h </w:instrText>
        </w:r>
        <w:r w:rsidR="00FE37D9">
          <w:rPr>
            <w:noProof/>
            <w:webHidden/>
          </w:rPr>
        </w:r>
        <w:r w:rsidR="00FE37D9">
          <w:rPr>
            <w:noProof/>
            <w:webHidden/>
          </w:rPr>
          <w:fldChar w:fldCharType="separate"/>
        </w:r>
        <w:r w:rsidR="00FE37D9">
          <w:rPr>
            <w:noProof/>
            <w:webHidden/>
          </w:rPr>
          <w:t>82</w:t>
        </w:r>
        <w:r w:rsidR="00FE37D9">
          <w:rPr>
            <w:noProof/>
            <w:webHidden/>
          </w:rPr>
          <w:fldChar w:fldCharType="end"/>
        </w:r>
      </w:hyperlink>
    </w:p>
    <w:p w14:paraId="2C575C04" w14:textId="77777777" w:rsidR="00FE37D9" w:rsidRDefault="00DC682B">
      <w:pPr>
        <w:pStyle w:val="Sumrio2"/>
        <w:rPr>
          <w:rFonts w:asciiTheme="minorHAnsi" w:eastAsiaTheme="minorEastAsia" w:hAnsiTheme="minorHAnsi" w:cstheme="minorBidi"/>
          <w:noProof/>
          <w:szCs w:val="22"/>
        </w:rPr>
      </w:pPr>
      <w:hyperlink w:anchor="_Toc61353101" w:history="1">
        <w:r w:rsidR="00FE37D9" w:rsidRPr="003E23EC">
          <w:rPr>
            <w:rStyle w:val="Hyperlink"/>
            <w:rFonts w:ascii="Verdana" w:hAnsi="Verdana" w:cstheme="minorHAnsi"/>
            <w:noProof/>
          </w:rPr>
          <w:t>ANEXO I – CARACTERÍSTICAS GERAIS DOS CRÉDITOS IMOBILIÁRIOS</w:t>
        </w:r>
        <w:r w:rsidR="00FE37D9">
          <w:rPr>
            <w:noProof/>
            <w:webHidden/>
          </w:rPr>
          <w:tab/>
        </w:r>
        <w:r w:rsidR="00FE37D9">
          <w:rPr>
            <w:noProof/>
            <w:webHidden/>
          </w:rPr>
          <w:fldChar w:fldCharType="begin"/>
        </w:r>
        <w:r w:rsidR="00FE37D9">
          <w:rPr>
            <w:noProof/>
            <w:webHidden/>
          </w:rPr>
          <w:instrText xml:space="preserve"> PAGEREF _Toc61353101 \h </w:instrText>
        </w:r>
        <w:r w:rsidR="00FE37D9">
          <w:rPr>
            <w:noProof/>
            <w:webHidden/>
          </w:rPr>
        </w:r>
        <w:r w:rsidR="00FE37D9">
          <w:rPr>
            <w:noProof/>
            <w:webHidden/>
          </w:rPr>
          <w:fldChar w:fldCharType="separate"/>
        </w:r>
        <w:r w:rsidR="00FE37D9">
          <w:rPr>
            <w:noProof/>
            <w:webHidden/>
          </w:rPr>
          <w:t>88</w:t>
        </w:r>
        <w:r w:rsidR="00FE37D9">
          <w:rPr>
            <w:noProof/>
            <w:webHidden/>
          </w:rPr>
          <w:fldChar w:fldCharType="end"/>
        </w:r>
      </w:hyperlink>
    </w:p>
    <w:p w14:paraId="2E71CE96" w14:textId="77777777" w:rsidR="00FE37D9" w:rsidRDefault="00DC682B">
      <w:pPr>
        <w:pStyle w:val="Sumrio2"/>
        <w:rPr>
          <w:rFonts w:asciiTheme="minorHAnsi" w:eastAsiaTheme="minorEastAsia" w:hAnsiTheme="minorHAnsi" w:cstheme="minorBidi"/>
          <w:noProof/>
          <w:szCs w:val="22"/>
        </w:rPr>
      </w:pPr>
      <w:hyperlink w:anchor="_Toc61353102" w:history="1">
        <w:r w:rsidR="00FE37D9" w:rsidRPr="003E23EC">
          <w:rPr>
            <w:rStyle w:val="Hyperlink"/>
            <w:rFonts w:ascii="Verdana" w:hAnsi="Verdana" w:cstheme="minorHAnsi"/>
            <w:noProof/>
          </w:rPr>
          <w:t>ANEXO III - DECLARAÇÃO DO COORDENADOR LÍDER</w:t>
        </w:r>
        <w:r w:rsidR="00FE37D9">
          <w:rPr>
            <w:noProof/>
            <w:webHidden/>
          </w:rPr>
          <w:tab/>
        </w:r>
        <w:r w:rsidR="00FE37D9">
          <w:rPr>
            <w:noProof/>
            <w:webHidden/>
          </w:rPr>
          <w:fldChar w:fldCharType="begin"/>
        </w:r>
        <w:r w:rsidR="00FE37D9">
          <w:rPr>
            <w:noProof/>
            <w:webHidden/>
          </w:rPr>
          <w:instrText xml:space="preserve"> PAGEREF _Toc61353102 \h </w:instrText>
        </w:r>
        <w:r w:rsidR="00FE37D9">
          <w:rPr>
            <w:noProof/>
            <w:webHidden/>
          </w:rPr>
        </w:r>
        <w:r w:rsidR="00FE37D9">
          <w:rPr>
            <w:noProof/>
            <w:webHidden/>
          </w:rPr>
          <w:fldChar w:fldCharType="separate"/>
        </w:r>
        <w:r w:rsidR="00FE37D9">
          <w:rPr>
            <w:noProof/>
            <w:webHidden/>
          </w:rPr>
          <w:t>90</w:t>
        </w:r>
        <w:r w:rsidR="00FE37D9">
          <w:rPr>
            <w:noProof/>
            <w:webHidden/>
          </w:rPr>
          <w:fldChar w:fldCharType="end"/>
        </w:r>
      </w:hyperlink>
    </w:p>
    <w:p w14:paraId="5F0F0EC2" w14:textId="77777777" w:rsidR="00FE37D9" w:rsidRDefault="00DC682B">
      <w:pPr>
        <w:pStyle w:val="Sumrio2"/>
        <w:rPr>
          <w:rFonts w:asciiTheme="minorHAnsi" w:eastAsiaTheme="minorEastAsia" w:hAnsiTheme="minorHAnsi" w:cstheme="minorBidi"/>
          <w:noProof/>
          <w:szCs w:val="22"/>
        </w:rPr>
      </w:pPr>
      <w:hyperlink w:anchor="_Toc61353103" w:history="1">
        <w:r w:rsidR="00FE37D9" w:rsidRPr="003E23EC">
          <w:rPr>
            <w:rStyle w:val="Hyperlink"/>
            <w:rFonts w:ascii="Verdana" w:hAnsi="Verdana" w:cstheme="minorHAnsi"/>
            <w:noProof/>
          </w:rPr>
          <w:t>ANEXO IV - DECLARAÇÃO DA EMISSORA</w:t>
        </w:r>
        <w:r w:rsidR="00FE37D9">
          <w:rPr>
            <w:noProof/>
            <w:webHidden/>
          </w:rPr>
          <w:tab/>
        </w:r>
        <w:r w:rsidR="00FE37D9">
          <w:rPr>
            <w:noProof/>
            <w:webHidden/>
          </w:rPr>
          <w:fldChar w:fldCharType="begin"/>
        </w:r>
        <w:r w:rsidR="00FE37D9">
          <w:rPr>
            <w:noProof/>
            <w:webHidden/>
          </w:rPr>
          <w:instrText xml:space="preserve"> PAGEREF _Toc61353103 \h </w:instrText>
        </w:r>
        <w:r w:rsidR="00FE37D9">
          <w:rPr>
            <w:noProof/>
            <w:webHidden/>
          </w:rPr>
        </w:r>
        <w:r w:rsidR="00FE37D9">
          <w:rPr>
            <w:noProof/>
            <w:webHidden/>
          </w:rPr>
          <w:fldChar w:fldCharType="separate"/>
        </w:r>
        <w:r w:rsidR="00FE37D9">
          <w:rPr>
            <w:noProof/>
            <w:webHidden/>
          </w:rPr>
          <w:t>92</w:t>
        </w:r>
        <w:r w:rsidR="00FE37D9">
          <w:rPr>
            <w:noProof/>
            <w:webHidden/>
          </w:rPr>
          <w:fldChar w:fldCharType="end"/>
        </w:r>
      </w:hyperlink>
    </w:p>
    <w:p w14:paraId="5FB60024" w14:textId="77777777" w:rsidR="00FE37D9" w:rsidRDefault="00DC682B">
      <w:pPr>
        <w:pStyle w:val="Sumrio2"/>
        <w:rPr>
          <w:rFonts w:asciiTheme="minorHAnsi" w:eastAsiaTheme="minorEastAsia" w:hAnsiTheme="minorHAnsi" w:cstheme="minorBidi"/>
          <w:noProof/>
          <w:szCs w:val="22"/>
        </w:rPr>
      </w:pPr>
      <w:hyperlink w:anchor="_Toc61353104" w:history="1">
        <w:r w:rsidR="00FE37D9" w:rsidRPr="003E23EC">
          <w:rPr>
            <w:rStyle w:val="Hyperlink"/>
            <w:rFonts w:ascii="Verdana" w:hAnsi="Verdana" w:cstheme="minorHAnsi"/>
            <w:noProof/>
          </w:rPr>
          <w:t>ANEXO V - DECLARAÇÃO DO AGENTE FIDUCIÁRIO</w:t>
        </w:r>
        <w:r w:rsidR="00FE37D9">
          <w:rPr>
            <w:noProof/>
            <w:webHidden/>
          </w:rPr>
          <w:tab/>
        </w:r>
        <w:r w:rsidR="00FE37D9">
          <w:rPr>
            <w:noProof/>
            <w:webHidden/>
          </w:rPr>
          <w:fldChar w:fldCharType="begin"/>
        </w:r>
        <w:r w:rsidR="00FE37D9">
          <w:rPr>
            <w:noProof/>
            <w:webHidden/>
          </w:rPr>
          <w:instrText xml:space="preserve"> PAGEREF _Toc61353104 \h </w:instrText>
        </w:r>
        <w:r w:rsidR="00FE37D9">
          <w:rPr>
            <w:noProof/>
            <w:webHidden/>
          </w:rPr>
        </w:r>
        <w:r w:rsidR="00FE37D9">
          <w:rPr>
            <w:noProof/>
            <w:webHidden/>
          </w:rPr>
          <w:fldChar w:fldCharType="separate"/>
        </w:r>
        <w:r w:rsidR="00FE37D9">
          <w:rPr>
            <w:noProof/>
            <w:webHidden/>
          </w:rPr>
          <w:t>94</w:t>
        </w:r>
        <w:r w:rsidR="00FE37D9">
          <w:rPr>
            <w:noProof/>
            <w:webHidden/>
          </w:rPr>
          <w:fldChar w:fldCharType="end"/>
        </w:r>
      </w:hyperlink>
    </w:p>
    <w:p w14:paraId="643052D9" w14:textId="77777777" w:rsidR="00FE37D9" w:rsidRDefault="00DC682B">
      <w:pPr>
        <w:pStyle w:val="Sumrio2"/>
        <w:rPr>
          <w:rFonts w:asciiTheme="minorHAnsi" w:eastAsiaTheme="minorEastAsia" w:hAnsiTheme="minorHAnsi" w:cstheme="minorBidi"/>
          <w:noProof/>
          <w:szCs w:val="22"/>
        </w:rPr>
      </w:pPr>
      <w:hyperlink w:anchor="_Toc61353105" w:history="1">
        <w:r w:rsidR="00FE37D9" w:rsidRPr="003E23EC">
          <w:rPr>
            <w:rStyle w:val="Hyperlink"/>
            <w:rFonts w:ascii="Verdana" w:hAnsi="Verdana" w:cstheme="minorHAnsi"/>
            <w:noProof/>
          </w:rPr>
          <w:t>ANEXO VI - DECLARAÇÃO DA INSTITUIÇÃO CUSTODIANTE</w:t>
        </w:r>
        <w:r w:rsidR="00FE37D9">
          <w:rPr>
            <w:noProof/>
            <w:webHidden/>
          </w:rPr>
          <w:tab/>
        </w:r>
        <w:r w:rsidR="00FE37D9">
          <w:rPr>
            <w:noProof/>
            <w:webHidden/>
          </w:rPr>
          <w:fldChar w:fldCharType="begin"/>
        </w:r>
        <w:r w:rsidR="00FE37D9">
          <w:rPr>
            <w:noProof/>
            <w:webHidden/>
          </w:rPr>
          <w:instrText xml:space="preserve"> PAGEREF _Toc61353105 \h </w:instrText>
        </w:r>
        <w:r w:rsidR="00FE37D9">
          <w:rPr>
            <w:noProof/>
            <w:webHidden/>
          </w:rPr>
        </w:r>
        <w:r w:rsidR="00FE37D9">
          <w:rPr>
            <w:noProof/>
            <w:webHidden/>
          </w:rPr>
          <w:fldChar w:fldCharType="separate"/>
        </w:r>
        <w:r w:rsidR="00FE37D9">
          <w:rPr>
            <w:noProof/>
            <w:webHidden/>
          </w:rPr>
          <w:t>96</w:t>
        </w:r>
        <w:r w:rsidR="00FE37D9">
          <w:rPr>
            <w:noProof/>
            <w:webHidden/>
          </w:rPr>
          <w:fldChar w:fldCharType="end"/>
        </w:r>
      </w:hyperlink>
    </w:p>
    <w:p w14:paraId="2CE72CA5" w14:textId="77777777" w:rsidR="00FE37D9" w:rsidRDefault="00DC682B">
      <w:pPr>
        <w:pStyle w:val="Sumrio1"/>
        <w:rPr>
          <w:rFonts w:asciiTheme="minorHAnsi" w:eastAsiaTheme="minorEastAsia" w:hAnsiTheme="minorHAnsi" w:cstheme="minorBidi"/>
          <w:sz w:val="22"/>
          <w:szCs w:val="22"/>
        </w:rPr>
      </w:pPr>
      <w:hyperlink w:anchor="_Toc61353106" w:history="1">
        <w:r w:rsidR="00FE37D9" w:rsidRPr="003E23EC">
          <w:rPr>
            <w:rStyle w:val="Hyperlink"/>
            <w:rFonts w:ascii="Verdana" w:hAnsi="Verdana" w:cstheme="minorHAnsi"/>
          </w:rPr>
          <w:t>ANEXO IX -</w:t>
        </w:r>
        <w:r w:rsidR="00FE37D9">
          <w:rPr>
            <w:webHidden/>
          </w:rPr>
          <w:tab/>
        </w:r>
        <w:r w:rsidR="00FE37D9">
          <w:rPr>
            <w:webHidden/>
          </w:rPr>
          <w:fldChar w:fldCharType="begin"/>
        </w:r>
        <w:r w:rsidR="00FE37D9">
          <w:rPr>
            <w:webHidden/>
          </w:rPr>
          <w:instrText xml:space="preserve"> PAGEREF _Toc61353106 \h </w:instrText>
        </w:r>
        <w:r w:rsidR="00FE37D9">
          <w:rPr>
            <w:webHidden/>
          </w:rPr>
        </w:r>
        <w:r w:rsidR="00FE37D9">
          <w:rPr>
            <w:webHidden/>
          </w:rPr>
          <w:fldChar w:fldCharType="separate"/>
        </w:r>
        <w:r w:rsidR="00FE37D9">
          <w:rPr>
            <w:webHidden/>
          </w:rPr>
          <w:t>100</w:t>
        </w:r>
        <w:r w:rsidR="00FE37D9">
          <w:rPr>
            <w:webHidden/>
          </w:rPr>
          <w:fldChar w:fldCharType="end"/>
        </w:r>
      </w:hyperlink>
    </w:p>
    <w:p w14:paraId="3BA8794D" w14:textId="77777777" w:rsidR="00FE37D9" w:rsidRDefault="00DC682B">
      <w:pPr>
        <w:pStyle w:val="Sumrio1"/>
        <w:rPr>
          <w:rFonts w:asciiTheme="minorHAnsi" w:eastAsiaTheme="minorEastAsia" w:hAnsiTheme="minorHAnsi" w:cstheme="minorBidi"/>
          <w:sz w:val="22"/>
          <w:szCs w:val="22"/>
        </w:rPr>
      </w:pPr>
      <w:hyperlink w:anchor="_Toc61353107" w:history="1">
        <w:r w:rsidR="00FE37D9" w:rsidRPr="003E23EC">
          <w:rPr>
            <w:rStyle w:val="Hyperlink"/>
            <w:rFonts w:ascii="Verdana" w:hAnsi="Verdana" w:cstheme="minorHAnsi"/>
            <w:iCs/>
          </w:rPr>
          <w:t>MODELO DE DECLARAÇÃO FINANCEIRA DE DESTINAÇÃOO DE RECURSOS</w:t>
        </w:r>
        <w:r w:rsidR="00FE37D9">
          <w:rPr>
            <w:webHidden/>
          </w:rPr>
          <w:tab/>
        </w:r>
        <w:r w:rsidR="00FE37D9">
          <w:rPr>
            <w:webHidden/>
          </w:rPr>
          <w:fldChar w:fldCharType="begin"/>
        </w:r>
        <w:r w:rsidR="00FE37D9">
          <w:rPr>
            <w:webHidden/>
          </w:rPr>
          <w:instrText xml:space="preserve"> PAGEREF _Toc61353107 \h </w:instrText>
        </w:r>
        <w:r w:rsidR="00FE37D9">
          <w:rPr>
            <w:webHidden/>
          </w:rPr>
        </w:r>
        <w:r w:rsidR="00FE37D9">
          <w:rPr>
            <w:webHidden/>
          </w:rPr>
          <w:fldChar w:fldCharType="separate"/>
        </w:r>
        <w:r w:rsidR="00FE37D9">
          <w:rPr>
            <w:webHidden/>
          </w:rPr>
          <w:t>100</w:t>
        </w:r>
        <w:r w:rsidR="00FE37D9">
          <w:rPr>
            <w:webHidden/>
          </w:rPr>
          <w:fldChar w:fldCharType="end"/>
        </w:r>
      </w:hyperlink>
    </w:p>
    <w:p w14:paraId="49426420" w14:textId="77777777" w:rsidR="00FE37D9" w:rsidRDefault="00DC682B">
      <w:pPr>
        <w:pStyle w:val="Sumrio1"/>
        <w:rPr>
          <w:rFonts w:asciiTheme="minorHAnsi" w:eastAsiaTheme="minorEastAsia" w:hAnsiTheme="minorHAnsi" w:cstheme="minorBidi"/>
          <w:sz w:val="22"/>
          <w:szCs w:val="22"/>
        </w:rPr>
      </w:pPr>
      <w:hyperlink w:anchor="_Toc61353108" w:history="1">
        <w:r w:rsidR="00FE37D9" w:rsidRPr="003E23EC">
          <w:rPr>
            <w:rStyle w:val="Hyperlink"/>
            <w:rFonts w:ascii="Verdana" w:hAnsi="Verdana" w:cstheme="minorHAnsi"/>
          </w:rPr>
          <w:t>ANEXO X –</w:t>
        </w:r>
        <w:r w:rsidR="00FE37D9">
          <w:rPr>
            <w:webHidden/>
          </w:rPr>
          <w:tab/>
        </w:r>
        <w:r w:rsidR="00FE37D9">
          <w:rPr>
            <w:webHidden/>
          </w:rPr>
          <w:fldChar w:fldCharType="begin"/>
        </w:r>
        <w:r w:rsidR="00FE37D9">
          <w:rPr>
            <w:webHidden/>
          </w:rPr>
          <w:instrText xml:space="preserve"> PAGEREF _Toc61353108 \h </w:instrText>
        </w:r>
        <w:r w:rsidR="00FE37D9">
          <w:rPr>
            <w:webHidden/>
          </w:rPr>
        </w:r>
        <w:r w:rsidR="00FE37D9">
          <w:rPr>
            <w:webHidden/>
          </w:rPr>
          <w:fldChar w:fldCharType="separate"/>
        </w:r>
        <w:r w:rsidR="00FE37D9">
          <w:rPr>
            <w:webHidden/>
          </w:rPr>
          <w:t>101</w:t>
        </w:r>
        <w:r w:rsidR="00FE37D9">
          <w:rPr>
            <w:webHidden/>
          </w:rPr>
          <w:fldChar w:fldCharType="end"/>
        </w:r>
      </w:hyperlink>
    </w:p>
    <w:p w14:paraId="130801B6" w14:textId="77777777" w:rsidR="00FE37D9" w:rsidRDefault="00DC682B">
      <w:pPr>
        <w:pStyle w:val="Sumrio1"/>
        <w:rPr>
          <w:rFonts w:asciiTheme="minorHAnsi" w:eastAsiaTheme="minorEastAsia" w:hAnsiTheme="minorHAnsi" w:cstheme="minorBidi"/>
          <w:sz w:val="22"/>
          <w:szCs w:val="22"/>
        </w:rPr>
      </w:pPr>
      <w:hyperlink w:anchor="_Toc61353109" w:history="1">
        <w:r w:rsidR="00FE37D9" w:rsidRPr="003E23EC">
          <w:rPr>
            <w:rStyle w:val="Hyperlink"/>
            <w:rFonts w:ascii="Verdana" w:hAnsi="Verdana" w:cstheme="minorHAnsi"/>
            <w:iCs/>
          </w:rPr>
          <w:t>RELATÓRIO DE EVOLUÇÃO DOS EMPREENDIMENTOS</w:t>
        </w:r>
        <w:r w:rsidR="00FE37D9">
          <w:rPr>
            <w:webHidden/>
          </w:rPr>
          <w:tab/>
        </w:r>
        <w:r w:rsidR="00FE37D9">
          <w:rPr>
            <w:webHidden/>
          </w:rPr>
          <w:fldChar w:fldCharType="begin"/>
        </w:r>
        <w:r w:rsidR="00FE37D9">
          <w:rPr>
            <w:webHidden/>
          </w:rPr>
          <w:instrText xml:space="preserve"> PAGEREF _Toc61353109 \h </w:instrText>
        </w:r>
        <w:r w:rsidR="00FE37D9">
          <w:rPr>
            <w:webHidden/>
          </w:rPr>
        </w:r>
        <w:r w:rsidR="00FE37D9">
          <w:rPr>
            <w:webHidden/>
          </w:rPr>
          <w:fldChar w:fldCharType="separate"/>
        </w:r>
        <w:r w:rsidR="00FE37D9">
          <w:rPr>
            <w:webHidden/>
          </w:rPr>
          <w:t>101</w:t>
        </w:r>
        <w:r w:rsidR="00FE37D9">
          <w:rPr>
            <w:webHidden/>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61353081"/>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6A47FD95" w:rsidR="007576EA" w:rsidRPr="005270B8" w:rsidRDefault="00FC223A" w:rsidP="00271EF9">
      <w:pPr>
        <w:spacing w:line="280" w:lineRule="atLeast"/>
        <w:rPr>
          <w:rFonts w:ascii="Verdana" w:hAnsi="Verdana" w:cstheme="minorHAnsi"/>
          <w:sz w:val="20"/>
          <w:szCs w:val="20"/>
        </w:rPr>
      </w:pPr>
      <w:bookmarkStart w:id="7"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D904E0" w:rsidRPr="00D904E0">
        <w:rPr>
          <w:rFonts w:ascii="Verdana" w:hAnsi="Verdana"/>
          <w:sz w:val="20"/>
          <w:szCs w:val="20"/>
          <w:highlight w:val="yellow"/>
        </w:rPr>
        <w:t>[•]</w:t>
      </w:r>
      <w:r w:rsidR="00D904E0" w:rsidRPr="00D904E0">
        <w:rPr>
          <w:rFonts w:ascii="Verdana" w:hAnsi="Verdana"/>
          <w:sz w:val="20"/>
          <w:szCs w:val="20"/>
        </w:rPr>
        <w:t xml:space="preserve"> </w:t>
      </w:r>
      <w:bookmarkEnd w:id="7"/>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w:t>
      </w:r>
      <w:proofErr w:type="spellStart"/>
      <w:r w:rsidR="0093685A">
        <w:rPr>
          <w:rFonts w:ascii="Verdana" w:hAnsi="Verdana" w:cstheme="minorHAnsi"/>
          <w:i/>
          <w:iCs/>
          <w:sz w:val="20"/>
          <w:szCs w:val="20"/>
        </w:rPr>
        <w:t>Securitizadora</w:t>
      </w:r>
      <w:proofErr w:type="spellEnd"/>
      <w:r w:rsidR="0093685A">
        <w:rPr>
          <w:rFonts w:ascii="Verdana" w:hAnsi="Verdana" w:cstheme="minorHAnsi"/>
          <w:i/>
          <w:iCs/>
          <w:sz w:val="20"/>
          <w:szCs w:val="20"/>
        </w:rPr>
        <w:t xml:space="preserve">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8" w:name="_Toc110076260"/>
      <w:bookmarkStart w:id="9" w:name="_Toc141170372"/>
      <w:bookmarkStart w:id="10" w:name="_Toc189456781"/>
      <w:bookmarkStart w:id="11" w:name="_Toc222657767"/>
      <w:bookmarkStart w:id="12" w:name="_Toc453274053"/>
      <w:bookmarkStart w:id="13" w:name="_Toc61353082"/>
      <w:r w:rsidRPr="005270B8">
        <w:rPr>
          <w:rFonts w:ascii="Verdana" w:hAnsi="Verdana" w:cstheme="minorHAnsi"/>
          <w:sz w:val="20"/>
          <w:szCs w:val="20"/>
        </w:rPr>
        <w:t>CLÁUSULA PRIMEIRA: DEFINIÇÕES</w:t>
      </w:r>
      <w:bookmarkEnd w:id="8"/>
      <w:bookmarkEnd w:id="9"/>
      <w:bookmarkEnd w:id="10"/>
      <w:bookmarkEnd w:id="11"/>
      <w:bookmarkEnd w:id="12"/>
      <w:bookmarkEnd w:id="13"/>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4" w:name="_Toc110076261"/>
            <w:bookmarkStart w:id="15" w:name="_Toc163380699"/>
            <w:bookmarkStart w:id="16" w:name="_Toc180553615"/>
            <w:bookmarkStart w:id="17"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72ED0186"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r w:rsidR="00221437" w:rsidRPr="0057717E">
              <w:rPr>
                <w:rFonts w:ascii="Verdana" w:hAnsi="Verdana"/>
                <w:sz w:val="20"/>
                <w:szCs w:val="20"/>
                <w:highlight w:val="yellow"/>
              </w:rPr>
              <w:t>[--]</w:t>
            </w:r>
            <w:r w:rsidR="00221437">
              <w:rPr>
                <w:rFonts w:ascii="Verdana" w:hAnsi="Verdana"/>
                <w:sz w:val="20"/>
                <w:szCs w:val="20"/>
              </w:rPr>
              <w:t xml:space="preserve"> 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5816C69E" w:rsidR="00C91D5E" w:rsidRPr="00C91D5E" w:rsidRDefault="007F0391" w:rsidP="00C91D5E">
            <w:pPr>
              <w:spacing w:line="280" w:lineRule="atLeast"/>
              <w:rPr>
                <w:rFonts w:ascii="Verdana" w:hAnsi="Verdana" w:cstheme="minorHAnsi"/>
                <w:bCs/>
                <w:sz w:val="20"/>
                <w:szCs w:val="20"/>
              </w:rPr>
            </w:pPr>
            <w:r>
              <w:rPr>
                <w:rFonts w:ascii="Verdana" w:hAnsi="Verdana" w:cstheme="minorHAnsi"/>
                <w:bCs/>
                <w:sz w:val="20"/>
                <w:szCs w:val="20"/>
              </w:rPr>
              <w:t>[</w:t>
            </w:r>
            <w:r w:rsidR="00C91D5E" w:rsidRPr="00C91D5E">
              <w:rPr>
                <w:rFonts w:ascii="Verdana" w:hAnsi="Verdana" w:cstheme="minorHAnsi"/>
                <w:bCs/>
                <w:sz w:val="20"/>
                <w:szCs w:val="20"/>
              </w:rPr>
              <w:t>(i) títulos federais; (</w:t>
            </w:r>
            <w:proofErr w:type="spellStart"/>
            <w:r w:rsidR="00C91D5E" w:rsidRPr="00C91D5E">
              <w:rPr>
                <w:rFonts w:ascii="Verdana" w:hAnsi="Verdana" w:cstheme="minorHAnsi"/>
                <w:bCs/>
                <w:sz w:val="20"/>
                <w:szCs w:val="20"/>
              </w:rPr>
              <w:t>ii</w:t>
            </w:r>
            <w:proofErr w:type="spellEnd"/>
            <w:r w:rsidR="00C91D5E" w:rsidRPr="00C91D5E">
              <w:rPr>
                <w:rFonts w:ascii="Verdana" w:hAnsi="Verdana" w:cstheme="minorHAnsi"/>
                <w:bCs/>
                <w:sz w:val="20"/>
                <w:szCs w:val="20"/>
              </w:rPr>
              <w:t>) operações compromissadas com lastro em títulos públicos federais; (</w:t>
            </w:r>
            <w:proofErr w:type="spellStart"/>
            <w:r w:rsidR="00C91D5E" w:rsidRPr="00C91D5E">
              <w:rPr>
                <w:rFonts w:ascii="Verdana" w:hAnsi="Verdana" w:cstheme="minorHAnsi"/>
                <w:bCs/>
                <w:sz w:val="20"/>
                <w:szCs w:val="20"/>
              </w:rPr>
              <w:t>iii</w:t>
            </w:r>
            <w:proofErr w:type="spellEnd"/>
            <w:r w:rsidR="00C91D5E" w:rsidRPr="00C91D5E">
              <w:rPr>
                <w:rFonts w:ascii="Verdana" w:hAnsi="Verdana" w:cstheme="minorHAnsi"/>
                <w:bCs/>
                <w:sz w:val="20"/>
                <w:szCs w:val="20"/>
              </w:rPr>
              <w:t>) cotas de fundos de investimento classificados nas categorias “Renda Fixa – Curto Prazo” ou “Renda Fixa – Simples”, em qualquer caso, com</w:t>
            </w:r>
          </w:p>
          <w:p w14:paraId="700C6104" w14:textId="452723CB" w:rsidR="00C91D5E" w:rsidRDefault="00C91D5E" w:rsidP="00C91D5E">
            <w:pPr>
              <w:spacing w:line="280" w:lineRule="atLeast"/>
              <w:rPr>
                <w:rFonts w:ascii="Verdana" w:hAnsi="Verdana" w:cstheme="minorHAnsi"/>
                <w:bCs/>
                <w:sz w:val="20"/>
                <w:szCs w:val="20"/>
              </w:rPr>
            </w:pPr>
            <w:r>
              <w:rPr>
                <w:rFonts w:ascii="Verdana" w:hAnsi="Verdana" w:cstheme="minorHAnsi"/>
                <w:bCs/>
                <w:sz w:val="20"/>
                <w:szCs w:val="20"/>
              </w:rPr>
              <w:t xml:space="preserve"> liquidez diária;</w:t>
            </w:r>
            <w:r w:rsidR="003942EF">
              <w:rPr>
                <w:rFonts w:ascii="Verdana" w:hAnsi="Verdana" w:cstheme="minorHAnsi"/>
                <w:bCs/>
                <w:sz w:val="20"/>
                <w:szCs w:val="20"/>
              </w:rPr>
              <w:t xml:space="preserve"> ou (</w:t>
            </w:r>
            <w:proofErr w:type="spellStart"/>
            <w:r w:rsidR="003942EF">
              <w:rPr>
                <w:rFonts w:ascii="Verdana" w:hAnsi="Verdana" w:cstheme="minorHAnsi"/>
                <w:bCs/>
                <w:sz w:val="20"/>
                <w:szCs w:val="20"/>
              </w:rPr>
              <w:t>iv</w:t>
            </w:r>
            <w:proofErr w:type="spellEnd"/>
            <w:r w:rsidR="003942EF">
              <w:rPr>
                <w:rFonts w:ascii="Verdana" w:hAnsi="Verdana" w:cstheme="minorHAnsi"/>
                <w:bCs/>
                <w:sz w:val="20"/>
                <w:szCs w:val="20"/>
              </w:rPr>
              <w:t xml:space="preserve">)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[Instituições Autorizadas];</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5260469A"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o Emitente, pelo cumprimento de todas as obrigações, principal e acessórias, resultantes da presente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 xml:space="preserve">Avenida Angélica, nº 1.996, 12º andar, </w:t>
            </w:r>
            <w:proofErr w:type="gramStart"/>
            <w:r w:rsidRPr="00690B26">
              <w:rPr>
                <w:rFonts w:ascii="Verdana" w:hAnsi="Verdana" w:cstheme="minorHAnsi"/>
                <w:sz w:val="20"/>
                <w:szCs w:val="20"/>
              </w:rPr>
              <w:t>Conjunto</w:t>
            </w:r>
            <w:proofErr w:type="gramEnd"/>
            <w:r w:rsidRPr="00690B26">
              <w:rPr>
                <w:rFonts w:ascii="Verdana" w:hAnsi="Verdana" w:cstheme="minorHAnsi"/>
                <w:sz w:val="20"/>
                <w:szCs w:val="20"/>
              </w:rPr>
              <w:t xml:space="preserve">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8"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8"/>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3A45A9BB"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r w:rsidR="00CC16A0" w:rsidRPr="0057717E">
              <w:rPr>
                <w:rFonts w:ascii="Verdana" w:hAnsi="Verdana"/>
                <w:i/>
                <w:spacing w:val="2"/>
                <w:sz w:val="20"/>
                <w:szCs w:val="20"/>
                <w:highlight w:val="yellow"/>
              </w:rPr>
              <w:t>[--]</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C16A0" w:rsidRPr="0057717E">
              <w:rPr>
                <w:rFonts w:ascii="Verdana" w:hAnsi="Verdana" w:cs="Arial"/>
                <w:sz w:val="20"/>
                <w:szCs w:val="20"/>
                <w:highlight w:val="yellow"/>
              </w:rPr>
              <w:t>[--]</w:t>
            </w:r>
            <w:r w:rsidR="00CC16A0" w:rsidRPr="005270B8">
              <w:rPr>
                <w:rFonts w:ascii="Verdana" w:hAnsi="Verdana" w:cs="Arial"/>
                <w:sz w:val="20"/>
                <w:szCs w:val="20"/>
              </w:rPr>
              <w:t xml:space="preserve"> </w:t>
            </w:r>
            <w:r w:rsidR="00BE667B" w:rsidRPr="005270B8">
              <w:rPr>
                <w:rFonts w:ascii="Verdana" w:hAnsi="Verdana" w:cs="Arial"/>
                <w:sz w:val="20"/>
                <w:szCs w:val="20"/>
              </w:rPr>
              <w:t xml:space="preserve">de </w:t>
            </w:r>
            <w:r w:rsidR="00CC16A0" w:rsidRPr="0057717E">
              <w:rPr>
                <w:rFonts w:ascii="Verdana" w:hAnsi="Verdana" w:cs="Arial"/>
                <w:sz w:val="20"/>
                <w:szCs w:val="20"/>
                <w:highlight w:val="yellow"/>
              </w:rPr>
              <w:t>[--]</w:t>
            </w:r>
            <w:r w:rsidR="00CC16A0">
              <w:rPr>
                <w:rFonts w:ascii="Verdana" w:hAnsi="Verdana" w:cs="Arial"/>
                <w:sz w:val="20"/>
                <w:szCs w:val="20"/>
              </w:rPr>
              <w:t xml:space="preserve"> </w:t>
            </w:r>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C16A0">
              <w:rPr>
                <w:rFonts w:ascii="Verdana" w:hAnsi="Verdana"/>
                <w:sz w:val="20"/>
                <w:szCs w:val="20"/>
              </w:rPr>
              <w:t>9</w:t>
            </w:r>
            <w:r w:rsidR="008568D6" w:rsidRPr="005270B8">
              <w:rPr>
                <w:rFonts w:ascii="Verdana" w:hAnsi="Verdana"/>
                <w:sz w:val="20"/>
                <w:szCs w:val="20"/>
              </w:rPr>
              <w:t>.000.000,00 (</w:t>
            </w:r>
            <w:r w:rsidR="00CC16A0">
              <w:rPr>
                <w:rFonts w:ascii="Verdana" w:hAnsi="Verdana"/>
                <w:sz w:val="20"/>
                <w:szCs w:val="20"/>
              </w:rPr>
              <w:t>nove</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xml:space="preserve">, posteriormente cedida à </w:t>
            </w:r>
            <w:proofErr w:type="spellStart"/>
            <w:r w:rsidR="007B7568" w:rsidRPr="005270B8">
              <w:rPr>
                <w:rFonts w:ascii="Verdana" w:hAnsi="Verdana" w:cs="Arial"/>
                <w:sz w:val="20"/>
                <w:szCs w:val="20"/>
              </w:rPr>
              <w:t>Securitizadora</w:t>
            </w:r>
            <w:proofErr w:type="spellEnd"/>
            <w:r w:rsidR="007B7568" w:rsidRPr="005270B8">
              <w:rPr>
                <w:rFonts w:ascii="Verdana" w:hAnsi="Verdana" w:cs="Arial"/>
                <w:sz w:val="20"/>
                <w:szCs w:val="20"/>
              </w:rPr>
              <w:t>,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7094F068"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 xml:space="preserve">na Rua Cristóvão Colombo, 2955, </w:t>
            </w:r>
            <w:proofErr w:type="gramStart"/>
            <w:r w:rsidR="001710FD">
              <w:rPr>
                <w:rFonts w:ascii="Verdana" w:hAnsi="Verdana"/>
                <w:spacing w:val="2"/>
                <w:sz w:val="20"/>
                <w:szCs w:val="20"/>
              </w:rPr>
              <w:t>Conjunto</w:t>
            </w:r>
            <w:proofErr w:type="gramEnd"/>
            <w:r w:rsidR="001710FD">
              <w:rPr>
                <w:rFonts w:ascii="Verdana" w:hAnsi="Verdana"/>
                <w:spacing w:val="2"/>
                <w:sz w:val="20"/>
                <w:szCs w:val="20"/>
              </w:rPr>
              <w:t xml:space="preserve">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r w:rsidR="00B736CB" w:rsidRPr="001710FD">
              <w:rPr>
                <w:rFonts w:ascii="Verdana" w:hAnsi="Verdana"/>
                <w:spacing w:val="2"/>
                <w:sz w:val="20"/>
                <w:szCs w:val="20"/>
                <w:highlight w:val="yellow"/>
              </w:rPr>
              <w:t>[--]</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686D0A22" w:rsidR="00475A3F" w:rsidRPr="00062CFB" w:rsidRDefault="00475A3F" w:rsidP="00993117">
            <w:pPr>
              <w:spacing w:line="280" w:lineRule="atLeast"/>
              <w:rPr>
                <w:rFonts w:ascii="Verdana" w:hAnsi="Verdana" w:cstheme="minorHAnsi"/>
                <w:sz w:val="20"/>
                <w:szCs w:val="20"/>
              </w:rPr>
            </w:pPr>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r w:rsidR="00A0172B" w:rsidRPr="0057717E">
              <w:rPr>
                <w:rFonts w:ascii="Verdana" w:hAnsi="Verdana"/>
                <w:spacing w:val="2"/>
                <w:sz w:val="20"/>
                <w:szCs w:val="20"/>
                <w:highlight w:val="yellow"/>
              </w:rPr>
              <w:t>[--]</w:t>
            </w:r>
            <w:r w:rsidR="00A7529B" w:rsidRPr="00062CFB">
              <w:rPr>
                <w:rFonts w:ascii="Verdana" w:hAnsi="Verdana"/>
                <w:spacing w:val="2"/>
                <w:sz w:val="20"/>
                <w:szCs w:val="20"/>
              </w:rPr>
              <w:t>,</w:t>
            </w:r>
            <w:r w:rsidR="00A7529B" w:rsidRPr="00062CFB">
              <w:rPr>
                <w:rFonts w:ascii="Verdana" w:hAnsi="Verdana" w:cs="Arial"/>
                <w:sz w:val="20"/>
                <w:szCs w:val="20"/>
              </w:rPr>
              <w:t xml:space="preserve"> agência </w:t>
            </w:r>
            <w:r w:rsidR="00A0172B" w:rsidRPr="0057717E">
              <w:rPr>
                <w:rFonts w:ascii="Verdana" w:hAnsi="Verdana" w:cs="Arial"/>
                <w:smallCaps/>
                <w:color w:val="000000"/>
                <w:sz w:val="20"/>
                <w:szCs w:val="20"/>
                <w:highlight w:val="yellow"/>
              </w:rPr>
              <w:t>[--]</w:t>
            </w:r>
            <w:r w:rsidR="00A7529B" w:rsidRPr="00062CFB">
              <w:rPr>
                <w:rFonts w:ascii="Verdana" w:hAnsi="Verdana" w:cs="Arial"/>
                <w:smallCaps/>
                <w:color w:val="000000"/>
                <w:sz w:val="20"/>
                <w:szCs w:val="20"/>
              </w:rPr>
              <w:t>,</w:t>
            </w:r>
            <w:r w:rsidR="00A7529B" w:rsidRPr="00062CFB">
              <w:rPr>
                <w:rFonts w:ascii="Verdana" w:hAnsi="Verdana" w:cs="Arial"/>
                <w:sz w:val="20"/>
                <w:szCs w:val="20"/>
              </w:rPr>
              <w:t xml:space="preserve"> </w:t>
            </w:r>
            <w:r w:rsidR="00A7529B" w:rsidRPr="00062CFB">
              <w:rPr>
                <w:rFonts w:ascii="Verdana" w:hAnsi="Verdana"/>
                <w:spacing w:val="2"/>
                <w:sz w:val="20"/>
                <w:szCs w:val="20"/>
              </w:rPr>
              <w:t xml:space="preserve">do </w:t>
            </w:r>
            <w:r w:rsidR="00A0172B" w:rsidRPr="0057717E">
              <w:rPr>
                <w:rFonts w:ascii="Verdana" w:hAnsi="Verdana"/>
                <w:spacing w:val="2"/>
                <w:sz w:val="20"/>
                <w:szCs w:val="20"/>
                <w:highlight w:val="yellow"/>
              </w:rPr>
              <w:t>[--]</w:t>
            </w:r>
            <w:r w:rsidR="00687D10" w:rsidRPr="00062CFB">
              <w:rPr>
                <w:rFonts w:ascii="Verdana" w:hAnsi="Verdana"/>
                <w:spacing w:val="2"/>
                <w:sz w:val="20"/>
                <w:szCs w:val="20"/>
              </w:rPr>
              <w:t>,</w:t>
            </w:r>
            <w:r w:rsidRPr="00062CFB">
              <w:rPr>
                <w:rFonts w:ascii="Verdana" w:hAnsi="Verdana"/>
                <w:spacing w:val="2"/>
                <w:sz w:val="20"/>
                <w:szCs w:val="20"/>
              </w:rPr>
              <w:t xml:space="preserve"> </w:t>
            </w:r>
            <w:r w:rsidRPr="00062CFB">
              <w:rPr>
                <w:rFonts w:ascii="Verdana" w:hAnsi="Verdana" w:cstheme="minorHAnsi"/>
                <w:sz w:val="20"/>
                <w:szCs w:val="20"/>
              </w:rPr>
              <w:t>de titularidade da Devedora;</w:t>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r w:rsidR="001710FD" w:rsidRPr="001710FD">
              <w:rPr>
                <w:rFonts w:ascii="Verdana" w:hAnsi="Verdana" w:cs="Arial"/>
                <w:smallCaps/>
                <w:color w:val="000000"/>
                <w:sz w:val="20"/>
                <w:szCs w:val="20"/>
              </w:rPr>
              <w:t>7286-9</w:t>
            </w:r>
            <w:r w:rsidR="001837F1" w:rsidRPr="00062CFB">
              <w:rPr>
                <w:rFonts w:ascii="Verdana" w:hAnsi="Verdana"/>
                <w:color w:val="000000"/>
                <w:sz w:val="20"/>
                <w:szCs w:val="20"/>
              </w:rPr>
              <w:t xml:space="preserve">, agência </w:t>
            </w:r>
            <w:r w:rsidR="001710FD">
              <w:rPr>
                <w:rFonts w:ascii="Verdana" w:eastAsia="Verdana" w:hAnsi="Verdana" w:cs="Verdana"/>
                <w:smallCaps/>
                <w:color w:val="000000"/>
                <w:sz w:val="20"/>
                <w:szCs w:val="20"/>
              </w:rPr>
              <w:t>3391-0</w:t>
            </w:r>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 xml:space="preserve">Contrato de </w:t>
            </w:r>
            <w:proofErr w:type="spellStart"/>
            <w:r w:rsidRPr="00B8790E">
              <w:rPr>
                <w:rFonts w:ascii="Verdana" w:eastAsia="Arial Unicode MS" w:hAnsi="Verdana" w:cstheme="minorHAnsi"/>
                <w:sz w:val="20"/>
                <w:szCs w:val="20"/>
                <w:u w:val="single"/>
              </w:rPr>
              <w:t>Allienação</w:t>
            </w:r>
            <w:proofErr w:type="spellEnd"/>
            <w:r w:rsidRPr="00B8790E">
              <w:rPr>
                <w:rFonts w:ascii="Verdana" w:eastAsia="Arial Unicode MS" w:hAnsi="Verdana" w:cstheme="minorHAnsi"/>
                <w:sz w:val="20"/>
                <w:szCs w:val="20"/>
                <w:u w:val="single"/>
              </w:rPr>
              <w:t xml:space="preserve">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483FA8E2"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celebrado entre a Devedora e a Emissora, por meio do qual</w:t>
            </w:r>
            <w:r w:rsidR="005A67FD">
              <w:rPr>
                <w:rFonts w:ascii="Verdana" w:hAnsi="Verdana"/>
                <w:sz w:val="20"/>
                <w:szCs w:val="20"/>
              </w:rPr>
              <w:t xml:space="preserve"> a Alienação Fiduciária de Imóveis </w:t>
            </w:r>
            <w:r w:rsidR="00CC0A05">
              <w:rPr>
                <w:rFonts w:ascii="Verdana" w:hAnsi="Verdana"/>
                <w:sz w:val="20"/>
                <w:szCs w:val="20"/>
              </w:rPr>
              <w:t xml:space="preserve">será </w:t>
            </w:r>
            <w:r w:rsidR="005A67FD">
              <w:rPr>
                <w:rFonts w:ascii="Verdana" w:hAnsi="Verdana"/>
                <w:sz w:val="20"/>
                <w:szCs w:val="20"/>
              </w:rPr>
              <w:t>constituída.</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96887B0"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9"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0" w:name="_DV_M4"/>
            <w:bookmarkEnd w:id="19"/>
            <w:bookmarkEnd w:id="20"/>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D57FA">
              <w:rPr>
                <w:rFonts w:ascii="Verdana" w:hAnsi="Verdana" w:cs="Arial"/>
                <w:sz w:val="20"/>
                <w:szCs w:val="20"/>
              </w:rPr>
              <w:t>[--] de [--] 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4700E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21" w:name="_DV_M43"/>
            <w:bookmarkStart w:id="22" w:name="_DV_M44"/>
            <w:bookmarkEnd w:id="21"/>
            <w:bookmarkEnd w:id="22"/>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proofErr w:type="spellStart"/>
            <w:r w:rsidR="00D76667">
              <w:rPr>
                <w:rFonts w:ascii="Verdana" w:hAnsi="Verdana" w:cstheme="minorHAnsi"/>
                <w:bCs/>
                <w:i/>
                <w:iCs/>
                <w:sz w:val="20"/>
                <w:szCs w:val="20"/>
              </w:rPr>
              <w:t>Securitizadora</w:t>
            </w:r>
            <w:proofErr w:type="spellEnd"/>
            <w:r w:rsidR="00D76667">
              <w:rPr>
                <w:rFonts w:ascii="Verdana" w:hAnsi="Verdana" w:cstheme="minorHAnsi"/>
                <w:bCs/>
                <w:i/>
                <w:iCs/>
                <w:sz w:val="20"/>
                <w:szCs w:val="20"/>
              </w:rPr>
              <w:t xml:space="preserve"> S.A.</w:t>
            </w:r>
            <w:r w:rsidR="00234EE2">
              <w:rPr>
                <w:rFonts w:ascii="Verdana" w:hAnsi="Verdana" w:cstheme="minorHAnsi"/>
                <w:bCs/>
                <w:i/>
                <w:iCs/>
                <w:sz w:val="20"/>
                <w:szCs w:val="20"/>
              </w:rPr>
              <w:t xml:space="preserve"> e Outras </w:t>
            </w:r>
            <w:r w:rsidR="00234EE2">
              <w:rPr>
                <w:rFonts w:ascii="Verdana" w:hAnsi="Verdana" w:cstheme="minorHAnsi"/>
                <w:bCs/>
                <w:i/>
                <w:iCs/>
                <w:sz w:val="20"/>
                <w:szCs w:val="20"/>
              </w:rPr>
              <w:lastRenderedPageBreak/>
              <w:t>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D57FA">
              <w:rPr>
                <w:rFonts w:ascii="Verdana" w:hAnsi="Verdana" w:cs="Arial"/>
                <w:sz w:val="20"/>
                <w:szCs w:val="20"/>
              </w:rPr>
              <w:t>[--] de [--] 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iii</w:t>
            </w:r>
            <w:proofErr w:type="spellEnd"/>
            <w:r w:rsidR="002874A2" w:rsidRPr="00062CFB">
              <w:rPr>
                <w:rFonts w:ascii="Verdana" w:hAnsi="Verdana" w:cstheme="minorHAnsi"/>
                <w:b/>
                <w:bCs/>
                <w:sz w:val="20"/>
                <w:szCs w:val="20"/>
              </w:rPr>
              <w:t>)</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iv</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w:t>
            </w:r>
            <w:proofErr w:type="spellStart"/>
            <w:r w:rsidR="002874A2" w:rsidRPr="00062CFB">
              <w:rPr>
                <w:rFonts w:ascii="Verdana" w:hAnsi="Verdana" w:cstheme="minorHAnsi"/>
                <w:sz w:val="20"/>
                <w:szCs w:val="20"/>
              </w:rPr>
              <w:t>iv</w:t>
            </w:r>
            <w:proofErr w:type="spellEnd"/>
            <w:r w:rsidR="002874A2" w:rsidRPr="00062CFB">
              <w:rPr>
                <w:rFonts w:ascii="Verdana" w:hAnsi="Verdana" w:cstheme="minorHAnsi"/>
                <w:sz w:val="20"/>
                <w:szCs w:val="20"/>
              </w:rPr>
              <w:t>)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2334D671"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D53426">
              <w:rPr>
                <w:rFonts w:ascii="Verdana" w:hAnsi="Verdana"/>
                <w:sz w:val="20"/>
                <w:szCs w:val="20"/>
              </w:rPr>
              <w:t>9</w:t>
            </w:r>
            <w:r w:rsidR="008568D6" w:rsidRPr="005270B8">
              <w:rPr>
                <w:rFonts w:ascii="Verdana" w:hAnsi="Verdana"/>
                <w:sz w:val="20"/>
                <w:szCs w:val="20"/>
              </w:rPr>
              <w:t>.000.000,00 (</w:t>
            </w:r>
            <w:r w:rsidR="00D53426">
              <w:rPr>
                <w:rFonts w:ascii="Verdana" w:hAnsi="Verdana"/>
                <w:sz w:val="20"/>
                <w:szCs w:val="20"/>
              </w:rPr>
              <w:t>nove</w:t>
            </w:r>
            <w:r w:rsidR="008568D6" w:rsidRPr="005270B8">
              <w:rPr>
                <w:rFonts w:ascii="Verdana" w:hAnsi="Verdana"/>
                <w:sz w:val="20"/>
                <w:szCs w:val="20"/>
              </w:rPr>
              <w:t xml:space="preserv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w:t>
            </w:r>
            <w:r w:rsidR="00D84D8B" w:rsidRPr="005270B8">
              <w:rPr>
                <w:rFonts w:ascii="Verdana" w:hAnsi="Verdana" w:cstheme="minorHAnsi"/>
                <w:sz w:val="20"/>
                <w:szCs w:val="20"/>
              </w:rPr>
              <w:lastRenderedPageBreak/>
              <w:t>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(i) no mesmo dia em que os CRI correspondentes forem integralizados, desde que os recursos provenientes na integralização dos CRI sejam recebidos até as 13:00 (treze horas); ou (</w:t>
            </w:r>
            <w:proofErr w:type="spellStart"/>
            <w:r w:rsidRPr="00CA07F7">
              <w:rPr>
                <w:rFonts w:ascii="Verdana" w:hAnsi="Verdana" w:cstheme="minorHAnsi"/>
                <w:bCs/>
                <w:sz w:val="20"/>
                <w:szCs w:val="20"/>
              </w:rPr>
              <w:t>ii</w:t>
            </w:r>
            <w:proofErr w:type="spellEnd"/>
            <w:r w:rsidRPr="00CA07F7">
              <w:rPr>
                <w:rFonts w:ascii="Verdana" w:hAnsi="Verdana" w:cstheme="minorHAnsi"/>
                <w:bCs/>
                <w:sz w:val="20"/>
                <w:szCs w:val="20"/>
              </w:rPr>
              <w:t xml:space="preserve">)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2A9B408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na Avenida Angelica, nº 1996, 12º andar, conjunto 1202S3,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w:t>
            </w:r>
            <w:r w:rsidR="0053062E" w:rsidRPr="001938B0">
              <w:rPr>
                <w:rFonts w:ascii="Verdana" w:hAnsi="Verdana"/>
                <w:spacing w:val="2"/>
                <w:sz w:val="20"/>
                <w:szCs w:val="20"/>
              </w:rPr>
              <w:lastRenderedPageBreak/>
              <w:t>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lastRenderedPageBreak/>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proofErr w:type="spellStart"/>
            <w:r>
              <w:rPr>
                <w:rFonts w:ascii="Verdana" w:hAnsi="Verdana" w:cstheme="minorHAnsi"/>
                <w:b/>
                <w:sz w:val="20"/>
                <w:szCs w:val="20"/>
              </w:rPr>
              <w:t>Securitizadora</w:t>
            </w:r>
            <w:proofErr w:type="spellEnd"/>
            <w:r>
              <w:rPr>
                <w:rFonts w:ascii="Verdana" w:hAnsi="Verdana" w:cstheme="minorHAnsi"/>
                <w:b/>
                <w:sz w:val="20"/>
                <w:szCs w:val="20"/>
              </w:rPr>
              <w:t xml:space="preserve">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43EE1D5A"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A45C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proofErr w:type="spellStart"/>
            <w:r w:rsidR="00197453">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 xml:space="preserve">as </w:t>
            </w:r>
            <w:proofErr w:type="spellStart"/>
            <w:r w:rsidR="009C1150">
              <w:rPr>
                <w:rFonts w:ascii="Verdana" w:hAnsi="Verdana" w:cstheme="minorHAnsi"/>
                <w:sz w:val="20"/>
                <w:szCs w:val="20"/>
                <w:lang w:val="pt"/>
              </w:rPr>
              <w:t>SPEs</w:t>
            </w:r>
            <w:proofErr w:type="spellEnd"/>
            <w:r w:rsidR="009C1150">
              <w:rPr>
                <w:rFonts w:ascii="Verdana" w:hAnsi="Verdana" w:cstheme="minorHAnsi"/>
                <w:sz w:val="20"/>
                <w:szCs w:val="20"/>
                <w:lang w:val="pt"/>
              </w:rPr>
              <w:t xml:space="preserve">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proofErr w:type="spellStart"/>
            <w:r w:rsidRPr="005270B8">
              <w:rPr>
                <w:rFonts w:ascii="Verdana" w:hAnsi="Verdana" w:cstheme="minorHAnsi"/>
                <w:sz w:val="20"/>
                <w:szCs w:val="20"/>
                <w:u w:val="single"/>
              </w:rPr>
              <w:t>Securitizadora</w:t>
            </w:r>
            <w:proofErr w:type="spellEnd"/>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lastRenderedPageBreak/>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23994974"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r>
              <w:rPr>
                <w:rFonts w:ascii="Verdana" w:hAnsi="Verdana" w:cstheme="minorHAnsi"/>
                <w:bCs/>
                <w:sz w:val="20"/>
                <w:szCs w:val="20"/>
              </w:rPr>
              <w:t>[--],</w:t>
            </w:r>
            <w:r w:rsidRPr="00647CDC">
              <w:rPr>
                <w:rFonts w:ascii="Verdana" w:hAnsi="Verdana" w:cstheme="minorHAnsi"/>
                <w:bCs/>
                <w:sz w:val="20"/>
                <w:szCs w:val="20"/>
              </w:rPr>
              <w:t xml:space="preserve"> que será  erigido nos </w:t>
            </w:r>
            <w:proofErr w:type="spellStart"/>
            <w:r w:rsidRPr="00647CDC">
              <w:rPr>
                <w:rFonts w:ascii="Verdana" w:hAnsi="Verdana" w:cstheme="minorHAnsi"/>
                <w:bCs/>
                <w:sz w:val="20"/>
                <w:szCs w:val="20"/>
              </w:rPr>
              <w:t>imovéis</w:t>
            </w:r>
            <w:proofErr w:type="spellEnd"/>
            <w:r w:rsidRPr="00647CDC">
              <w:rPr>
                <w:rFonts w:ascii="Verdana" w:hAnsi="Verdana" w:cstheme="minorHAnsi"/>
                <w:bCs/>
                <w:sz w:val="20"/>
                <w:szCs w:val="20"/>
              </w:rPr>
              <w:t xml:space="preserve">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w:t>
            </w:r>
            <w:proofErr w:type="spellStart"/>
            <w:r w:rsidRPr="00161788">
              <w:rPr>
                <w:rFonts w:ascii="Verdana" w:hAnsi="Verdana" w:cstheme="minorHAnsi"/>
                <w:iCs/>
                <w:sz w:val="20"/>
                <w:szCs w:val="20"/>
              </w:rPr>
              <w:t>nºs</w:t>
            </w:r>
            <w:proofErr w:type="spellEnd"/>
            <w:r w:rsidRPr="00161788">
              <w:rPr>
                <w:rFonts w:ascii="Verdana" w:hAnsi="Verdana" w:cstheme="minorHAnsi"/>
                <w:iCs/>
                <w:sz w:val="20"/>
                <w:szCs w:val="20"/>
              </w:rPr>
              <w:t xml:space="preserve">. 372 e  382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Bem Viver Fortunato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7777777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“Bem Viver Fortunato”,</w:t>
            </w:r>
            <w:r w:rsidRPr="007755F6">
              <w:rPr>
                <w:rFonts w:ascii="Verdana" w:hAnsi="Verdana" w:cstheme="minorHAnsi"/>
                <w:iCs/>
                <w:sz w:val="20"/>
                <w:szCs w:val="20"/>
              </w:rPr>
              <w:t xml:space="preserve"> que será  erigido  no </w:t>
            </w:r>
            <w:proofErr w:type="spellStart"/>
            <w:r w:rsidRPr="007755F6">
              <w:rPr>
                <w:rFonts w:ascii="Verdana" w:hAnsi="Verdana" w:cstheme="minorHAnsi"/>
                <w:iCs/>
                <w:sz w:val="20"/>
                <w:szCs w:val="20"/>
              </w:rPr>
              <w:t>imovél</w:t>
            </w:r>
            <w:proofErr w:type="spellEnd"/>
            <w:r w:rsidRPr="007755F6">
              <w:rPr>
                <w:rFonts w:ascii="Verdana" w:hAnsi="Verdana" w:cstheme="minorHAnsi"/>
                <w:iCs/>
                <w:sz w:val="20"/>
                <w:szCs w:val="20"/>
              </w:rPr>
              <w:t xml:space="preserve">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 transcrição nº 16.996 e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 e 132.289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CESÁRIO DA MOTA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na Avenida Angélica nº 1.996, 12º andar, conjunto 1.210, Sala 02 – CEP: 01228-200, inscrita no CNPJ/ME sob nº 35.297.184/0001-88, NIRE nº 35235677000</w:t>
            </w:r>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C55C51" w:rsidRPr="005270B8" w14:paraId="60614E76" w14:textId="77777777" w:rsidTr="00C55C51">
        <w:tc>
          <w:tcPr>
            <w:tcW w:w="3570" w:type="dxa"/>
            <w:tcBorders>
              <w:top w:val="single" w:sz="4" w:space="0" w:color="auto"/>
              <w:left w:val="single" w:sz="4" w:space="0" w:color="auto"/>
              <w:bottom w:val="single" w:sz="4" w:space="0" w:color="auto"/>
              <w:right w:val="single" w:sz="4" w:space="0" w:color="auto"/>
            </w:tcBorders>
          </w:tcPr>
          <w:p w14:paraId="228560EA" w14:textId="2045D520"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 xml:space="preserve">Bem </w:t>
            </w:r>
            <w:proofErr w:type="gramStart"/>
            <w:r w:rsidRPr="00967EB2">
              <w:rPr>
                <w:rFonts w:ascii="Verdana" w:hAnsi="Verdana" w:cstheme="minorHAnsi"/>
                <w:sz w:val="20"/>
                <w:szCs w:val="20"/>
                <w:u w:val="single"/>
              </w:rPr>
              <w:t>Viver  Praça</w:t>
            </w:r>
            <w:proofErr w:type="gramEnd"/>
            <w:r w:rsidRPr="00967EB2">
              <w:rPr>
                <w:rFonts w:ascii="Verdana" w:hAnsi="Verdana" w:cstheme="minorHAnsi"/>
                <w:sz w:val="20"/>
                <w:szCs w:val="20"/>
                <w:u w:val="single"/>
              </w:rPr>
              <w:t xml:space="preserve">  Buarque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E3B783" w14:textId="7777777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w:t>
            </w:r>
            <w:r w:rsidRPr="00967EB2">
              <w:rPr>
                <w:rFonts w:ascii="Verdana" w:hAnsi="Verdana" w:cstheme="minorHAnsi"/>
                <w:iCs/>
                <w:sz w:val="20"/>
                <w:szCs w:val="20"/>
              </w:rPr>
              <w:lastRenderedPageBreak/>
              <w:t xml:space="preserve">12º andar, conjunto 1.210, Sala 05 – CEP: 01228-200, inscrita no CNPJ/ME sob nº  </w:t>
            </w:r>
            <w:r>
              <w:rPr>
                <w:rFonts w:ascii="Verdana" w:hAnsi="Verdana" w:cstheme="minorHAnsi"/>
                <w:iCs/>
                <w:sz w:val="20"/>
                <w:szCs w:val="20"/>
              </w:rPr>
              <w:t>[--]</w:t>
            </w:r>
            <w:r w:rsidRPr="00967EB2">
              <w:rPr>
                <w:rFonts w:ascii="Verdana" w:hAnsi="Verdana" w:cstheme="minorHAnsi"/>
                <w:iCs/>
                <w:sz w:val="20"/>
                <w:szCs w:val="20"/>
              </w:rPr>
              <w:t xml:space="preserve">, NIRE nº </w:t>
            </w:r>
            <w:r>
              <w:rPr>
                <w:rFonts w:ascii="Verdana" w:hAnsi="Verdana" w:cstheme="minorHAnsi"/>
                <w:iCs/>
                <w:sz w:val="20"/>
                <w:szCs w:val="20"/>
              </w:rPr>
              <w:t>[--]</w:t>
            </w:r>
            <w:r>
              <w:rPr>
                <w:rFonts w:ascii="Verdana" w:hAnsi="Verdana" w:cstheme="minorHAnsi"/>
                <w:bCs/>
                <w:sz w:val="20"/>
                <w:szCs w:val="20"/>
              </w:rPr>
              <w:t>;</w:t>
            </w:r>
            <w:r w:rsidRPr="005270B8">
              <w:rPr>
                <w:rFonts w:ascii="Verdana" w:hAnsi="Verdana"/>
                <w:spacing w:val="-3"/>
                <w:sz w:val="20"/>
                <w:szCs w:val="20"/>
              </w:rPr>
              <w:t xml:space="preserve"> </w:t>
            </w:r>
          </w:p>
          <w:p w14:paraId="480419DF" w14:textId="77777777" w:rsidR="00C55C51" w:rsidRPr="005270B8" w:rsidRDefault="00C55C51" w:rsidP="00C55C51">
            <w:pPr>
              <w:spacing w:line="280" w:lineRule="atLeast"/>
              <w:rPr>
                <w:rFonts w:ascii="Verdana" w:hAnsi="Verdana" w:cstheme="minorHAnsi"/>
                <w:sz w:val="20"/>
                <w:szCs w:val="20"/>
              </w:rPr>
            </w:pPr>
          </w:p>
        </w:tc>
      </w:tr>
      <w:tr w:rsidR="00C55C51" w:rsidRPr="005270B8" w14:paraId="23B57F97" w14:textId="77777777" w:rsidTr="00C55C51">
        <w:tc>
          <w:tcPr>
            <w:tcW w:w="3570" w:type="dxa"/>
            <w:tcBorders>
              <w:top w:val="single" w:sz="4" w:space="0" w:color="auto"/>
              <w:left w:val="single" w:sz="4" w:space="0" w:color="auto"/>
              <w:bottom w:val="single" w:sz="4" w:space="0" w:color="auto"/>
              <w:right w:val="single" w:sz="4" w:space="0" w:color="auto"/>
            </w:tcBorders>
          </w:tcPr>
          <w:p w14:paraId="100BE587"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Pr>
                <w:rFonts w:ascii="Verdana" w:hAnsi="Verdana" w:cstheme="minorHAnsi"/>
                <w:sz w:val="20"/>
                <w:szCs w:val="20"/>
                <w:u w:val="single"/>
              </w:rPr>
              <w:t>Aurora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3712BA8" w14:textId="77777777" w:rsidR="00C55C51" w:rsidRDefault="00C55C51" w:rsidP="00C55C51">
            <w:pPr>
              <w:spacing w:line="280" w:lineRule="atLeast"/>
              <w:rPr>
                <w:rFonts w:ascii="Verdana" w:hAnsi="Verdana"/>
                <w:spacing w:val="-3"/>
                <w:sz w:val="20"/>
                <w:szCs w:val="20"/>
              </w:rPr>
            </w:pPr>
            <w:r w:rsidRPr="00D973AE">
              <w:rPr>
                <w:rFonts w:ascii="Verdana" w:hAnsi="Verdana" w:cstheme="minorHAnsi"/>
                <w:iCs/>
                <w:sz w:val="20"/>
                <w:szCs w:val="20"/>
              </w:rPr>
              <w:t>Significa o</w:t>
            </w:r>
            <w:r>
              <w:rPr>
                <w:rFonts w:ascii="Verdana" w:hAnsi="Verdana" w:cstheme="minorHAnsi"/>
                <w:iCs/>
                <w:sz w:val="20"/>
                <w:szCs w:val="20"/>
              </w:rPr>
              <w:t xml:space="preserve"> 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de São Paulo, de propriedade da [--]</w:t>
            </w:r>
            <w:r>
              <w:rPr>
                <w:rFonts w:ascii="Verdana" w:hAnsi="Verdana"/>
                <w:spacing w:val="-3"/>
                <w:sz w:val="20"/>
                <w:szCs w:val="20"/>
              </w:rPr>
              <w:t>;</w:t>
            </w:r>
          </w:p>
          <w:p w14:paraId="17A4AE0A" w14:textId="77777777" w:rsidR="00C55C51" w:rsidRPr="005270B8" w:rsidRDefault="00C55C51" w:rsidP="00C55C51">
            <w:pPr>
              <w:spacing w:line="280" w:lineRule="atLeast"/>
              <w:rPr>
                <w:rFonts w:ascii="Verdana" w:hAnsi="Verdana" w:cstheme="minorHAnsi"/>
                <w:iCs/>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22C75F78"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C55C51" w:rsidRPr="005270B8">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Fortunato</w:t>
            </w:r>
            <w:r w:rsidR="005D7D4F">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Praça Buarque</w:t>
            </w:r>
            <w:r w:rsidR="005D7D4F">
              <w:rPr>
                <w:rFonts w:ascii="Verdana" w:hAnsi="Verdana" w:cstheme="minorHAnsi"/>
                <w:bCs/>
                <w:sz w:val="20"/>
                <w:szCs w:val="20"/>
              </w:rPr>
              <w:t>,</w:t>
            </w:r>
            <w:r w:rsidR="00C55C51">
              <w:rPr>
                <w:rFonts w:ascii="Verdana" w:hAnsi="Verdana" w:cstheme="minorHAnsi"/>
                <w:bCs/>
                <w:sz w:val="20"/>
                <w:szCs w:val="20"/>
              </w:rPr>
              <w:t xml:space="preserve"> </w:t>
            </w:r>
            <w:r w:rsidRPr="005270B8">
              <w:rPr>
                <w:rFonts w:ascii="Verdana" w:hAnsi="Verdana" w:cstheme="minorHAnsi"/>
                <w:bCs/>
                <w:sz w:val="20"/>
                <w:szCs w:val="20"/>
              </w:rPr>
              <w:t xml:space="preserve">e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C55C51">
              <w:rPr>
                <w:rFonts w:ascii="Verdana" w:hAnsi="Verdana" w:cstheme="minorHAnsi"/>
                <w:bCs/>
                <w:sz w:val="20"/>
                <w:szCs w:val="20"/>
              </w:rPr>
              <w:t>Aurora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Escriturador</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67D6A0BF"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o </w:t>
            </w:r>
            <w:r w:rsidR="00E00BF9" w:rsidRPr="004378C9">
              <w:rPr>
                <w:rFonts w:ascii="Verdana" w:hAnsi="Verdana" w:cstheme="minorHAnsi"/>
                <w:b/>
                <w:bCs/>
                <w:sz w:val="20"/>
                <w:szCs w:val="20"/>
                <w:highlight w:val="yellow"/>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01326489"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D57FA">
              <w:rPr>
                <w:rFonts w:ascii="Verdana" w:hAnsi="Verdana" w:cstheme="minorHAnsi"/>
                <w:bCs/>
                <w:sz w:val="20"/>
                <w:szCs w:val="20"/>
              </w:rPr>
              <w:t>[--] de [--] 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lastRenderedPageBreak/>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61669034"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r w:rsidR="00784305">
              <w:rPr>
                <w:rFonts w:ascii="Verdana" w:hAnsi="Verdana" w:cstheme="minorHAnsi"/>
                <w:sz w:val="20"/>
                <w:szCs w:val="20"/>
              </w:rPr>
              <w:t>[</w:t>
            </w:r>
            <w:r w:rsidRPr="00784305">
              <w:rPr>
                <w:rFonts w:ascii="Verdana" w:hAnsi="Verdana" w:cstheme="minorHAnsi"/>
                <w:b/>
                <w:bCs/>
                <w:sz w:val="20"/>
                <w:szCs w:val="20"/>
              </w:rPr>
              <w:t>SIMPLIFIC PAVARINI DISTRIBUIDORA DE TÍTULOS E 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w:t>
            </w:r>
            <w:r w:rsidR="00784305">
              <w:rPr>
                <w:rFonts w:ascii="Verdana" w:hAnsi="Verdana" w:cstheme="minorHAnsi"/>
                <w:sz w:val="20"/>
                <w:szCs w:val="20"/>
              </w:rPr>
              <w:t>]</w:t>
            </w:r>
            <w:r w:rsidRPr="00784305">
              <w:rPr>
                <w:rFonts w:ascii="Verdana" w:hAnsi="Verdana" w:cstheme="minorHAnsi"/>
                <w:sz w:val="20"/>
                <w:szCs w:val="20"/>
              </w:rPr>
              <w:t>,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7315192B" w:rsidR="00362799" w:rsidRDefault="00BF2C19" w:rsidP="00362799">
            <w:pPr>
              <w:spacing w:line="280" w:lineRule="atLeast"/>
              <w:rPr>
                <w:rFonts w:ascii="Verdana" w:hAnsi="Verdana" w:cstheme="minorHAnsi"/>
                <w:sz w:val="20"/>
                <w:szCs w:val="20"/>
              </w:rPr>
            </w:pPr>
            <w:r>
              <w:rPr>
                <w:rFonts w:ascii="Verdana" w:hAnsi="Verdana" w:cstheme="minorHAnsi"/>
                <w:sz w:val="20"/>
                <w:szCs w:val="20"/>
              </w:rPr>
              <w:t>[</w:t>
            </w:r>
            <w:r w:rsidR="00362799" w:rsidRPr="00362799">
              <w:rPr>
                <w:rFonts w:ascii="Verdana" w:hAnsi="Verdana" w:cstheme="minorHAnsi"/>
                <w:sz w:val="20"/>
                <w:szCs w:val="20"/>
              </w:rPr>
              <w:t>qualquer uma ou mais das seguintes instituições: (i) Banco Bradesco S.A.; (</w:t>
            </w:r>
            <w:proofErr w:type="spellStart"/>
            <w:r w:rsidR="00362799" w:rsidRPr="00362799">
              <w:rPr>
                <w:rFonts w:ascii="Verdana" w:hAnsi="Verdana" w:cstheme="minorHAnsi"/>
                <w:sz w:val="20"/>
                <w:szCs w:val="20"/>
              </w:rPr>
              <w:t>ii</w:t>
            </w:r>
            <w:proofErr w:type="spellEnd"/>
            <w:r w:rsidR="00362799" w:rsidRPr="00362799">
              <w:rPr>
                <w:rFonts w:ascii="Verdana" w:hAnsi="Verdana" w:cstheme="minorHAnsi"/>
                <w:sz w:val="20"/>
                <w:szCs w:val="20"/>
              </w:rPr>
              <w:t>) Itaú Unibanco S.A.; (</w:t>
            </w:r>
            <w:proofErr w:type="spellStart"/>
            <w:r w:rsidR="00362799" w:rsidRPr="00362799">
              <w:rPr>
                <w:rFonts w:ascii="Verdana" w:hAnsi="Verdana" w:cstheme="minorHAnsi"/>
                <w:sz w:val="20"/>
                <w:szCs w:val="20"/>
              </w:rPr>
              <w:t>iii</w:t>
            </w:r>
            <w:proofErr w:type="spellEnd"/>
            <w:r w:rsidR="00362799" w:rsidRPr="00362799">
              <w:rPr>
                <w:rFonts w:ascii="Verdana" w:hAnsi="Verdana" w:cstheme="minorHAnsi"/>
                <w:sz w:val="20"/>
                <w:szCs w:val="20"/>
              </w:rPr>
              <w:t>) Banco Santander (Brasil) S.A.; (</w:t>
            </w:r>
            <w:proofErr w:type="spellStart"/>
            <w:r w:rsidR="00362799" w:rsidRPr="00362799">
              <w:rPr>
                <w:rFonts w:ascii="Verdana" w:hAnsi="Verdana" w:cstheme="minorHAnsi"/>
                <w:sz w:val="20"/>
                <w:szCs w:val="20"/>
              </w:rPr>
              <w:t>iv</w:t>
            </w:r>
            <w:proofErr w:type="spellEnd"/>
            <w:r w:rsidR="00362799" w:rsidRPr="00362799">
              <w:rPr>
                <w:rFonts w:ascii="Verdana" w:hAnsi="Verdana" w:cstheme="minorHAnsi"/>
                <w:sz w:val="20"/>
                <w:szCs w:val="20"/>
              </w:rPr>
              <w:t>) Banco do Brasil S.A., (v) Caixa Econômica Federal, e/ou (vi) qualquer instituição integrante do mesmo grupo econômico das instituições financeiras acima referidas, inclusive as administradoras e gestoras de fundos de investimento, com liquidez diária e juros pós-fixados;</w:t>
            </w:r>
            <w:r>
              <w:rPr>
                <w:rFonts w:ascii="Verdana" w:hAnsi="Verdana" w:cstheme="minorHAnsi"/>
                <w:sz w:val="20"/>
                <w:szCs w:val="20"/>
              </w:rPr>
              <w:t>]</w:t>
            </w:r>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1"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23"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3"/>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4" w:name="_Toc246825806"/>
            <w:r w:rsidRPr="005270B8">
              <w:rPr>
                <w:rFonts w:ascii="Verdana" w:hAnsi="Verdana" w:cstheme="minorHAnsi"/>
                <w:sz w:val="20"/>
                <w:szCs w:val="20"/>
              </w:rPr>
              <w:t xml:space="preserve">Significa a Lei nº 9.514, de 20 de novembro de 1997, conforme </w:t>
            </w:r>
            <w:bookmarkEnd w:id="24"/>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w:t>
            </w:r>
            <w:proofErr w:type="spellStart"/>
            <w:r w:rsidRPr="005270B8">
              <w:rPr>
                <w:rFonts w:ascii="Verdana" w:hAnsi="Verdana" w:cstheme="minorHAnsi"/>
                <w:i/>
                <w:iCs/>
                <w:sz w:val="20"/>
                <w:szCs w:val="20"/>
              </w:rPr>
              <w:t>Convention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2A719BF0"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a </w:t>
            </w:r>
            <w:r w:rsidR="002B2798" w:rsidRPr="004378C9">
              <w:rPr>
                <w:rFonts w:ascii="Verdana" w:hAnsi="Verdana" w:cstheme="minorHAnsi"/>
                <w:sz w:val="20"/>
                <w:szCs w:val="20"/>
                <w:highlight w:val="yellow"/>
              </w:rPr>
              <w:t>[--]</w:t>
            </w:r>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5" w:name="_Hlk514708609"/>
            <w:r w:rsidRPr="00062CFB">
              <w:rPr>
                <w:rFonts w:ascii="Verdana" w:hAnsi="Verdana"/>
                <w:spacing w:val="2"/>
                <w:sz w:val="20"/>
                <w:szCs w:val="20"/>
              </w:rPr>
              <w:t xml:space="preserve">, multas, despesas, custas, </w:t>
            </w:r>
            <w:r w:rsidRPr="00062CFB">
              <w:rPr>
                <w:rFonts w:ascii="Verdana" w:hAnsi="Verdana"/>
                <w:spacing w:val="2"/>
                <w:sz w:val="20"/>
                <w:szCs w:val="20"/>
              </w:rPr>
              <w:lastRenderedPageBreak/>
              <w:t>honorários, encargos, tributos, penalidades e indenizações relativas à CCB e aos CRI</w:t>
            </w:r>
            <w:bookmarkEnd w:id="25"/>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w:t>
            </w:r>
            <w:proofErr w:type="spellStart"/>
            <w:r w:rsidRPr="00062CFB">
              <w:rPr>
                <w:rFonts w:ascii="Verdana" w:hAnsi="Verdana"/>
                <w:b/>
                <w:bCs/>
                <w:spacing w:val="2"/>
                <w:sz w:val="20"/>
                <w:szCs w:val="20"/>
              </w:rPr>
              <w:t>ii</w:t>
            </w:r>
            <w:proofErr w:type="spellEnd"/>
            <w:r w:rsidRPr="00062CFB">
              <w:rPr>
                <w:rFonts w:ascii="Verdana" w:hAnsi="Verdana"/>
                <w:b/>
                <w:bCs/>
                <w:spacing w:val="2"/>
                <w:sz w:val="20"/>
                <w:szCs w:val="20"/>
              </w:rPr>
              <w:t>)</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4C2EFF3E" w:rsidR="002511EA" w:rsidRPr="002511EA" w:rsidRDefault="002511EA" w:rsidP="00F00096">
            <w:pPr>
              <w:spacing w:line="280" w:lineRule="atLeast"/>
              <w:jc w:val="left"/>
              <w:rPr>
                <w:rFonts w:ascii="Verdana" w:hAnsi="Verdana" w:cstheme="minorHAnsi"/>
                <w:sz w:val="20"/>
                <w:szCs w:val="20"/>
              </w:rPr>
            </w:pPr>
            <w:r w:rsidRPr="00C71080">
              <w:rPr>
                <w:rFonts w:ascii="Verdana" w:hAnsi="Verdana" w:cstheme="minorHAnsi"/>
                <w:sz w:val="20"/>
                <w:szCs w:val="20"/>
                <w:highlight w:val="yellow"/>
              </w:rPr>
              <w:t>[</w:t>
            </w:r>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r w:rsidRPr="00C71080">
              <w:rPr>
                <w:rFonts w:ascii="Verdana" w:hAnsi="Verdana" w:cstheme="minorHAnsi"/>
                <w:sz w:val="20"/>
                <w:szCs w:val="20"/>
                <w:highlight w:val="yellow"/>
              </w:rPr>
              <w:t>]</w:t>
            </w:r>
          </w:p>
        </w:tc>
        <w:tc>
          <w:tcPr>
            <w:tcW w:w="6317" w:type="dxa"/>
            <w:tcBorders>
              <w:top w:val="single" w:sz="4" w:space="0" w:color="auto"/>
              <w:left w:val="single" w:sz="4" w:space="0" w:color="auto"/>
              <w:bottom w:val="single" w:sz="4" w:space="0" w:color="auto"/>
              <w:right w:val="single" w:sz="4" w:space="0" w:color="auto"/>
            </w:tcBorders>
          </w:tcPr>
          <w:p w14:paraId="37E056A8" w14:textId="444BAADD" w:rsidR="002511EA" w:rsidRPr="005270B8" w:rsidRDefault="0007681F" w:rsidP="002511EA">
            <w:pPr>
              <w:spacing w:line="280" w:lineRule="atLeast"/>
              <w:rPr>
                <w:rFonts w:ascii="Verdana" w:hAnsi="Verdana" w:cs="Arial"/>
                <w:color w:val="000000"/>
                <w:sz w:val="20"/>
                <w:szCs w:val="20"/>
              </w:rPr>
            </w:pPr>
            <w:r w:rsidRPr="00C71080">
              <w:rPr>
                <w:rFonts w:ascii="Verdana" w:hAnsi="Verdana" w:cstheme="minorHAnsi"/>
                <w:sz w:val="20"/>
                <w:szCs w:val="20"/>
                <w:highlight w:val="yellow"/>
              </w:rPr>
              <w:t>[</w:t>
            </w:r>
            <w:r w:rsidR="002511EA" w:rsidRPr="005270B8">
              <w:rPr>
                <w:rFonts w:ascii="Verdana" w:hAnsi="Verdana" w:cstheme="minorHAnsi"/>
                <w:sz w:val="20"/>
                <w:szCs w:val="20"/>
              </w:rPr>
              <w:t xml:space="preserve">Significa o pagamento antecipado </w:t>
            </w:r>
            <w:r w:rsidR="002511EA">
              <w:rPr>
                <w:rFonts w:ascii="Verdana" w:hAnsi="Verdana" w:cstheme="minorHAnsi"/>
                <w:sz w:val="20"/>
                <w:szCs w:val="20"/>
              </w:rPr>
              <w:t>obrigatório,</w:t>
            </w:r>
            <w:r w:rsidR="002511EA" w:rsidRPr="005270B8">
              <w:rPr>
                <w:rFonts w:ascii="Verdana" w:hAnsi="Verdana" w:cstheme="minorHAnsi"/>
                <w:sz w:val="20"/>
                <w:szCs w:val="20"/>
              </w:rPr>
              <w:t xml:space="preserve"> </w:t>
            </w:r>
            <w:r w:rsidR="002511EA">
              <w:rPr>
                <w:rFonts w:ascii="Verdana" w:hAnsi="Verdana" w:cstheme="minorHAnsi"/>
                <w:sz w:val="20"/>
                <w:szCs w:val="20"/>
              </w:rPr>
              <w:t>total ou parcial,</w:t>
            </w:r>
            <w:r w:rsidR="002511EA" w:rsidRPr="005270B8">
              <w:rPr>
                <w:rFonts w:ascii="Verdana" w:hAnsi="Verdana" w:cstheme="minorHAnsi"/>
                <w:sz w:val="20"/>
                <w:szCs w:val="20"/>
              </w:rPr>
              <w:t xml:space="preserve"> do saldo devedor da CCB que a Devedora </w:t>
            </w:r>
            <w:r w:rsidR="002511EA">
              <w:rPr>
                <w:rFonts w:ascii="Verdana" w:hAnsi="Verdana" w:cstheme="minorHAnsi"/>
                <w:sz w:val="20"/>
                <w:szCs w:val="20"/>
              </w:rPr>
              <w:t>deverá</w:t>
            </w:r>
            <w:r w:rsidR="002511EA" w:rsidRPr="005270B8">
              <w:rPr>
                <w:rFonts w:ascii="Verdana" w:hAnsi="Verdana" w:cstheme="minorHAnsi"/>
                <w:sz w:val="20"/>
                <w:szCs w:val="20"/>
              </w:rPr>
              <w:t xml:space="preserve"> realizar, </w:t>
            </w:r>
            <w:r w:rsidR="002511EA" w:rsidRPr="005270B8">
              <w:rPr>
                <w:rFonts w:ascii="Verdana" w:hAnsi="Verdana" w:cs="Arial"/>
                <w:color w:val="000000"/>
                <w:sz w:val="20"/>
                <w:szCs w:val="20"/>
              </w:rPr>
              <w:t xml:space="preserve">a partir </w:t>
            </w:r>
            <w:r w:rsidR="002511EA" w:rsidRPr="00CC2223">
              <w:rPr>
                <w:rFonts w:ascii="Verdana" w:hAnsi="Verdana" w:cs="Arial"/>
                <w:color w:val="000000"/>
                <w:sz w:val="20"/>
                <w:szCs w:val="20"/>
              </w:rPr>
              <w:t>d</w:t>
            </w:r>
            <w:r w:rsidR="002511EA">
              <w:rPr>
                <w:rFonts w:ascii="Verdana" w:hAnsi="Verdana" w:cs="Arial"/>
                <w:color w:val="000000"/>
                <w:sz w:val="20"/>
                <w:szCs w:val="20"/>
              </w:rPr>
              <w:t>a</w:t>
            </w:r>
            <w:r w:rsidR="002511EA" w:rsidRPr="00CC2223">
              <w:rPr>
                <w:rFonts w:ascii="Verdana" w:hAnsi="Verdana" w:cs="Arial"/>
                <w:color w:val="000000"/>
                <w:sz w:val="20"/>
                <w:szCs w:val="20"/>
              </w:rPr>
              <w:t xml:space="preserve"> </w:t>
            </w:r>
            <w:r w:rsidR="002511EA">
              <w:rPr>
                <w:rFonts w:ascii="Verdana" w:hAnsi="Verdana" w:cs="Arial"/>
                <w:color w:val="000000"/>
                <w:sz w:val="20"/>
                <w:szCs w:val="20"/>
              </w:rPr>
              <w:t>primeira Data de Pagamento da Amortização</w:t>
            </w:r>
            <w:r w:rsidR="002511EA" w:rsidRPr="005270B8">
              <w:rPr>
                <w:rFonts w:ascii="Verdana" w:hAnsi="Verdana" w:cs="Arial"/>
                <w:color w:val="000000"/>
                <w:sz w:val="20"/>
                <w:szCs w:val="20"/>
              </w:rPr>
              <w:t xml:space="preserve">, conforme detalhado na Cláusula </w:t>
            </w:r>
            <w:r w:rsidR="002511EA" w:rsidRPr="00A2021B">
              <w:rPr>
                <w:rFonts w:ascii="Verdana" w:hAnsi="Verdana" w:cs="Arial"/>
                <w:color w:val="000000"/>
                <w:sz w:val="20"/>
                <w:szCs w:val="20"/>
              </w:rPr>
              <w:fldChar w:fldCharType="begin"/>
            </w:r>
            <w:r w:rsidR="002511EA" w:rsidRPr="005270B8">
              <w:rPr>
                <w:rFonts w:ascii="Verdana" w:hAnsi="Verdana" w:cs="Arial"/>
                <w:color w:val="000000"/>
                <w:sz w:val="20"/>
                <w:szCs w:val="20"/>
              </w:rPr>
              <w:instrText xml:space="preserve"> REF _Ref43381202 \r \p \h  \* MERGEFORMAT </w:instrText>
            </w:r>
            <w:r w:rsidR="002511EA" w:rsidRPr="00A2021B">
              <w:rPr>
                <w:rFonts w:ascii="Verdana" w:hAnsi="Verdana" w:cs="Arial"/>
                <w:color w:val="000000"/>
                <w:sz w:val="20"/>
                <w:szCs w:val="20"/>
              </w:rPr>
            </w:r>
            <w:r w:rsidR="002511EA" w:rsidRPr="00A2021B">
              <w:rPr>
                <w:rFonts w:ascii="Verdana" w:hAnsi="Verdana" w:cs="Arial"/>
                <w:color w:val="000000"/>
                <w:sz w:val="20"/>
                <w:szCs w:val="20"/>
              </w:rPr>
              <w:fldChar w:fldCharType="separate"/>
            </w:r>
            <w:r w:rsidR="002511EA">
              <w:rPr>
                <w:rFonts w:ascii="Verdana" w:hAnsi="Verdana" w:cs="Arial"/>
                <w:color w:val="000000"/>
                <w:sz w:val="20"/>
                <w:szCs w:val="20"/>
              </w:rPr>
              <w:t>6.</w:t>
            </w:r>
            <w:r w:rsidR="00E12CE7">
              <w:rPr>
                <w:rFonts w:ascii="Verdana" w:hAnsi="Verdana" w:cs="Arial"/>
                <w:color w:val="000000"/>
                <w:sz w:val="20"/>
                <w:szCs w:val="20"/>
              </w:rPr>
              <w:t>1</w:t>
            </w:r>
            <w:r w:rsidR="002511EA">
              <w:rPr>
                <w:rFonts w:ascii="Verdana" w:hAnsi="Verdana" w:cs="Arial"/>
                <w:color w:val="000000"/>
                <w:sz w:val="20"/>
                <w:szCs w:val="20"/>
              </w:rPr>
              <w:t xml:space="preserve"> abaixo</w:t>
            </w:r>
            <w:r w:rsidR="002511EA" w:rsidRPr="00A2021B">
              <w:rPr>
                <w:rFonts w:ascii="Verdana" w:hAnsi="Verdana" w:cs="Arial"/>
                <w:color w:val="000000"/>
                <w:sz w:val="20"/>
                <w:szCs w:val="20"/>
              </w:rPr>
              <w:fldChar w:fldCharType="end"/>
            </w:r>
            <w:r w:rsidR="002511EA" w:rsidRPr="005270B8">
              <w:rPr>
                <w:rFonts w:ascii="Verdana" w:hAnsi="Verdana" w:cs="Arial"/>
                <w:color w:val="000000"/>
                <w:sz w:val="20"/>
                <w:szCs w:val="20"/>
              </w:rPr>
              <w:t>;</w:t>
            </w:r>
            <w:r w:rsidRPr="00C71080">
              <w:rPr>
                <w:rFonts w:ascii="Verdana" w:hAnsi="Verdana" w:cs="Arial"/>
                <w:color w:val="000000"/>
                <w:sz w:val="20"/>
                <w:szCs w:val="20"/>
                <w:highlight w:val="yellow"/>
              </w:rPr>
              <w:t>]</w:t>
            </w:r>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632383" w:rsidRPr="005270B8" w14:paraId="64B929F2" w14:textId="77777777" w:rsidTr="0083126C">
        <w:tc>
          <w:tcPr>
            <w:tcW w:w="3570" w:type="dxa"/>
            <w:tcBorders>
              <w:top w:val="single" w:sz="4" w:space="0" w:color="auto"/>
              <w:left w:val="single" w:sz="4" w:space="0" w:color="auto"/>
              <w:bottom w:val="single" w:sz="4" w:space="0" w:color="auto"/>
              <w:right w:val="single" w:sz="4" w:space="0" w:color="auto"/>
            </w:tcBorders>
          </w:tcPr>
          <w:p w14:paraId="233B2C54" w14:textId="44626D9A"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Inicial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205DBF" w14:textId="3C8C63E3"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632383" w:rsidRPr="005270B8" w14:paraId="45802F03" w14:textId="77777777" w:rsidTr="0083126C">
        <w:tc>
          <w:tcPr>
            <w:tcW w:w="3570" w:type="dxa"/>
            <w:tcBorders>
              <w:top w:val="single" w:sz="4" w:space="0" w:color="auto"/>
              <w:left w:val="single" w:sz="4" w:space="0" w:color="auto"/>
              <w:bottom w:val="single" w:sz="4" w:space="0" w:color="auto"/>
              <w:right w:val="single" w:sz="4" w:space="0" w:color="auto"/>
            </w:tcBorders>
          </w:tcPr>
          <w:p w14:paraId="2AC1550A" w14:textId="5FEBB136"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Subsequente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E8227E" w14:textId="37D58C1A"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22403C" w:rsidRPr="005270B8" w14:paraId="1932F5C6" w14:textId="77777777" w:rsidTr="0083126C">
        <w:tc>
          <w:tcPr>
            <w:tcW w:w="3570" w:type="dxa"/>
            <w:tcBorders>
              <w:top w:val="single" w:sz="4" w:space="0" w:color="auto"/>
              <w:left w:val="single" w:sz="4" w:space="0" w:color="auto"/>
              <w:bottom w:val="single" w:sz="4" w:space="0" w:color="auto"/>
              <w:right w:val="single" w:sz="4" w:space="0" w:color="auto"/>
            </w:tcBorders>
          </w:tcPr>
          <w:p w14:paraId="51DA3769" w14:textId="0418ABCB" w:rsidR="0022403C" w:rsidRPr="0022403C" w:rsidRDefault="0022403C" w:rsidP="002F0418">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Repasse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653F4C3" w14:textId="77777777" w:rsidR="0022403C" w:rsidRDefault="0022403C"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p w14:paraId="5677CAE6" w14:textId="77777777" w:rsidR="0022403C" w:rsidRDefault="0022403C" w:rsidP="002F0418">
            <w:pPr>
              <w:spacing w:line="280" w:lineRule="atLeast"/>
              <w:rPr>
                <w:rFonts w:ascii="Verdana" w:hAnsi="Verdana" w:cstheme="minorHAnsi"/>
                <w:sz w:val="20"/>
                <w:szCs w:val="20"/>
              </w:rPr>
            </w:pPr>
          </w:p>
          <w:p w14:paraId="3B8C8765" w14:textId="7DE1B208" w:rsidR="0022403C" w:rsidRPr="005270B8" w:rsidRDefault="0022403C" w:rsidP="002F0418">
            <w:pPr>
              <w:spacing w:line="280" w:lineRule="atLeast"/>
              <w:rPr>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w:t>
            </w:r>
            <w:proofErr w:type="spellStart"/>
            <w:r w:rsidR="0022403C">
              <w:rPr>
                <w:rFonts w:ascii="Verdana" w:hAnsi="Verdana" w:cstheme="minorHAnsi"/>
                <w:sz w:val="20"/>
                <w:szCs w:val="20"/>
              </w:rPr>
              <w:t>ii</w:t>
            </w:r>
            <w:proofErr w:type="spellEnd"/>
            <w:r w:rsidR="0022403C">
              <w:rPr>
                <w:rFonts w:ascii="Verdana" w:hAnsi="Verdana" w:cstheme="minorHAnsi"/>
                <w:sz w:val="20"/>
                <w:szCs w:val="20"/>
              </w:rPr>
              <w:t>)</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w:t>
            </w:r>
            <w:proofErr w:type="spellStart"/>
            <w:r w:rsidR="0022403C">
              <w:rPr>
                <w:rFonts w:ascii="Verdana" w:hAnsi="Verdana" w:cstheme="minorHAnsi"/>
                <w:sz w:val="20"/>
                <w:szCs w:val="20"/>
              </w:rPr>
              <w:t>iii</w:t>
            </w:r>
            <w:proofErr w:type="spellEnd"/>
            <w:r w:rsidR="0022403C">
              <w:rPr>
                <w:rFonts w:ascii="Verdana" w:hAnsi="Verdana" w:cstheme="minorHAnsi"/>
                <w:sz w:val="20"/>
                <w:szCs w:val="20"/>
              </w:rPr>
              <w:t>)</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lastRenderedPageBreak/>
              <w:t>“</w:t>
            </w:r>
            <w:proofErr w:type="spellStart"/>
            <w:r w:rsidRPr="00B8790E">
              <w:rPr>
                <w:rFonts w:ascii="Verdana" w:hAnsi="Verdana" w:cstheme="minorHAnsi"/>
                <w:sz w:val="20"/>
                <w:szCs w:val="20"/>
                <w:u w:val="single"/>
              </w:rPr>
              <w:t>SPEs</w:t>
            </w:r>
            <w:proofErr w:type="spellEnd"/>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67965134"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w:t>
            </w:r>
            <w:proofErr w:type="spellStart"/>
            <w:r>
              <w:rPr>
                <w:rFonts w:ascii="Verdana" w:hAnsi="Verdana" w:cstheme="minorHAnsi"/>
                <w:sz w:val="20"/>
                <w:szCs w:val="20"/>
              </w:rPr>
              <w:t>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w:t>
            </w:r>
            <w:proofErr w:type="spellStart"/>
            <w:r>
              <w:rPr>
                <w:rFonts w:ascii="Verdana" w:hAnsi="Verdana" w:cstheme="minorHAnsi"/>
                <w:sz w:val="20"/>
                <w:szCs w:val="20"/>
              </w:rPr>
              <w:t>iii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Pr="0079456C">
              <w:rPr>
                <w:rFonts w:ascii="Verdana" w:hAnsi="Verdana" w:cstheme="minorHAnsi"/>
                <w:b/>
                <w:bCs/>
                <w:sz w:val="20"/>
                <w:szCs w:val="20"/>
              </w:rPr>
              <w:t>BEM VIVER  PRAÇA BUARQUE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xml:space="preserve">, na Avenida Angélica nº 1.996, 12º andar, conjunto 1.210, Sala 05 – CEP: 01228-200, inscrita no CNPJ/ME sob nº </w:t>
            </w:r>
            <w:r w:rsidR="0079456C" w:rsidRPr="0079456C">
              <w:rPr>
                <w:rFonts w:ascii="Verdana" w:hAnsi="Verdana" w:cstheme="minorHAnsi"/>
                <w:sz w:val="20"/>
                <w:szCs w:val="20"/>
                <w:highlight w:val="yellow"/>
              </w:rPr>
              <w:t>[--]</w:t>
            </w:r>
            <w:r w:rsidRPr="00525E83">
              <w:rPr>
                <w:rFonts w:ascii="Verdana" w:hAnsi="Verdana" w:cstheme="minorHAnsi"/>
                <w:sz w:val="20"/>
                <w:szCs w:val="20"/>
              </w:rPr>
              <w:t xml:space="preserve">, NIRE nº </w:t>
            </w:r>
            <w:r w:rsidR="0079456C" w:rsidRPr="0079456C">
              <w:rPr>
                <w:rFonts w:ascii="Verdana" w:hAnsi="Verdana" w:cstheme="minorHAnsi"/>
                <w:sz w:val="20"/>
                <w:szCs w:val="20"/>
                <w:highlight w:val="yellow"/>
              </w:rPr>
              <w:t>[--]</w:t>
            </w:r>
            <w:r>
              <w:rPr>
                <w:rFonts w:ascii="Verdana" w:hAnsi="Verdana" w:cstheme="minorHAnsi"/>
                <w:sz w:val="20"/>
                <w:szCs w:val="20"/>
              </w:rPr>
              <w:t xml:space="preserve">; e (v) a </w:t>
            </w:r>
            <w:r w:rsidRPr="00525E83">
              <w:rPr>
                <w:rFonts w:ascii="Verdana" w:hAnsi="Verdana" w:cstheme="minorHAnsi"/>
                <w:sz w:val="20"/>
                <w:szCs w:val="20"/>
                <w:highlight w:val="yellow"/>
              </w:rPr>
              <w:t>[--]</w:t>
            </w:r>
            <w:r>
              <w:rPr>
                <w:rFonts w:ascii="Verdana" w:hAnsi="Verdana" w:cstheme="minorHAnsi"/>
                <w:sz w:val="20"/>
                <w:szCs w:val="20"/>
              </w:rPr>
              <w:t>;</w:t>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43675243"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R$9.000.000,00 </w:t>
            </w:r>
            <w:r w:rsidRPr="00441A87">
              <w:rPr>
                <w:rFonts w:ascii="Verdana" w:hAnsi="Verdana"/>
                <w:sz w:val="20"/>
                <w:szCs w:val="20"/>
              </w:rPr>
              <w:t>(</w:t>
            </w:r>
            <w:r>
              <w:rPr>
                <w:rFonts w:ascii="Verdana" w:hAnsi="Verdana"/>
                <w:sz w:val="20"/>
                <w:szCs w:val="20"/>
              </w:rPr>
              <w:t>nove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1743BBFE"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Pr>
                <w:rFonts w:ascii="Verdana" w:hAnsi="Verdana"/>
                <w:sz w:val="20"/>
                <w:szCs w:val="20"/>
              </w:rPr>
              <w:t>9</w:t>
            </w:r>
            <w:r w:rsidRPr="005270B8">
              <w:rPr>
                <w:rFonts w:ascii="Verdana" w:hAnsi="Verdana"/>
                <w:sz w:val="20"/>
                <w:szCs w:val="20"/>
              </w:rPr>
              <w:t>.000.000,00 (</w:t>
            </w:r>
            <w:r>
              <w:rPr>
                <w:rFonts w:ascii="Verdana" w:hAnsi="Verdana"/>
                <w:sz w:val="20"/>
                <w:szCs w:val="20"/>
              </w:rPr>
              <w:t>nove</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44ABEF"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R$9.000.000,00 (nove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2FEA6895"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Significa o vencimento antecipado das obrigações decorrentes da CCB na ocorrência de qualquer dos eventos descritos nas </w:t>
            </w:r>
            <w:r w:rsidR="004D2FEB" w:rsidRPr="00062CFB">
              <w:rPr>
                <w:rFonts w:ascii="Verdana" w:hAnsi="Verdana"/>
                <w:sz w:val="20"/>
                <w:szCs w:val="20"/>
              </w:rPr>
              <w:t>[</w:t>
            </w:r>
            <w:r w:rsidRPr="00062CFB">
              <w:rPr>
                <w:rFonts w:ascii="Verdana" w:hAnsi="Verdana"/>
                <w:sz w:val="20"/>
                <w:szCs w:val="20"/>
              </w:rPr>
              <w:t>Cláusulas 5.2 e 5.3 da CCB</w:t>
            </w:r>
            <w:r w:rsidR="004D2FEB" w:rsidRPr="00062CFB">
              <w:rPr>
                <w:rFonts w:ascii="Verdana" w:hAnsi="Verdana"/>
                <w:sz w:val="20"/>
                <w:szCs w:val="20"/>
              </w:rPr>
              <w:t>]</w:t>
            </w:r>
            <w:r w:rsidRPr="00062CFB">
              <w:rPr>
                <w:rFonts w:ascii="Verdana" w:hAnsi="Verdana"/>
                <w:sz w:val="20"/>
                <w:szCs w:val="20"/>
              </w:rPr>
              <w:t xml:space="preserve">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6" w:name="_Toc453274054"/>
      <w:bookmarkStart w:id="27" w:name="_Toc61353083"/>
      <w:r w:rsidRPr="005270B8">
        <w:rPr>
          <w:rFonts w:ascii="Verdana" w:hAnsi="Verdana" w:cstheme="minorHAnsi"/>
          <w:sz w:val="20"/>
          <w:szCs w:val="20"/>
        </w:rPr>
        <w:t>CLÁUSULA SEGUNDA: OBJETO</w:t>
      </w:r>
      <w:bookmarkEnd w:id="14"/>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5"/>
      <w:bookmarkEnd w:id="16"/>
      <w:bookmarkEnd w:id="17"/>
      <w:bookmarkEnd w:id="26"/>
      <w:bookmarkEnd w:id="27"/>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2E8EA6C3"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53426">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D53426">
        <w:rPr>
          <w:rFonts w:ascii="Verdana" w:hAnsi="Verdana" w:cstheme="minorHAnsi"/>
          <w:b w:val="0"/>
          <w:sz w:val="20"/>
          <w:szCs w:val="20"/>
          <w:u w:val="none"/>
          <w:lang w:val="pt-BR"/>
        </w:rPr>
        <w:t>[--]</w:t>
      </w:r>
      <w:r w:rsidR="00D53426"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D53426">
        <w:rPr>
          <w:rFonts w:ascii="Verdana" w:hAnsi="Verdana"/>
          <w:b w:val="0"/>
          <w:sz w:val="20"/>
          <w:szCs w:val="20"/>
          <w:u w:val="none"/>
          <w:lang w:val="pt-BR"/>
        </w:rPr>
        <w:t>9</w:t>
      </w:r>
      <w:r w:rsidR="008568D6" w:rsidRPr="00A2021B">
        <w:rPr>
          <w:rFonts w:ascii="Verdana" w:hAnsi="Verdana"/>
          <w:b w:val="0"/>
          <w:sz w:val="20"/>
          <w:szCs w:val="20"/>
          <w:u w:val="none"/>
        </w:rPr>
        <w:t>.000.000,00 (</w:t>
      </w:r>
      <w:r w:rsidR="00D53426">
        <w:rPr>
          <w:rFonts w:ascii="Verdana" w:hAnsi="Verdana"/>
          <w:b w:val="0"/>
          <w:sz w:val="20"/>
          <w:szCs w:val="20"/>
          <w:u w:val="none"/>
          <w:lang w:val="pt-BR"/>
        </w:rPr>
        <w:t>nove</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28" w:name="_Toc110076262"/>
      <w:bookmarkStart w:id="29" w:name="_Toc163380700"/>
      <w:bookmarkStart w:id="30" w:name="_Toc180553616"/>
      <w:bookmarkStart w:id="31"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610FFFC0" w:rsidR="00740D50" w:rsidRPr="009B198E" w:rsidRDefault="00740D50" w:rsidP="005748CA">
      <w:pPr>
        <w:pStyle w:val="Corpodetexto2"/>
        <w:numPr>
          <w:ilvl w:val="1"/>
          <w:numId w:val="17"/>
        </w:numPr>
        <w:tabs>
          <w:tab w:val="clear" w:pos="426"/>
        </w:tabs>
        <w:spacing w:line="280" w:lineRule="atLeast"/>
        <w:ind w:left="0" w:firstLine="0"/>
        <w:rPr>
          <w:rFonts w:ascii="Verdana" w:hAnsi="Verdana"/>
          <w:b w:val="0"/>
          <w:sz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r w:rsidR="00AD57FA" w:rsidRPr="002367E1">
        <w:rPr>
          <w:rFonts w:ascii="Verdana" w:hAnsi="Verdana" w:cstheme="minorHAnsi"/>
          <w:b w:val="0"/>
          <w:sz w:val="20"/>
          <w:szCs w:val="20"/>
          <w:highlight w:val="yellow"/>
          <w:u w:val="none"/>
          <w:lang w:val="pt-BR"/>
        </w:rPr>
        <w:t>[--]</w:t>
      </w:r>
      <w:r w:rsidR="00AD57FA">
        <w:rPr>
          <w:rFonts w:ascii="Verdana" w:hAnsi="Verdana" w:cstheme="minorHAnsi"/>
          <w:b w:val="0"/>
          <w:sz w:val="20"/>
          <w:szCs w:val="20"/>
          <w:u w:val="none"/>
          <w:lang w:val="pt-BR"/>
        </w:rPr>
        <w:t xml:space="preserve"> </w:t>
      </w:r>
      <w:r w:rsidR="00A66671">
        <w:rPr>
          <w:rFonts w:ascii="Verdana" w:hAnsi="Verdana" w:cstheme="minorHAnsi"/>
          <w:b w:val="0"/>
          <w:sz w:val="20"/>
          <w:szCs w:val="20"/>
          <w:u w:val="none"/>
          <w:lang w:val="pt-BR"/>
        </w:rPr>
        <w:t xml:space="preserve">de </w:t>
      </w:r>
      <w:r w:rsidR="00AD57FA" w:rsidRPr="002367E1">
        <w:rPr>
          <w:rFonts w:ascii="Verdana" w:hAnsi="Verdana" w:cstheme="minorHAnsi"/>
          <w:b w:val="0"/>
          <w:sz w:val="20"/>
          <w:szCs w:val="20"/>
          <w:highlight w:val="yellow"/>
          <w:u w:val="none"/>
          <w:lang w:val="pt-BR"/>
        </w:rPr>
        <w:t>[--]</w:t>
      </w:r>
      <w:r w:rsidR="00AD57FA"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w:t>
      </w:r>
      <w:r w:rsidR="00AD57FA">
        <w:rPr>
          <w:rFonts w:ascii="Verdana" w:hAnsi="Verdana" w:cstheme="minorHAnsi"/>
          <w:b w:val="0"/>
          <w:sz w:val="20"/>
          <w:szCs w:val="20"/>
          <w:u w:val="none"/>
          <w:lang w:val="pt-BR"/>
        </w:rPr>
        <w:t>1</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32" w:name="_Toc453274055"/>
      <w:bookmarkStart w:id="33" w:name="_Toc61353084"/>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28"/>
      <w:bookmarkEnd w:id="29"/>
      <w:bookmarkEnd w:id="30"/>
      <w:bookmarkEnd w:id="31"/>
      <w:bookmarkEnd w:id="32"/>
      <w:bookmarkEnd w:id="33"/>
      <w:r w:rsidR="007825FD">
        <w:rPr>
          <w:rFonts w:ascii="Verdana" w:hAnsi="Verdana" w:cstheme="minorHAnsi"/>
          <w:sz w:val="20"/>
          <w:szCs w:val="20"/>
        </w:rPr>
        <w:t xml:space="preserve"> E IMPACTO SOCIAL DOS CRI</w:t>
      </w:r>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34"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34"/>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E766BFD"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D1544C" w:rsidRPr="008B26A9">
        <w:rPr>
          <w:rFonts w:ascii="Verdana" w:hAnsi="Verdana"/>
          <w:sz w:val="20"/>
          <w:szCs w:val="20"/>
        </w:rPr>
        <w:t>9.000</w:t>
      </w:r>
      <w:r w:rsidR="00917F10" w:rsidRPr="008B26A9">
        <w:rPr>
          <w:rFonts w:ascii="Verdana" w:hAnsi="Verdana"/>
          <w:sz w:val="20"/>
          <w:szCs w:val="20"/>
        </w:rPr>
        <w:t xml:space="preserve"> (</w:t>
      </w:r>
      <w:r w:rsidR="00D1544C" w:rsidRPr="008B26A9">
        <w:rPr>
          <w:rFonts w:ascii="Verdana" w:hAnsi="Verdana"/>
          <w:sz w:val="20"/>
          <w:szCs w:val="20"/>
        </w:rPr>
        <w:t>nove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16D67B78"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1F5055">
        <w:rPr>
          <w:rFonts w:ascii="Verdana" w:hAnsi="Verdana"/>
          <w:sz w:val="20"/>
          <w:szCs w:val="20"/>
        </w:rPr>
        <w:t>9</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1F5055">
        <w:rPr>
          <w:rFonts w:ascii="Verdana" w:hAnsi="Verdana"/>
          <w:sz w:val="20"/>
          <w:szCs w:val="20"/>
        </w:rPr>
        <w:t>nove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5F96D610"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AD57FA">
        <w:rPr>
          <w:rFonts w:ascii="Verdana" w:hAnsi="Verdana" w:cstheme="minorHAnsi"/>
          <w:sz w:val="20"/>
          <w:szCs w:val="20"/>
        </w:rPr>
        <w:t>[--] de [--] 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3680C53E"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B2273B">
        <w:rPr>
          <w:rFonts w:ascii="Verdana" w:hAnsi="Verdana"/>
          <w:spacing w:val="2"/>
          <w:sz w:val="20"/>
          <w:szCs w:val="20"/>
        </w:rPr>
        <w:t>[--]</w:t>
      </w:r>
      <w:r w:rsidR="00B2273B" w:rsidRPr="0007630B">
        <w:rPr>
          <w:rFonts w:ascii="Verdana" w:hAnsi="Verdana"/>
          <w:sz w:val="20"/>
          <w:szCs w:val="20"/>
        </w:rPr>
        <w:t xml:space="preserve"> </w:t>
      </w:r>
      <w:r w:rsidR="00917F10" w:rsidRPr="0007630B">
        <w:rPr>
          <w:rFonts w:ascii="Verdana" w:hAnsi="Verdana"/>
          <w:sz w:val="20"/>
          <w:szCs w:val="20"/>
        </w:rPr>
        <w:t>(</w:t>
      </w:r>
      <w:r w:rsidR="00B2273B">
        <w:rPr>
          <w:rFonts w:ascii="Verdana" w:hAnsi="Verdana"/>
          <w:sz w:val="20"/>
          <w:szCs w:val="20"/>
        </w:rPr>
        <w:t>[--]</w:t>
      </w:r>
      <w:r w:rsidR="00917F10"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503C7563"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5"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 (dez por cento)</w:t>
      </w:r>
      <w:r w:rsidR="00CE7EA8">
        <w:rPr>
          <w:rFonts w:ascii="Verdana" w:hAnsi="Verdana"/>
          <w:sz w:val="20"/>
        </w:rPr>
        <w:t xml:space="preserve"> </w:t>
      </w:r>
      <w:r w:rsidR="00CE7EA8">
        <w:rPr>
          <w:rFonts w:ascii="Verdana" w:hAnsi="Verdana"/>
          <w:sz w:val="20"/>
          <w:szCs w:val="20"/>
        </w:rPr>
        <w:t>ao ano, calculados proporcionalmente sobre o valor de Repasse; e (</w:t>
      </w:r>
      <w:proofErr w:type="spellStart"/>
      <w:r w:rsidR="00CE7EA8">
        <w:rPr>
          <w:rFonts w:ascii="Verdana" w:hAnsi="Verdana"/>
          <w:sz w:val="20"/>
          <w:szCs w:val="20"/>
        </w:rPr>
        <w:t>ii</w:t>
      </w:r>
      <w:proofErr w:type="spellEnd"/>
      <w:r w:rsidR="00CE7EA8">
        <w:rPr>
          <w:rFonts w:ascii="Verdana" w:hAnsi="Verdana"/>
          <w:sz w:val="20"/>
          <w:szCs w:val="20"/>
        </w:rPr>
        <w:t xml:space="preserve">) os juros remuneratórios correspondentes aos rendimentos líquidos das </w:t>
      </w:r>
      <w:r w:rsidR="00CE7EA8">
        <w:rPr>
          <w:rFonts w:ascii="Verdana" w:hAnsi="Verdana"/>
          <w:sz w:val="20"/>
          <w:szCs w:val="20"/>
        </w:rPr>
        <w:lastRenderedPageBreak/>
        <w:t>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 xml:space="preserve">pro rata </w:t>
      </w:r>
      <w:proofErr w:type="spellStart"/>
      <w:r w:rsidR="00CE7EA8" w:rsidRPr="001938B0">
        <w:rPr>
          <w:rFonts w:ascii="Verdana" w:hAnsi="Verdana"/>
          <w:i/>
          <w:sz w:val="20"/>
          <w:szCs w:val="20"/>
        </w:rPr>
        <w:t>temporis</w:t>
      </w:r>
      <w:proofErr w:type="spellEnd"/>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5"/>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36"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36"/>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Pr>
          <w:rFonts w:ascii="Verdana" w:hAnsi="Verdana" w:cstheme="minorHAnsi"/>
          <w:sz w:val="20"/>
          <w:szCs w:val="20"/>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37" w:name="_DV_M82"/>
      <w:bookmarkEnd w:id="37"/>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38" w:name="_DV_M83"/>
      <w:bookmarkEnd w:id="38"/>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39" w:name="_DV_M84"/>
      <w:bookmarkEnd w:id="39"/>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40" w:name="_DV_M69"/>
      <w:bookmarkEnd w:id="40"/>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41"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w:t>
      </w:r>
      <w:proofErr w:type="spellStart"/>
      <w:r w:rsidRPr="005270B8">
        <w:rPr>
          <w:rFonts w:ascii="Verdana" w:hAnsi="Verdana" w:cstheme="minorHAnsi"/>
          <w:bCs/>
          <w:sz w:val="20"/>
          <w:szCs w:val="20"/>
        </w:rPr>
        <w:t>Escriturador</w:t>
      </w:r>
      <w:proofErr w:type="spellEnd"/>
      <w:r w:rsidRPr="005270B8">
        <w:rPr>
          <w:rFonts w:ascii="Verdana" w:hAnsi="Verdana" w:cstheme="minorHAnsi"/>
          <w:bCs/>
          <w:sz w:val="20"/>
          <w:szCs w:val="20"/>
        </w:rPr>
        <w:t xml:space="preserve">,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41"/>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42"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3" w:name="_Toc514105611"/>
      <w:bookmarkStart w:id="44" w:name="_Toc516063759"/>
      <w:bookmarkStart w:id="45" w:name="_Toc24656698"/>
      <w:bookmarkEnd w:id="42"/>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3"/>
      <w:bookmarkEnd w:id="44"/>
      <w:bookmarkEnd w:id="45"/>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46" w:name="_Toc514105612"/>
      <w:bookmarkStart w:id="47" w:name="_Toc516063760"/>
      <w:bookmarkStart w:id="48"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xml:space="preserve">, devendo referido comunicado ser encaminhado por intermédio da página da CVM na rede mundial de computadores e conter as informações indicadas no Anexo </w:t>
      </w:r>
      <w:r w:rsidR="006F61FB" w:rsidRPr="005270B8">
        <w:rPr>
          <w:rFonts w:ascii="Verdana" w:hAnsi="Verdana" w:cstheme="minorHAnsi"/>
          <w:bCs/>
          <w:sz w:val="20"/>
          <w:szCs w:val="20"/>
        </w:rPr>
        <w:lastRenderedPageBreak/>
        <w:t>7-A da Instrução CVM 476</w:t>
      </w:r>
      <w:r w:rsidRPr="005270B8">
        <w:rPr>
          <w:rFonts w:ascii="Verdana" w:hAnsi="Verdana" w:cstheme="minorHAnsi"/>
          <w:sz w:val="20"/>
          <w:szCs w:val="20"/>
        </w:rPr>
        <w:t>.</w:t>
      </w:r>
      <w:bookmarkEnd w:id="46"/>
      <w:bookmarkEnd w:id="47"/>
      <w:bookmarkEnd w:id="48"/>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49" w:name="_Toc514105613"/>
      <w:bookmarkStart w:id="50" w:name="_Toc516063761"/>
      <w:bookmarkStart w:id="51"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49"/>
      <w:bookmarkEnd w:id="50"/>
      <w:bookmarkEnd w:id="51"/>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2" w:name="_Toc514105614"/>
      <w:bookmarkStart w:id="53" w:name="_Toc516063762"/>
      <w:bookmarkStart w:id="54"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52"/>
      <w:bookmarkEnd w:id="53"/>
      <w:bookmarkEnd w:id="54"/>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55"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55"/>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6" w:name="_Toc514105616"/>
      <w:bookmarkStart w:id="57" w:name="_Toc516063763"/>
      <w:bookmarkStart w:id="58"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56"/>
      <w:bookmarkEnd w:id="57"/>
      <w:bookmarkEnd w:id="58"/>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9" w:name="_Toc24656704"/>
      <w:bookmarkStart w:id="60" w:name="_Toc514105617"/>
      <w:bookmarkStart w:id="61"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59"/>
    </w:p>
    <w:bookmarkEnd w:id="60"/>
    <w:bookmarkEnd w:id="61"/>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12863090" w:rsidR="00265D79" w:rsidRPr="005270B8" w:rsidRDefault="00A52DBB"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62"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62"/>
    </w:p>
    <w:p w14:paraId="56AB26A2" w14:textId="5BD38CDC"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63"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r w:rsidR="003F3A6D" w:rsidRPr="005270B8">
        <w:rPr>
          <w:rFonts w:ascii="Verdana" w:hAnsi="Verdana" w:cstheme="minorHAnsi"/>
          <w:bCs/>
          <w:color w:val="000000"/>
          <w:sz w:val="20"/>
          <w:szCs w:val="20"/>
          <w:u w:val="single"/>
        </w:rPr>
        <w:t xml:space="preserve"> e </w:t>
      </w:r>
      <w:r w:rsidR="007F722F">
        <w:rPr>
          <w:rFonts w:ascii="Verdana" w:hAnsi="Verdana" w:cstheme="minorHAnsi"/>
          <w:bCs/>
          <w:color w:val="000000"/>
          <w:sz w:val="20"/>
          <w:szCs w:val="20"/>
          <w:u w:val="single"/>
        </w:rPr>
        <w:t>I</w:t>
      </w:r>
      <w:r w:rsidR="003F3A6D" w:rsidRPr="005270B8">
        <w:rPr>
          <w:rFonts w:ascii="Verdana" w:hAnsi="Verdana" w:cstheme="minorHAnsi"/>
          <w:bCs/>
          <w:color w:val="000000"/>
          <w:sz w:val="20"/>
          <w:szCs w:val="20"/>
          <w:u w:val="single"/>
        </w:rPr>
        <w:t>X</w:t>
      </w:r>
      <w:r w:rsidR="003F3A6D" w:rsidRPr="002041ED">
        <w:rPr>
          <w:rFonts w:ascii="Verdana" w:hAnsi="Verdana" w:cstheme="minorHAnsi"/>
          <w:bCs/>
          <w:color w:val="000000"/>
          <w:sz w:val="20"/>
          <w:szCs w:val="20"/>
        </w:rPr>
        <w:t>.</w:t>
      </w:r>
      <w:bookmarkEnd w:id="63"/>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lastRenderedPageBreak/>
        <w:t>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4B95CA5F"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C54C87">
        <w:rPr>
          <w:rFonts w:ascii="Verdana" w:eastAsia="Verdana" w:hAnsi="Verdana" w:cs="Verdana"/>
          <w:color w:val="000000"/>
          <w:sz w:val="20"/>
          <w:szCs w:val="20"/>
        </w:rPr>
        <w:t>Cracoândia</w:t>
      </w:r>
      <w:proofErr w:type="spellEnd"/>
      <w:r w:rsidRPr="00C54C87">
        <w:rPr>
          <w:rFonts w:ascii="Verdana" w:eastAsia="Verdana" w:hAnsi="Verdana" w:cs="Verdana"/>
          <w:color w:val="000000"/>
          <w:sz w:val="20"/>
          <w:szCs w:val="20"/>
        </w:rPr>
        <w:t xml:space="preserve">”,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7ABBE95C" w:rsidR="007825FD" w:rsidRP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xml:space="preserve">: projeto educacional a ser desenvolvida </w:t>
      </w:r>
      <w:proofErr w:type="spellStart"/>
      <w:r w:rsidRPr="00205226">
        <w:rPr>
          <w:rFonts w:ascii="Verdana" w:eastAsia="Verdana" w:hAnsi="Verdana" w:cs="Verdana"/>
          <w:color w:val="000000"/>
          <w:sz w:val="20"/>
          <w:szCs w:val="20"/>
        </w:rPr>
        <w:t>pea</w:t>
      </w:r>
      <w:proofErr w:type="spellEnd"/>
      <w:r w:rsidRPr="00205226">
        <w:rPr>
          <w:rFonts w:ascii="Verdana" w:eastAsia="Verdana" w:hAnsi="Verdana" w:cs="Verdana"/>
          <w:color w:val="000000"/>
          <w:sz w:val="20"/>
          <w:szCs w:val="20"/>
        </w:rPr>
        <w:t xml:space="preserve"> ONG Gaia+ no qual moradores da região beneficiada escolherão escolas públicas para receber investimentos voltados para o desenvolvimento social e educacional.</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64" w:name="_Toc163380701"/>
      <w:bookmarkStart w:id="65" w:name="_Toc180553617"/>
      <w:bookmarkStart w:id="66" w:name="_Toc205799092"/>
      <w:bookmarkStart w:id="67" w:name="_Toc453274056"/>
      <w:bookmarkStart w:id="68" w:name="_Toc61353085"/>
      <w:r w:rsidRPr="005270B8">
        <w:rPr>
          <w:rFonts w:ascii="Verdana" w:hAnsi="Verdana" w:cstheme="minorHAnsi"/>
          <w:sz w:val="20"/>
          <w:szCs w:val="20"/>
        </w:rPr>
        <w:t xml:space="preserve">CLÁUSULA </w:t>
      </w:r>
      <w:bookmarkEnd w:id="64"/>
      <w:bookmarkEnd w:id="65"/>
      <w:bookmarkEnd w:id="66"/>
      <w:r w:rsidR="00AA293B" w:rsidRPr="005270B8">
        <w:rPr>
          <w:rFonts w:ascii="Verdana" w:hAnsi="Verdana" w:cstheme="minorHAnsi"/>
          <w:sz w:val="20"/>
          <w:szCs w:val="20"/>
        </w:rPr>
        <w:t>QUARTA: SUBSCRIÇÃO E INTEGRALIZAÇÃO DOS CRI</w:t>
      </w:r>
      <w:bookmarkEnd w:id="67"/>
      <w:bookmarkEnd w:id="68"/>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69"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70"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70"/>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71"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71"/>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37821D14" w14:textId="167E3C1A" w:rsidR="00AA2EBA" w:rsidRPr="00CE7EA8" w:rsidRDefault="00A47B8A" w:rsidP="00CE7EA8">
      <w:pPr>
        <w:tabs>
          <w:tab w:val="left" w:pos="1418"/>
        </w:tabs>
        <w:spacing w:line="280" w:lineRule="atLeast"/>
        <w:ind w:left="709"/>
        <w:rPr>
          <w:rFonts w:ascii="Verdana" w:hAnsi="Verdana"/>
          <w:sz w:val="20"/>
        </w:rPr>
      </w:pPr>
      <w:bookmarkStart w:id="72" w:name="_Ref61353376"/>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r w:rsidR="00211BE6" w:rsidRPr="00AA2EBA">
        <w:rPr>
          <w:rFonts w:ascii="Verdana" w:hAnsi="Verdana" w:cstheme="minorHAnsi"/>
          <w:sz w:val="20"/>
          <w:szCs w:val="20"/>
        </w:rPr>
        <w:t xml:space="preserve">, única e exclusivamente, para fins de </w:t>
      </w:r>
      <w:r w:rsidR="004842E6" w:rsidRPr="00AA2EBA">
        <w:rPr>
          <w:rFonts w:ascii="Verdana" w:hAnsi="Verdana" w:cstheme="minorHAnsi"/>
          <w:sz w:val="20"/>
          <w:szCs w:val="20"/>
        </w:rPr>
        <w:t xml:space="preserve">financiamento de construção imobiliária de unidades habitacionais atualmente desenvolvidas pelas </w:t>
      </w:r>
      <w:proofErr w:type="spellStart"/>
      <w:r w:rsidR="004842E6" w:rsidRPr="00AA2EBA">
        <w:rPr>
          <w:rFonts w:ascii="Verdana" w:hAnsi="Verdana" w:cstheme="minorHAnsi"/>
          <w:sz w:val="20"/>
          <w:szCs w:val="20"/>
        </w:rPr>
        <w:t>SPEs</w:t>
      </w:r>
      <w:proofErr w:type="spellEnd"/>
      <w:r w:rsidR="004842E6" w:rsidRPr="00AA2EBA">
        <w:rPr>
          <w:rFonts w:ascii="Verdana" w:hAnsi="Verdana"/>
          <w:color w:val="000000" w:themeColor="text1"/>
          <w:sz w:val="20"/>
          <w:szCs w:val="20"/>
        </w:rPr>
        <w:t xml:space="preserve"> dos </w:t>
      </w:r>
      <w:proofErr w:type="spellStart"/>
      <w:r w:rsidR="004842E6" w:rsidRPr="00AA2EBA">
        <w:rPr>
          <w:rFonts w:ascii="Verdana" w:hAnsi="Verdana"/>
          <w:color w:val="000000" w:themeColor="text1"/>
          <w:sz w:val="20"/>
          <w:szCs w:val="20"/>
        </w:rPr>
        <w:t>Emprereendimento</w:t>
      </w:r>
      <w:r w:rsidR="00AA2D6E" w:rsidRPr="00AA2EBA">
        <w:rPr>
          <w:rFonts w:ascii="Verdana" w:hAnsi="Verdana"/>
          <w:color w:val="000000" w:themeColor="text1"/>
          <w:sz w:val="20"/>
          <w:szCs w:val="20"/>
        </w:rPr>
        <w:t>s</w:t>
      </w:r>
      <w:proofErr w:type="spellEnd"/>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r w:rsidR="001D51BD" w:rsidRPr="00AA2EBA">
        <w:rPr>
          <w:rFonts w:ascii="Verdana" w:hAnsi="Verdana" w:cstheme="minorHAnsi"/>
          <w:bCs/>
          <w:spacing w:val="2"/>
          <w:sz w:val="20"/>
          <w:szCs w:val="20"/>
        </w:rPr>
        <w:t>.</w:t>
      </w:r>
      <w:bookmarkEnd w:id="72"/>
      <w:r w:rsidR="00AA2EBA" w:rsidRPr="00AA2EBA">
        <w:rPr>
          <w:rFonts w:ascii="Verdana" w:hAnsi="Verdana" w:cstheme="minorHAnsi"/>
          <w:bCs/>
          <w:spacing w:val="2"/>
          <w:sz w:val="20"/>
          <w:szCs w:val="20"/>
        </w:rPr>
        <w:t xml:space="preserve"> A Devedora poderá utilizar os recursos obtidos com o desembolso da CCB em um ou mais dos Empreendimentos, conforme melhor julgar apropriado, sem a necessidade de aditamento a este Termo de Securit</w:t>
      </w:r>
      <w:r w:rsidR="0018530D">
        <w:rPr>
          <w:rFonts w:ascii="Verdana" w:hAnsi="Verdana" w:cstheme="minorHAnsi"/>
          <w:bCs/>
          <w:spacing w:val="2"/>
          <w:sz w:val="20"/>
          <w:szCs w:val="20"/>
        </w:rPr>
        <w:t>i</w:t>
      </w:r>
      <w:r w:rsidR="00AA2EBA" w:rsidRPr="0018530D">
        <w:rPr>
          <w:rFonts w:ascii="Verdana" w:hAnsi="Verdana" w:cstheme="minorHAnsi"/>
          <w:bCs/>
          <w:spacing w:val="2"/>
          <w:sz w:val="20"/>
          <w:szCs w:val="20"/>
        </w:rPr>
        <w:t xml:space="preserve">zação.  </w:t>
      </w:r>
      <w:r w:rsidR="00AA2EBA" w:rsidRPr="0018530D">
        <w:rPr>
          <w:rFonts w:ascii="Verdana" w:hAnsi="Verdana" w:cstheme="minorHAnsi"/>
          <w:sz w:val="20"/>
          <w:szCs w:val="20"/>
        </w:rPr>
        <w:t xml:space="preserve">Ainda, </w:t>
      </w:r>
      <w:r w:rsidR="0018530D" w:rsidRPr="00DC18CB">
        <w:rPr>
          <w:rFonts w:ascii="Verdana" w:hAnsi="Verdana" w:cstheme="minorHAnsi"/>
          <w:bCs/>
          <w:spacing w:val="2"/>
          <w:sz w:val="20"/>
          <w:szCs w:val="20"/>
        </w:rPr>
        <w:t xml:space="preserve">os recursos obtidos com o desembolso da CCB </w:t>
      </w:r>
      <w:r w:rsidR="00AA2EBA" w:rsidRPr="0018530D">
        <w:rPr>
          <w:rFonts w:ascii="Verdana" w:hAnsi="Verdana" w:cstheme="minorHAnsi"/>
          <w:sz w:val="20"/>
          <w:szCs w:val="20"/>
        </w:rPr>
        <w:t>poder</w:t>
      </w:r>
      <w:r w:rsidR="0018530D">
        <w:rPr>
          <w:rFonts w:ascii="Verdana" w:hAnsi="Verdana" w:cstheme="minorHAnsi"/>
          <w:sz w:val="20"/>
          <w:szCs w:val="20"/>
        </w:rPr>
        <w:t>ão</w:t>
      </w:r>
      <w:r w:rsidR="00AA2EBA" w:rsidRPr="0018530D">
        <w:rPr>
          <w:rFonts w:ascii="Verdana" w:hAnsi="Verdana" w:cstheme="minorHAnsi"/>
          <w:sz w:val="20"/>
          <w:szCs w:val="20"/>
        </w:rPr>
        <w:t xml:space="preserve"> ser destinado</w:t>
      </w:r>
      <w:r w:rsidR="0018530D">
        <w:rPr>
          <w:rFonts w:ascii="Verdana" w:hAnsi="Verdana" w:cstheme="minorHAnsi"/>
          <w:sz w:val="20"/>
          <w:szCs w:val="20"/>
        </w:rPr>
        <w:t>s</w:t>
      </w:r>
      <w:r w:rsidR="00AA2EBA" w:rsidRPr="0018530D">
        <w:rPr>
          <w:rFonts w:ascii="Verdana" w:hAnsi="Verdana" w:cstheme="minorHAnsi"/>
          <w:sz w:val="20"/>
          <w:szCs w:val="20"/>
        </w:rPr>
        <w:t xml:space="preserve">, parcial ou totalmente, ao reembolso das despesas incorridas anteriormente à </w:t>
      </w:r>
      <w:r w:rsidR="00AA2EBA" w:rsidRPr="0018530D">
        <w:rPr>
          <w:rFonts w:ascii="Verdana" w:hAnsi="Verdana" w:cstheme="minorHAnsi"/>
          <w:sz w:val="20"/>
          <w:szCs w:val="20"/>
        </w:rPr>
        <w:lastRenderedPageBreak/>
        <w:t xml:space="preserve">emissão </w:t>
      </w:r>
      <w:r w:rsidR="0018530D">
        <w:rPr>
          <w:rFonts w:ascii="Verdana" w:hAnsi="Verdana" w:cstheme="minorHAnsi"/>
          <w:sz w:val="20"/>
          <w:szCs w:val="20"/>
        </w:rPr>
        <w:t>da</w:t>
      </w:r>
      <w:r w:rsidR="00AA2EBA" w:rsidRPr="0018530D">
        <w:rPr>
          <w:rFonts w:ascii="Verdana" w:hAnsi="Verdana" w:cstheme="minorHAnsi"/>
          <w:sz w:val="20"/>
          <w:szCs w:val="20"/>
        </w:rPr>
        <w:t xml:space="preserve"> CCB, diretamente atinentes à aquisição, construção e/ou reforma dos </w:t>
      </w:r>
      <w:r w:rsidR="0018530D">
        <w:rPr>
          <w:rFonts w:ascii="Verdana" w:hAnsi="Verdana" w:cstheme="minorHAnsi"/>
          <w:sz w:val="20"/>
          <w:szCs w:val="20"/>
        </w:rPr>
        <w:t xml:space="preserve">Empreendimentos </w:t>
      </w:r>
      <w:r w:rsidR="0018530D" w:rsidRPr="0018530D">
        <w:rPr>
          <w:rFonts w:ascii="Verdana" w:hAnsi="Verdana" w:cstheme="minorHAnsi"/>
          <w:sz w:val="20"/>
          <w:szCs w:val="20"/>
          <w:highlight w:val="yellow"/>
        </w:rPr>
        <w:t>[--]</w:t>
      </w:r>
      <w:r w:rsidR="0018530D">
        <w:rPr>
          <w:rFonts w:ascii="Verdana" w:hAnsi="Verdana" w:cstheme="minorHAnsi"/>
          <w:sz w:val="20"/>
          <w:szCs w:val="20"/>
        </w:rPr>
        <w:t xml:space="preserve">, </w:t>
      </w:r>
      <w:proofErr w:type="spellStart"/>
      <w:r w:rsidR="0018530D">
        <w:rPr>
          <w:rFonts w:ascii="Verdana" w:hAnsi="Verdana" w:cstheme="minorHAnsi"/>
          <w:sz w:val="20"/>
          <w:szCs w:val="20"/>
        </w:rPr>
        <w:t>Empreedimento</w:t>
      </w:r>
      <w:proofErr w:type="spellEnd"/>
      <w:r w:rsidR="0018530D">
        <w:rPr>
          <w:rFonts w:ascii="Verdana" w:hAnsi="Verdana" w:cstheme="minorHAnsi"/>
          <w:sz w:val="20"/>
          <w:szCs w:val="20"/>
        </w:rPr>
        <w:t xml:space="preserve"> </w:t>
      </w:r>
      <w:r w:rsidR="0018530D" w:rsidRPr="0018530D">
        <w:rPr>
          <w:rFonts w:ascii="Verdana" w:hAnsi="Verdana" w:cstheme="minorHAnsi"/>
          <w:sz w:val="20"/>
          <w:szCs w:val="20"/>
          <w:highlight w:val="yellow"/>
        </w:rPr>
        <w:t>[--]</w:t>
      </w:r>
      <w:r w:rsidR="0018530D">
        <w:rPr>
          <w:rFonts w:ascii="Verdana" w:hAnsi="Verdana" w:cstheme="minorHAnsi"/>
          <w:sz w:val="20"/>
          <w:szCs w:val="20"/>
        </w:rPr>
        <w:t xml:space="preserve">, </w:t>
      </w:r>
      <w:r w:rsidR="0018530D" w:rsidRPr="0018530D">
        <w:rPr>
          <w:rFonts w:ascii="Verdana" w:hAnsi="Verdana" w:cstheme="minorHAnsi"/>
          <w:sz w:val="20"/>
          <w:szCs w:val="20"/>
          <w:highlight w:val="yellow"/>
        </w:rPr>
        <w:t>[</w:t>
      </w:r>
      <w:r w:rsidR="0018530D">
        <w:rPr>
          <w:rFonts w:ascii="Verdana" w:hAnsi="Verdana" w:cstheme="minorHAnsi"/>
          <w:sz w:val="20"/>
          <w:szCs w:val="20"/>
        </w:rPr>
        <w:t xml:space="preserve">listar os </w:t>
      </w:r>
      <w:proofErr w:type="spellStart"/>
      <w:r w:rsidR="0018530D">
        <w:rPr>
          <w:rFonts w:ascii="Verdana" w:hAnsi="Verdana" w:cstheme="minorHAnsi"/>
          <w:sz w:val="20"/>
          <w:szCs w:val="20"/>
        </w:rPr>
        <w:t>Empreedimentos</w:t>
      </w:r>
      <w:proofErr w:type="spellEnd"/>
      <w:r w:rsidR="0018530D">
        <w:rPr>
          <w:rFonts w:ascii="Verdana" w:hAnsi="Verdana" w:cstheme="minorHAnsi"/>
          <w:sz w:val="20"/>
          <w:szCs w:val="20"/>
        </w:rPr>
        <w:t xml:space="preserve"> objeto de reembolso</w:t>
      </w:r>
      <w:r w:rsidR="0018530D" w:rsidRPr="0018530D">
        <w:rPr>
          <w:rFonts w:ascii="Verdana" w:hAnsi="Verdana" w:cstheme="minorHAnsi"/>
          <w:sz w:val="20"/>
          <w:szCs w:val="20"/>
          <w:highlight w:val="yellow"/>
        </w:rPr>
        <w:t>]</w:t>
      </w:r>
      <w:r w:rsidR="0018530D">
        <w:rPr>
          <w:rFonts w:ascii="Verdana" w:hAnsi="Verdana" w:cstheme="minorHAnsi"/>
          <w:sz w:val="20"/>
          <w:szCs w:val="20"/>
        </w:rPr>
        <w:t>.</w:t>
      </w:r>
    </w:p>
    <w:p w14:paraId="0F61D702" w14:textId="77777777" w:rsidR="00AA2EBA" w:rsidRPr="0018530D" w:rsidRDefault="00AA2EBA" w:rsidP="00CE7EA8">
      <w:pPr>
        <w:tabs>
          <w:tab w:val="left" w:pos="1418"/>
        </w:tabs>
        <w:spacing w:line="280" w:lineRule="atLeast"/>
        <w:rPr>
          <w:rFonts w:ascii="Verdana" w:hAnsi="Verdana" w:cstheme="minorHAnsi"/>
          <w:sz w:val="20"/>
          <w:szCs w:val="20"/>
        </w:rPr>
      </w:pPr>
    </w:p>
    <w:p w14:paraId="7EC11B87" w14:textId="422C66B4" w:rsidR="00DA63D5" w:rsidRPr="005C1F37" w:rsidRDefault="009E50EA" w:rsidP="005748CA">
      <w:pPr>
        <w:pStyle w:val="PargrafodaLista"/>
        <w:numPr>
          <w:ilvl w:val="2"/>
          <w:numId w:val="25"/>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 xml:space="preserve">A Emissora </w:t>
      </w:r>
      <w:r w:rsidR="001D51BD">
        <w:rPr>
          <w:rFonts w:ascii="Verdana" w:hAnsi="Verdana" w:cstheme="minorHAnsi"/>
          <w:sz w:val="20"/>
          <w:szCs w:val="20"/>
        </w:rPr>
        <w:t>comprovou</w:t>
      </w:r>
      <w:r w:rsidRPr="00A2021B">
        <w:rPr>
          <w:rFonts w:ascii="Verdana" w:hAnsi="Verdana" w:cstheme="minorHAnsi"/>
          <w:sz w:val="20"/>
          <w:szCs w:val="20"/>
        </w:rPr>
        <w:t xml:space="preserve"> ao Agente Fiduciário, através de extratos bancários e outros documentos que se façam necessários os itens (i),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e (</w:t>
      </w:r>
      <w:proofErr w:type="spellStart"/>
      <w:r w:rsidRPr="00A2021B">
        <w:rPr>
          <w:rFonts w:ascii="Verdana" w:hAnsi="Verdana" w:cstheme="minorHAnsi"/>
          <w:sz w:val="20"/>
          <w:szCs w:val="20"/>
        </w:rPr>
        <w:t>iii</w:t>
      </w:r>
      <w:proofErr w:type="spellEnd"/>
      <w:r w:rsidRPr="00A2021B">
        <w:rPr>
          <w:rFonts w:ascii="Verdana" w:hAnsi="Verdana" w:cstheme="minorHAnsi"/>
          <w:sz w:val="20"/>
          <w:szCs w:val="20"/>
        </w:rPr>
        <w:t xml:space="preserve">) </w:t>
      </w:r>
      <w:r w:rsidRPr="005270B8">
        <w:rPr>
          <w:rFonts w:ascii="Verdana" w:hAnsi="Verdana" w:cstheme="minorHAnsi"/>
          <w:sz w:val="20"/>
          <w:szCs w:val="20"/>
        </w:rPr>
        <w:t xml:space="preserve">da </w:t>
      </w:r>
      <w:r w:rsidR="000924C9">
        <w:rPr>
          <w:rFonts w:ascii="Verdana" w:hAnsi="Verdana" w:cstheme="minorHAnsi"/>
          <w:sz w:val="20"/>
          <w:szCs w:val="20"/>
        </w:rPr>
        <w:t>C</w:t>
      </w:r>
      <w:r w:rsidR="000924C9" w:rsidRPr="005270B8">
        <w:rPr>
          <w:rFonts w:ascii="Verdana" w:hAnsi="Verdana" w:cstheme="minorHAnsi"/>
          <w:sz w:val="20"/>
          <w:szCs w:val="20"/>
        </w:rPr>
        <w:t xml:space="preserve">láusula </w:t>
      </w:r>
      <w:r w:rsidRPr="005270B8">
        <w:rPr>
          <w:rFonts w:ascii="Verdana" w:hAnsi="Verdana" w:cstheme="minorHAnsi"/>
          <w:sz w:val="20"/>
          <w:szCs w:val="20"/>
        </w:rPr>
        <w:t xml:space="preserve">4.3 </w:t>
      </w:r>
      <w:r w:rsidRPr="00A2021B">
        <w:rPr>
          <w:rFonts w:ascii="Verdana" w:hAnsi="Verdana" w:cstheme="minorHAnsi"/>
          <w:sz w:val="20"/>
          <w:szCs w:val="20"/>
        </w:rPr>
        <w:t>acima</w:t>
      </w:r>
      <w:r w:rsidR="00E74D62">
        <w:rPr>
          <w:rFonts w:ascii="Verdana" w:hAnsi="Verdana" w:cstheme="minorHAnsi"/>
          <w:sz w:val="20"/>
          <w:szCs w:val="20"/>
        </w:rPr>
        <w:t xml:space="preserve"> e os desembolsos a que se refere o item 4.3.1. acima.</w:t>
      </w:r>
      <w:bookmarkStart w:id="73" w:name="_DV_M99"/>
      <w:bookmarkEnd w:id="73"/>
      <w:r w:rsidR="00DA63D5" w:rsidRPr="005C1F37">
        <w:rPr>
          <w:rFonts w:ascii="Verdana" w:hAnsi="Verdana"/>
          <w:sz w:val="20"/>
          <w:szCs w:val="20"/>
        </w:rPr>
        <w:t xml:space="preserve"> </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p>
    <w:p w14:paraId="4249F291" w14:textId="3DC5F0B8" w:rsidR="00C746EA" w:rsidRPr="005270B8" w:rsidRDefault="00AA293B" w:rsidP="00993117">
      <w:pPr>
        <w:pStyle w:val="Ttulo2"/>
        <w:spacing w:line="280" w:lineRule="atLeast"/>
        <w:jc w:val="both"/>
        <w:rPr>
          <w:rFonts w:ascii="Verdana" w:hAnsi="Verdana"/>
          <w:sz w:val="20"/>
          <w:szCs w:val="20"/>
        </w:rPr>
      </w:pPr>
      <w:bookmarkStart w:id="74" w:name="_Toc163380702"/>
      <w:bookmarkStart w:id="75" w:name="_Toc180553618"/>
      <w:bookmarkStart w:id="76" w:name="_Toc205799093"/>
      <w:bookmarkStart w:id="77" w:name="_Toc61353086"/>
      <w:bookmarkEnd w:id="69"/>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74"/>
      <w:bookmarkEnd w:id="75"/>
      <w:bookmarkEnd w:id="76"/>
      <w:bookmarkEnd w:id="77"/>
      <w:r w:rsidR="00EC244E" w:rsidRPr="005270B8">
        <w:rPr>
          <w:rFonts w:ascii="Verdana" w:hAnsi="Verdana" w:cstheme="minorHAnsi"/>
          <w:sz w:val="20"/>
          <w:szCs w:val="20"/>
        </w:rPr>
        <w:t xml:space="preserve"> </w:t>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78" w:name="_DV_M100"/>
      <w:bookmarkStart w:id="79" w:name="_DV_M111"/>
      <w:bookmarkStart w:id="80" w:name="_DV_M112"/>
      <w:bookmarkStart w:id="81" w:name="_DV_M113"/>
      <w:bookmarkEnd w:id="78"/>
      <w:bookmarkEnd w:id="79"/>
      <w:bookmarkEnd w:id="80"/>
      <w:bookmarkEnd w:id="81"/>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54580E97"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 (dez por cento)</w:t>
      </w:r>
      <w:r w:rsidR="00CE7EA8">
        <w:rPr>
          <w:rFonts w:ascii="Verdana" w:hAnsi="Verdana"/>
          <w:sz w:val="20"/>
        </w:rPr>
        <w:t xml:space="preserve"> </w:t>
      </w:r>
      <w:r w:rsidR="00CE7EA8">
        <w:rPr>
          <w:rFonts w:ascii="Verdana" w:hAnsi="Verdana"/>
          <w:sz w:val="20"/>
          <w:szCs w:val="20"/>
        </w:rPr>
        <w:t>ao ano, calculados proporcionalmente sobre o valor de Repasse; e (</w:t>
      </w:r>
      <w:proofErr w:type="spellStart"/>
      <w:r w:rsidR="00CE7EA8">
        <w:rPr>
          <w:rFonts w:ascii="Verdana" w:hAnsi="Verdana"/>
          <w:sz w:val="20"/>
          <w:szCs w:val="20"/>
        </w:rPr>
        <w:t>ii</w:t>
      </w:r>
      <w:proofErr w:type="spellEnd"/>
      <w:r w:rsidR="00CE7EA8">
        <w:rPr>
          <w:rFonts w:ascii="Verdana" w:hAnsi="Verdana"/>
          <w:sz w:val="20"/>
          <w:szCs w:val="20"/>
        </w:rPr>
        <w:t>)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 xml:space="preserve">pro rata </w:t>
      </w:r>
      <w:proofErr w:type="spellStart"/>
      <w:r w:rsidR="00CE7EA8" w:rsidRPr="001938B0">
        <w:rPr>
          <w:rFonts w:ascii="Verdana" w:hAnsi="Verdana"/>
          <w:i/>
          <w:sz w:val="20"/>
          <w:szCs w:val="20"/>
        </w:rPr>
        <w:t>temporis</w:t>
      </w:r>
      <w:proofErr w:type="spellEnd"/>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CE7EA8" w:rsidRDefault="008C5921" w:rsidP="00993117">
      <w:pPr>
        <w:suppressAutoHyphens/>
        <w:spacing w:line="280" w:lineRule="atLeast"/>
        <w:ind w:left="709"/>
        <w:jc w:val="center"/>
        <w:rPr>
          <w:rFonts w:ascii="Verdana" w:hAnsi="Verdana"/>
          <w:sz w:val="20"/>
          <w:highlight w:val="lightGray"/>
        </w:rPr>
      </w:pPr>
      <m:oMath>
        <m:r>
          <w:rPr>
            <w:rFonts w:ascii="Cambria Math" w:hAnsi="Cambria Math"/>
            <w:sz w:val="20"/>
            <w:highlight w:val="lightGray"/>
          </w:rPr>
          <m:t>J=VNe x (FatorJuros-1)</m:t>
        </m:r>
      </m:oMath>
      <w:r w:rsidRPr="00CE7EA8">
        <w:rPr>
          <w:rFonts w:ascii="Verdana" w:hAnsi="Verdana"/>
          <w:sz w:val="20"/>
          <w:highlight w:val="lightGray"/>
        </w:rPr>
        <w:t xml:space="preserve"> </w:t>
      </w:r>
    </w:p>
    <w:p w14:paraId="5A0B2470" w14:textId="77777777" w:rsidR="008C5921" w:rsidRPr="00CE7EA8" w:rsidRDefault="008C5921" w:rsidP="00993117">
      <w:pPr>
        <w:spacing w:line="280" w:lineRule="atLeast"/>
        <w:ind w:left="709"/>
        <w:jc w:val="center"/>
        <w:rPr>
          <w:rFonts w:ascii="Verdana" w:hAnsi="Verdana"/>
          <w:sz w:val="20"/>
          <w:highlight w:val="lightGray"/>
        </w:rPr>
      </w:pPr>
    </w:p>
    <w:p w14:paraId="7881CFED" w14:textId="77777777"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onde:</w:t>
      </w:r>
    </w:p>
    <w:p w14:paraId="27129EE0" w14:textId="77777777" w:rsidR="008C5921" w:rsidRPr="00CE7EA8" w:rsidRDefault="008C5921" w:rsidP="00993117">
      <w:pPr>
        <w:spacing w:line="280" w:lineRule="atLeast"/>
        <w:ind w:left="709"/>
        <w:rPr>
          <w:rFonts w:ascii="Verdana" w:hAnsi="Verdana"/>
          <w:sz w:val="20"/>
          <w:highlight w:val="lightGray"/>
        </w:rPr>
      </w:pPr>
    </w:p>
    <w:p w14:paraId="1065C0E2" w14:textId="7E5E2B4C"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J</w:t>
      </w:r>
      <w:r w:rsidRPr="00CE7EA8">
        <w:rPr>
          <w:rFonts w:ascii="Verdana" w:hAnsi="Verdana"/>
          <w:sz w:val="20"/>
          <w:highlight w:val="lightGray"/>
        </w:rPr>
        <w:t>” = corresponde ao valor dos juros remuneratórios devidos n</w:t>
      </w:r>
      <w:r w:rsidR="00A34110" w:rsidRPr="00CE7EA8">
        <w:rPr>
          <w:rFonts w:ascii="Verdana" w:hAnsi="Verdana"/>
          <w:sz w:val="20"/>
          <w:highlight w:val="lightGray"/>
        </w:rPr>
        <w:t>a Data de Pagamento</w:t>
      </w:r>
      <w:r w:rsidRPr="00CE7EA8">
        <w:rPr>
          <w:rFonts w:ascii="Verdana" w:hAnsi="Verdana"/>
          <w:sz w:val="20"/>
          <w:highlight w:val="lightGray"/>
        </w:rPr>
        <w:t xml:space="preserve">, calculado com 8 (oito) casas decimais, sem arredondamento; </w:t>
      </w:r>
    </w:p>
    <w:p w14:paraId="2AA558D9" w14:textId="77777777" w:rsidR="008C5921" w:rsidRPr="00CE7EA8" w:rsidRDefault="008C5921" w:rsidP="00993117">
      <w:pPr>
        <w:spacing w:line="280" w:lineRule="atLeast"/>
        <w:ind w:left="709"/>
        <w:rPr>
          <w:rFonts w:ascii="Verdana" w:hAnsi="Verdana"/>
          <w:sz w:val="20"/>
          <w:highlight w:val="lightGray"/>
        </w:rPr>
      </w:pPr>
    </w:p>
    <w:p w14:paraId="244E3FE5" w14:textId="7DAFF579"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VNe</w:t>
      </w:r>
      <w:proofErr w:type="spellEnd"/>
      <w:r w:rsidRPr="00CE7EA8">
        <w:rPr>
          <w:rFonts w:ascii="Verdana" w:hAnsi="Verdana"/>
          <w:sz w:val="20"/>
          <w:highlight w:val="lightGray"/>
        </w:rPr>
        <w:t xml:space="preserve">” = corresponde ao </w:t>
      </w:r>
      <w:r w:rsidR="004A3CDA" w:rsidRPr="00CE7EA8">
        <w:rPr>
          <w:rFonts w:ascii="Verdana" w:hAnsi="Verdana"/>
          <w:sz w:val="20"/>
          <w:highlight w:val="lightGray"/>
        </w:rPr>
        <w:t xml:space="preserve">Valor Nominal Unitário </w:t>
      </w:r>
      <w:r w:rsidRPr="00CE7EA8">
        <w:rPr>
          <w:rFonts w:ascii="Verdana" w:hAnsi="Verdana"/>
          <w:sz w:val="20"/>
          <w:highlight w:val="lightGray"/>
        </w:rPr>
        <w:t xml:space="preserve">ou saldo do </w:t>
      </w:r>
      <w:r w:rsidR="004A3CDA" w:rsidRPr="00CE7EA8">
        <w:rPr>
          <w:rFonts w:ascii="Verdana" w:hAnsi="Verdana"/>
          <w:sz w:val="20"/>
          <w:highlight w:val="lightGray"/>
        </w:rPr>
        <w:t>Valor Nominal Unitário</w:t>
      </w:r>
      <w:r w:rsidRPr="00CE7EA8">
        <w:rPr>
          <w:rFonts w:ascii="Verdana" w:hAnsi="Verdana"/>
          <w:sz w:val="20"/>
          <w:highlight w:val="lightGray"/>
        </w:rPr>
        <w:t>, conforme o caso, n</w:t>
      </w:r>
      <w:r w:rsidR="00027861" w:rsidRPr="00CE7EA8">
        <w:rPr>
          <w:rFonts w:ascii="Verdana" w:hAnsi="Verdana"/>
          <w:sz w:val="20"/>
          <w:highlight w:val="lightGray"/>
        </w:rPr>
        <w:t>a Data de Emissã</w:t>
      </w:r>
      <w:r w:rsidRPr="00CE7EA8">
        <w:rPr>
          <w:rFonts w:ascii="Verdana" w:hAnsi="Verdana"/>
          <w:sz w:val="20"/>
          <w:highlight w:val="lightGray"/>
        </w:rPr>
        <w:t>o, calculado com 8 (oito) casas decimais, sem arredondamento;</w:t>
      </w:r>
    </w:p>
    <w:p w14:paraId="68F5FD78" w14:textId="77777777" w:rsidR="008C5921" w:rsidRPr="00CE7EA8" w:rsidRDefault="008C5921" w:rsidP="00993117">
      <w:pPr>
        <w:spacing w:line="280" w:lineRule="atLeast"/>
        <w:ind w:left="709"/>
        <w:rPr>
          <w:rFonts w:ascii="Verdana" w:hAnsi="Verdana"/>
          <w:sz w:val="20"/>
          <w:highlight w:val="lightGray"/>
        </w:rPr>
      </w:pPr>
    </w:p>
    <w:p w14:paraId="4009D729" w14:textId="19F49AAC" w:rsidR="008C5921" w:rsidRPr="00CE7EA8" w:rsidRDefault="008C5921" w:rsidP="00993117">
      <w:pPr>
        <w:pStyle w:val="p0"/>
        <w:tabs>
          <w:tab w:val="left" w:pos="1418"/>
        </w:tabs>
        <w:spacing w:after="0"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FatorJuros</w:t>
      </w:r>
      <w:proofErr w:type="spellEnd"/>
      <w:r w:rsidRPr="00CE7EA8">
        <w:rPr>
          <w:rFonts w:ascii="Verdana" w:hAnsi="Verdana"/>
          <w:sz w:val="20"/>
          <w:highlight w:val="lightGray"/>
        </w:rPr>
        <w:t>”</w:t>
      </w:r>
      <w:r w:rsidR="00690341" w:rsidRPr="00CE7EA8">
        <w:rPr>
          <w:rFonts w:ascii="Verdana" w:hAnsi="Verdana"/>
          <w:sz w:val="20"/>
          <w:highlight w:val="lightGray"/>
        </w:rPr>
        <w:t xml:space="preserve"> =</w:t>
      </w:r>
      <w:r w:rsidRPr="00CE7EA8">
        <w:rPr>
          <w:rFonts w:ascii="Verdana" w:hAnsi="Verdana"/>
          <w:b/>
          <w:i/>
          <w:sz w:val="20"/>
          <w:highlight w:val="lightGray"/>
        </w:rPr>
        <w:t xml:space="preserve"> </w:t>
      </w:r>
      <w:r w:rsidRPr="00CE7EA8">
        <w:rPr>
          <w:rFonts w:ascii="Verdana" w:hAnsi="Verdana"/>
          <w:sz w:val="20"/>
          <w:highlight w:val="lightGray"/>
        </w:rPr>
        <w:t xml:space="preserve">corresponde ao fator de juros, composto pelo </w:t>
      </w:r>
      <w:r w:rsidR="00C8767D" w:rsidRPr="00CE7EA8">
        <w:rPr>
          <w:rFonts w:ascii="Verdana" w:hAnsi="Verdana"/>
          <w:sz w:val="20"/>
          <w:highlight w:val="lightGray"/>
        </w:rPr>
        <w:t>parâmetro</w:t>
      </w:r>
      <w:r w:rsidRPr="00CE7EA8">
        <w:rPr>
          <w:rFonts w:ascii="Verdana" w:hAnsi="Verdana"/>
          <w:sz w:val="20"/>
          <w:highlight w:val="lightGray"/>
        </w:rPr>
        <w:t xml:space="preserve"> de flutuação acrescido de </w:t>
      </w:r>
      <w:r w:rsidRPr="00CE7EA8">
        <w:rPr>
          <w:rFonts w:ascii="Verdana" w:hAnsi="Verdana"/>
          <w:i/>
          <w:sz w:val="20"/>
          <w:highlight w:val="lightGray"/>
        </w:rPr>
        <w:t>spread</w:t>
      </w:r>
      <w:r w:rsidRPr="00CE7EA8">
        <w:rPr>
          <w:rFonts w:ascii="Verdana" w:hAnsi="Verdana"/>
          <w:sz w:val="20"/>
          <w:highlight w:val="lightGray"/>
        </w:rPr>
        <w:t>, calculado com 9 (nove) casas decimais, com arredondamento, apurado da seguinte forma:</w:t>
      </w:r>
    </w:p>
    <w:p w14:paraId="4CC843AF" w14:textId="77777777" w:rsidR="0079368A" w:rsidRPr="00CE7EA8" w:rsidRDefault="0079368A" w:rsidP="00B8790E">
      <w:pPr>
        <w:suppressAutoHyphens/>
        <w:spacing w:line="280" w:lineRule="atLeast"/>
        <w:ind w:left="1429"/>
        <w:jc w:val="center"/>
        <w:rPr>
          <w:rFonts w:ascii="Verdana" w:hAnsi="Verdana"/>
          <w:sz w:val="20"/>
          <w:highlight w:val="lightGray"/>
        </w:rPr>
      </w:pPr>
    </w:p>
    <w:p w14:paraId="29E3B15B" w14:textId="77777777" w:rsidR="00751E24" w:rsidRPr="00CE7EA8" w:rsidRDefault="00751E24" w:rsidP="00B8790E">
      <w:pPr>
        <w:pStyle w:val="PargrafodaLista"/>
        <w:ind w:left="1429"/>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1F17B153" w14:textId="77777777" w:rsidR="00751E24" w:rsidRPr="00CE7EA8" w:rsidRDefault="00751E24" w:rsidP="00B8790E">
      <w:pPr>
        <w:pStyle w:val="PargrafodaLista"/>
        <w:spacing w:line="280" w:lineRule="exact"/>
        <w:ind w:left="1429"/>
        <w:rPr>
          <w:rFonts w:ascii="Verdana" w:hAnsi="Verdana"/>
          <w:sz w:val="20"/>
          <w:highlight w:val="lightGray"/>
        </w:rPr>
      </w:pPr>
    </w:p>
    <w:p w14:paraId="6AFA78A5" w14:textId="77777777"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Onde:</w:t>
      </w:r>
    </w:p>
    <w:p w14:paraId="25F33453" w14:textId="77777777" w:rsidR="00751E24" w:rsidRPr="00CE7EA8" w:rsidRDefault="00751E24" w:rsidP="00B8790E">
      <w:pPr>
        <w:pStyle w:val="PargrafodaLista"/>
        <w:spacing w:line="280" w:lineRule="exact"/>
        <w:ind w:left="1429"/>
        <w:rPr>
          <w:rFonts w:ascii="Verdana" w:hAnsi="Verdana"/>
          <w:sz w:val="20"/>
          <w:highlight w:val="lightGray"/>
        </w:rPr>
      </w:pPr>
    </w:p>
    <w:p w14:paraId="7E2B1AA8" w14:textId="6F364526"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 xml:space="preserve">taxa = </w:t>
      </w:r>
      <w:r w:rsidR="00F26F14" w:rsidRPr="00CE7EA8">
        <w:rPr>
          <w:rFonts w:ascii="Verdana" w:hAnsi="Verdana"/>
          <w:sz w:val="20"/>
          <w:highlight w:val="lightGray"/>
        </w:rPr>
        <w:t>10,00% a.a. respeitando a condição</w:t>
      </w:r>
      <w:r w:rsidR="00F26F14" w:rsidRPr="00CE7EA8">
        <w:rPr>
          <w:rFonts w:ascii="Verdana" w:hAnsi="Verdana"/>
          <w:bCs/>
          <w:sz w:val="20"/>
          <w:highlight w:val="lightGray"/>
        </w:rPr>
        <w:t xml:space="preserve"> do item 5.2 acima</w:t>
      </w:r>
      <w:r w:rsidRPr="00CE7EA8">
        <w:rPr>
          <w:rFonts w:ascii="Verdana" w:hAnsi="Verdana"/>
          <w:sz w:val="20"/>
          <w:highlight w:val="lightGray"/>
        </w:rPr>
        <w:t>;</w:t>
      </w:r>
    </w:p>
    <w:p w14:paraId="56AA9C4F" w14:textId="77777777" w:rsidR="00751E24" w:rsidRPr="00CE7EA8" w:rsidRDefault="00751E24" w:rsidP="00B8790E">
      <w:pPr>
        <w:pStyle w:val="PargrafodaLista"/>
        <w:spacing w:line="280" w:lineRule="exact"/>
        <w:ind w:left="1429"/>
        <w:rPr>
          <w:rFonts w:ascii="Verdana" w:hAnsi="Verdana"/>
          <w:sz w:val="20"/>
          <w:highlight w:val="lightGray"/>
        </w:rPr>
      </w:pPr>
    </w:p>
    <w:p w14:paraId="6A3B7783" w14:textId="77777777" w:rsidR="00751E24" w:rsidRPr="001938B0" w:rsidRDefault="00751E24" w:rsidP="00B8790E">
      <w:pPr>
        <w:pStyle w:val="PargrafodaLista"/>
        <w:ind w:left="1429"/>
      </w:pPr>
      <w:r w:rsidRPr="00CE7EA8">
        <w:rPr>
          <w:rFonts w:ascii="Verdana" w:hAnsi="Verdana"/>
          <w:sz w:val="20"/>
          <w:highlight w:val="lightGray"/>
        </w:rPr>
        <w:t>DP = é o número de Dias Úteis relativo,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82"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lastRenderedPageBreak/>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5B5995B2" w14:textId="0DF9021E" w:rsidR="00A6263C" w:rsidRPr="00E7420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0,4000%</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ou (</w:t>
      </w:r>
      <w:proofErr w:type="spellStart"/>
      <w:r w:rsidR="00723CB1" w:rsidRPr="00E74200">
        <w:rPr>
          <w:rFonts w:ascii="Verdana" w:hAnsi="Verdana" w:cstheme="minorHAnsi"/>
          <w:bCs/>
          <w:sz w:val="20"/>
          <w:szCs w:val="20"/>
        </w:rPr>
        <w:t>ii</w:t>
      </w:r>
      <w:proofErr w:type="spellEnd"/>
      <w:r w:rsidR="00723CB1" w:rsidRPr="00E74200">
        <w:rPr>
          <w:rFonts w:ascii="Verdana" w:hAnsi="Verdana" w:cstheme="minorHAnsi"/>
          <w:bCs/>
          <w:sz w:val="20"/>
          <w:szCs w:val="20"/>
        </w:rPr>
        <w:t xml:space="preserve">)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82"/>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r w:rsidR="007A6915">
        <w:rPr>
          <w:rFonts w:ascii="Verdana" w:hAnsi="Verdana" w:cstheme="minorHAnsi"/>
          <w:bCs/>
          <w:sz w:val="20"/>
          <w:szCs w:val="20"/>
        </w:rPr>
        <w:t>, o que for maior</w:t>
      </w:r>
      <w:r w:rsidR="00926CC6" w:rsidRPr="00E74200">
        <w:rPr>
          <w:rFonts w:ascii="Verdana" w:hAnsi="Verdana" w:cstheme="minorHAnsi"/>
          <w:bCs/>
          <w:sz w:val="20"/>
          <w:szCs w:val="20"/>
        </w:rPr>
        <w:t xml:space="preserve">. </w:t>
      </w:r>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83"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83"/>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CE7EA8" w:rsidRDefault="00DC682B" w:rsidP="00993117">
      <w:pPr>
        <w:pStyle w:val="Corpodetexto"/>
        <w:widowControl w:val="0"/>
        <w:spacing w:line="280" w:lineRule="atLeast"/>
        <w:ind w:left="720"/>
        <w:jc w:val="center"/>
        <w:rPr>
          <w:rFonts w:ascii="Verdana" w:hAnsi="Verdana"/>
          <w:b w:val="0"/>
          <w:color w:val="000000"/>
          <w:sz w:val="20"/>
          <w:highlight w:val="lightGray"/>
        </w:rPr>
      </w:pPr>
      <m:oMathPara>
        <m:oMath>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AM</m:t>
              </m:r>
            </m:e>
            <m:sub>
              <m:r>
                <m:rPr>
                  <m:sty m:val="bi"/>
                </m:rPr>
                <w:rPr>
                  <w:rFonts w:ascii="Cambria Math" w:hAnsi="Cambria Math"/>
                  <w:color w:val="000000"/>
                  <w:sz w:val="20"/>
                  <w:highlight w:val="lightGray"/>
                </w:rPr>
                <m:t>i</m:t>
              </m:r>
            </m:sub>
          </m:sSub>
          <m:r>
            <m:rPr>
              <m:sty m:val="bi"/>
            </m:rPr>
            <w:rPr>
              <w:rFonts w:ascii="Cambria Math" w:hAnsi="Cambria Math"/>
              <w:color w:val="000000"/>
              <w:sz w:val="20"/>
              <w:highlight w:val="lightGray"/>
            </w:rPr>
            <m:t>=VNe</m:t>
          </m:r>
          <m:r>
            <m:rPr>
              <m:sty m:val="bi"/>
            </m:rPr>
            <w:rPr>
              <w:rFonts w:ascii="Cambria Math" w:hAnsi="Cambria Math" w:hint="eastAsia"/>
              <w:color w:val="000000"/>
              <w:sz w:val="20"/>
              <w:highlight w:val="lightGray"/>
            </w:rPr>
            <m:t>×</m:t>
          </m:r>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Ta</m:t>
              </m:r>
            </m:e>
            <m:sub>
              <m:r>
                <m:rPr>
                  <m:sty m:val="bi"/>
                </m:rPr>
                <w:rPr>
                  <w:rFonts w:ascii="Cambria Math" w:hAnsi="Cambria Math"/>
                  <w:color w:val="000000"/>
                  <w:sz w:val="20"/>
                  <w:highlight w:val="lightGray"/>
                </w:rPr>
                <m:t>i</m:t>
              </m:r>
            </m:sub>
          </m:sSub>
        </m:oMath>
      </m:oMathPara>
    </w:p>
    <w:p w14:paraId="06370316" w14:textId="094F3420" w:rsidR="00794E06" w:rsidRPr="00CE7EA8" w:rsidRDefault="00794E06" w:rsidP="00993117">
      <w:pPr>
        <w:pStyle w:val="Corpodetexto"/>
        <w:widowControl w:val="0"/>
        <w:spacing w:line="280" w:lineRule="atLeast"/>
        <w:ind w:left="720"/>
        <w:jc w:val="center"/>
        <w:rPr>
          <w:rFonts w:ascii="Verdana" w:hAnsi="Verdana"/>
          <w:b w:val="0"/>
          <w:i w:val="0"/>
          <w:color w:val="000000"/>
          <w:sz w:val="20"/>
          <w:highlight w:val="lightGray"/>
        </w:rPr>
      </w:pPr>
    </w:p>
    <w:p w14:paraId="077E20BD" w14:textId="3E8F5371"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onde:</w:t>
      </w:r>
    </w:p>
    <w:p w14:paraId="0CBA998D" w14:textId="1B80E926"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6DA1741C" w14:textId="2A7C279D"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AMi</w:t>
      </w:r>
      <w:proofErr w:type="spellEnd"/>
      <w:r w:rsidRPr="00CE7EA8">
        <w:rPr>
          <w:rFonts w:ascii="Verdana" w:hAnsi="Verdana"/>
          <w:b w:val="0"/>
          <w:i w:val="0"/>
          <w:spacing w:val="2"/>
          <w:sz w:val="20"/>
          <w:highlight w:val="lightGray"/>
        </w:rPr>
        <w:t>” = corresponde ao valor unitário da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parcela de pagamento, calculado com 8 (oito) casas decimais, sem arredondamento;</w:t>
      </w:r>
    </w:p>
    <w:p w14:paraId="65F057B9" w14:textId="78086C07"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5062304B" w14:textId="3122E57B"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VNe</w:t>
      </w:r>
      <w:proofErr w:type="spellEnd"/>
      <w:r w:rsidRPr="00CE7EA8">
        <w:rPr>
          <w:rFonts w:ascii="Verdana" w:hAnsi="Verdana"/>
          <w:b w:val="0"/>
          <w:i w:val="0"/>
          <w:spacing w:val="2"/>
          <w:sz w:val="20"/>
          <w:highlight w:val="lightGray"/>
        </w:rPr>
        <w:t xml:space="preserve">” = conforme definido na Cláusula </w:t>
      </w:r>
      <w:r w:rsidR="00C2078D" w:rsidRPr="00CE7EA8">
        <w:rPr>
          <w:rFonts w:ascii="Verdana" w:hAnsi="Verdana"/>
          <w:b w:val="0"/>
          <w:i w:val="0"/>
          <w:spacing w:val="2"/>
          <w:sz w:val="20"/>
          <w:highlight w:val="lightGray"/>
          <w:lang w:val="pt-BR"/>
        </w:rPr>
        <w:t>5.2</w:t>
      </w:r>
      <w:r w:rsidRPr="00CE7EA8">
        <w:rPr>
          <w:rFonts w:ascii="Verdana" w:hAnsi="Verdana"/>
          <w:b w:val="0"/>
          <w:i w:val="0"/>
          <w:spacing w:val="2"/>
          <w:sz w:val="20"/>
          <w:highlight w:val="lightGray"/>
        </w:rPr>
        <w:t xml:space="preserve"> acima; e</w:t>
      </w:r>
    </w:p>
    <w:p w14:paraId="61E39026" w14:textId="22CA60E0"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CE7EA8">
        <w:rPr>
          <w:rFonts w:ascii="Verdana" w:hAnsi="Verdana"/>
          <w:b w:val="0"/>
          <w:i w:val="0"/>
          <w:spacing w:val="2"/>
          <w:sz w:val="20"/>
          <w:highlight w:val="lightGray"/>
        </w:rPr>
        <w:t>“</w:t>
      </w:r>
      <w:r w:rsidRPr="00CE7EA8">
        <w:rPr>
          <w:rFonts w:ascii="Verdana" w:hAnsi="Verdana"/>
          <w:b w:val="0"/>
          <w:i w:val="0"/>
          <w:spacing w:val="2"/>
          <w:sz w:val="20"/>
          <w:highlight w:val="lightGray"/>
          <w:u w:val="single"/>
        </w:rPr>
        <w:t>Tai</w:t>
      </w:r>
      <w:r w:rsidRPr="00CE7EA8">
        <w:rPr>
          <w:rFonts w:ascii="Verdana" w:hAnsi="Verdana"/>
          <w:b w:val="0"/>
          <w:i w:val="0"/>
          <w:spacing w:val="2"/>
          <w:sz w:val="20"/>
          <w:highlight w:val="lightGray"/>
        </w:rPr>
        <w:t>” = corresponde 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84"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 xml:space="preserve">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84"/>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 xml:space="preserve">Os pagamentos dos CRI serão efetuados por meio do sistema de liquidação e compensação eletrônica administrado pela B3. Caso, por qualquer razão, a qualquer </w:t>
      </w:r>
      <w:r w:rsidR="006B22C0" w:rsidRPr="005270B8">
        <w:rPr>
          <w:rFonts w:ascii="Verdana" w:hAnsi="Verdana" w:cstheme="minorHAnsi"/>
          <w:sz w:val="20"/>
          <w:szCs w:val="20"/>
        </w:rPr>
        <w:lastRenderedPageBreak/>
        <w:t>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85" w:name="_Toc61353087"/>
      <w:bookmarkStart w:id="86" w:name="_Toc110076264"/>
      <w:bookmarkStart w:id="87" w:name="_Toc163380703"/>
      <w:bookmarkStart w:id="88" w:name="_Toc180553619"/>
      <w:bookmarkStart w:id="89" w:name="_Toc205799094"/>
      <w:bookmarkStart w:id="90"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85"/>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4CA12A08" w:rsidR="00647B6B" w:rsidRPr="00F57B75" w:rsidRDefault="00E12CE7"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91" w:name="_Ref61360674"/>
      <w:r>
        <w:rPr>
          <w:rFonts w:ascii="Verdana" w:hAnsi="Verdana" w:cstheme="minorHAnsi"/>
          <w:bCs/>
          <w:sz w:val="20"/>
          <w:szCs w:val="20"/>
          <w:highlight w:val="yellow"/>
          <w:u w:val="single"/>
        </w:rPr>
        <w:t>[</w:t>
      </w:r>
      <w:r w:rsidR="00055FAC" w:rsidRPr="00137F11">
        <w:rPr>
          <w:rFonts w:ascii="Verdana" w:hAnsi="Verdana" w:cstheme="minorHAnsi"/>
          <w:bCs/>
          <w:sz w:val="20"/>
          <w:szCs w:val="20"/>
          <w:u w:val="single"/>
        </w:rPr>
        <w:t xml:space="preserve">Resgate Antecipado dos CRI decorrente de Pagamento Antecipado </w:t>
      </w:r>
      <w:r w:rsidR="00055FAC">
        <w:rPr>
          <w:rFonts w:ascii="Verdana" w:hAnsi="Verdana" w:cstheme="minorHAnsi"/>
          <w:bCs/>
          <w:sz w:val="20"/>
          <w:szCs w:val="20"/>
          <w:u w:val="single"/>
        </w:rPr>
        <w:t>Obrigatório, total ou parcial</w:t>
      </w:r>
      <w:r w:rsidR="00055FAC"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86"/>
      <w:bookmarkEnd w:id="87"/>
      <w:bookmarkEnd w:id="88"/>
      <w:bookmarkEnd w:id="89"/>
      <w:bookmarkEnd w:id="90"/>
      <w:bookmarkEnd w:id="91"/>
      <w:r w:rsidR="009C27F9" w:rsidRPr="0077079E">
        <w:rPr>
          <w:rFonts w:ascii="Verdana" w:hAnsi="Verdana" w:cstheme="minorHAnsi"/>
          <w:bCs/>
          <w:sz w:val="20"/>
          <w:szCs w:val="20"/>
        </w:rPr>
        <w:t xml:space="preserve">Nos termos da CCB, a Emissora deverá realizar a amortização extraordinária </w:t>
      </w:r>
      <w:r w:rsidR="00055FAC">
        <w:rPr>
          <w:rFonts w:ascii="Verdana" w:hAnsi="Verdana" w:cstheme="minorHAnsi"/>
          <w:bCs/>
          <w:sz w:val="20"/>
          <w:szCs w:val="20"/>
        </w:rPr>
        <w:t>obr</w:t>
      </w:r>
      <w:r w:rsidR="00ED0C6C">
        <w:rPr>
          <w:rFonts w:ascii="Verdana" w:hAnsi="Verdana" w:cstheme="minorHAnsi"/>
          <w:bCs/>
          <w:sz w:val="20"/>
          <w:szCs w:val="20"/>
        </w:rPr>
        <w:t>i</w:t>
      </w:r>
      <w:r w:rsidR="00055FAC">
        <w:rPr>
          <w:rFonts w:ascii="Verdana" w:hAnsi="Verdana" w:cstheme="minorHAnsi"/>
          <w:bCs/>
          <w:sz w:val="20"/>
          <w:szCs w:val="20"/>
        </w:rPr>
        <w:t xml:space="preserve">gatória </w:t>
      </w:r>
      <w:r w:rsidR="009C27F9" w:rsidRPr="0077079E">
        <w:rPr>
          <w:rFonts w:ascii="Verdana" w:hAnsi="Verdana" w:cstheme="minorHAnsi"/>
          <w:bCs/>
          <w:sz w:val="20"/>
          <w:szCs w:val="20"/>
        </w:rPr>
        <w:t>das CCB</w:t>
      </w:r>
      <w:r w:rsidR="00055FAC">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sidR="00055FAC">
        <w:rPr>
          <w:rFonts w:ascii="Verdana" w:hAnsi="Verdana" w:cstheme="minorHAnsi"/>
          <w:bCs/>
          <w:sz w:val="20"/>
          <w:szCs w:val="20"/>
        </w:rPr>
        <w:t>o resgate antecipado</w:t>
      </w:r>
      <w:r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r w:rsidRPr="0077079E">
        <w:rPr>
          <w:rFonts w:ascii="Verdana" w:hAnsi="Verdana" w:cstheme="minorHAnsi"/>
          <w:bCs/>
          <w:sz w:val="20"/>
          <w:szCs w:val="20"/>
          <w:highlight w:val="yellow"/>
        </w:rPr>
        <w:t>]</w:t>
      </w:r>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w:t>
      </w:r>
      <w:proofErr w:type="spellStart"/>
      <w:r w:rsidR="00DB5132">
        <w:rPr>
          <w:rFonts w:ascii="Verdana" w:hAnsi="Verdana" w:cstheme="minorHAnsi"/>
          <w:bCs/>
          <w:sz w:val="20"/>
          <w:szCs w:val="20"/>
        </w:rPr>
        <w:t>Securitizadora</w:t>
      </w:r>
      <w:proofErr w:type="spellEnd"/>
      <w:r w:rsidR="00DB5132">
        <w:rPr>
          <w:rFonts w:ascii="Verdana" w:hAnsi="Verdana" w:cstheme="minorHAnsi"/>
          <w:bCs/>
          <w:sz w:val="20"/>
          <w:szCs w:val="20"/>
        </w:rPr>
        <w:t xml:space="preserve">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75FB44B1"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92" w:name="_Ref61361279"/>
      <w:bookmarkStart w:id="93"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da 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 xml:space="preserve">pro rata </w:t>
      </w:r>
      <w:proofErr w:type="spellStart"/>
      <w:r w:rsidR="00606A3A" w:rsidRPr="00A97F39">
        <w:rPr>
          <w:rFonts w:ascii="Verdana" w:hAnsi="Verdana" w:cstheme="minorHAnsi"/>
          <w:bCs/>
          <w:i/>
          <w:sz w:val="20"/>
          <w:szCs w:val="20"/>
        </w:rPr>
        <w:t>temporis</w:t>
      </w:r>
      <w:proofErr w:type="spellEnd"/>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de prêmio </w:t>
      </w:r>
      <w:r w:rsidR="00606A3A" w:rsidRPr="00A97F39">
        <w:rPr>
          <w:rFonts w:ascii="Verdana" w:hAnsi="Verdana"/>
          <w:bCs/>
          <w:iCs/>
          <w:sz w:val="20"/>
          <w:szCs w:val="20"/>
        </w:rPr>
        <w:t>ao ano</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94"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94"/>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Caso haja </w:t>
      </w:r>
      <w:r w:rsidR="00FE14F4">
        <w:rPr>
          <w:rFonts w:ascii="Verdana" w:hAnsi="Verdana" w:cs="Arial"/>
          <w:color w:val="000000"/>
          <w:sz w:val="20"/>
          <w:szCs w:val="20"/>
        </w:rPr>
        <w:t>P</w:t>
      </w:r>
      <w:r w:rsidR="00606A3A">
        <w:rPr>
          <w:rFonts w:ascii="Verdana" w:hAnsi="Verdana" w:cs="Arial"/>
          <w:color w:val="000000"/>
          <w:sz w:val="20"/>
          <w:szCs w:val="20"/>
        </w:rPr>
        <w:t xml:space="preserve">agamento de </w:t>
      </w:r>
      <w:r w:rsidR="00FE14F4">
        <w:rPr>
          <w:rFonts w:ascii="Verdana" w:hAnsi="Verdana" w:cs="Arial"/>
          <w:color w:val="000000"/>
          <w:sz w:val="20"/>
          <w:szCs w:val="20"/>
        </w:rPr>
        <w:t>A</w:t>
      </w:r>
      <w:r w:rsidR="00606A3A">
        <w:rPr>
          <w:rFonts w:ascii="Verdana" w:hAnsi="Verdana" w:cs="Arial"/>
          <w:color w:val="000000"/>
          <w:sz w:val="20"/>
          <w:szCs w:val="20"/>
        </w:rPr>
        <w:t>ntecipado</w:t>
      </w:r>
      <w:r w:rsidR="00FE14F4">
        <w:rPr>
          <w:rFonts w:ascii="Verdana" w:hAnsi="Verdana" w:cs="Arial"/>
          <w:color w:val="000000"/>
          <w:sz w:val="20"/>
          <w:szCs w:val="20"/>
        </w:rPr>
        <w:t xml:space="preserve"> Facultativo</w:t>
      </w:r>
      <w:r w:rsidR="00606A3A">
        <w:rPr>
          <w:rFonts w:ascii="Verdana" w:hAnsi="Verdana" w:cs="Arial"/>
          <w:color w:val="000000"/>
          <w:sz w:val="20"/>
          <w:szCs w:val="20"/>
        </w:rPr>
        <w:t>, o Prêmio de Performance não se</w:t>
      </w:r>
      <w:r w:rsidR="00FE14F4">
        <w:rPr>
          <w:rFonts w:ascii="Verdana" w:hAnsi="Verdana" w:cs="Arial"/>
          <w:color w:val="000000"/>
          <w:sz w:val="20"/>
          <w:szCs w:val="20"/>
        </w:rPr>
        <w:t>rá</w:t>
      </w:r>
      <w:r w:rsidR="00606A3A">
        <w:rPr>
          <w:rFonts w:ascii="Verdana" w:hAnsi="Verdana" w:cs="Arial"/>
          <w:color w:val="000000"/>
          <w:sz w:val="20"/>
          <w:szCs w:val="20"/>
        </w:rPr>
        <w:t xml:space="preserve"> aplic</w:t>
      </w:r>
      <w:r w:rsidR="00FE14F4">
        <w:rPr>
          <w:rFonts w:ascii="Verdana" w:hAnsi="Verdana" w:cs="Arial"/>
          <w:color w:val="000000"/>
          <w:sz w:val="20"/>
          <w:szCs w:val="20"/>
        </w:rPr>
        <w:t>ável</w:t>
      </w:r>
      <w:r w:rsidR="00606A3A">
        <w:rPr>
          <w:rFonts w:ascii="Verdana" w:hAnsi="Verdana" w:cs="Arial"/>
          <w:color w:val="000000"/>
          <w:sz w:val="20"/>
          <w:szCs w:val="20"/>
        </w:rPr>
        <w:t xml:space="preserve">. </w:t>
      </w:r>
      <w:r w:rsidR="00606A3A" w:rsidRPr="00A97F39">
        <w:rPr>
          <w:rFonts w:ascii="Verdana" w:hAnsi="Verdana" w:cs="Arial"/>
          <w:color w:val="000000"/>
          <w:sz w:val="20"/>
          <w:szCs w:val="20"/>
        </w:rPr>
        <w:t xml:space="preserve"> </w:t>
      </w:r>
      <w:bookmarkEnd w:id="92"/>
    </w:p>
    <w:bookmarkEnd w:id="93"/>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w:t>
      </w:r>
      <w:r w:rsidRPr="005270B8">
        <w:rPr>
          <w:rFonts w:ascii="Verdana" w:hAnsi="Verdana" w:cstheme="minorHAnsi"/>
          <w:bCs/>
          <w:sz w:val="20"/>
          <w:szCs w:val="20"/>
        </w:rPr>
        <w:lastRenderedPageBreak/>
        <w:t>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4688AEF1"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 xml:space="preserve">ao Agente </w:t>
      </w:r>
      <w:proofErr w:type="spellStart"/>
      <w:r w:rsidRPr="008470EA">
        <w:rPr>
          <w:rFonts w:ascii="Verdana" w:hAnsi="Verdana" w:cstheme="minorHAnsi"/>
          <w:bCs/>
          <w:sz w:val="20"/>
          <w:szCs w:val="20"/>
        </w:rPr>
        <w:t>Fiduciário</w:t>
      </w:r>
      <w:r w:rsidR="00F3760E" w:rsidRPr="005270B8">
        <w:rPr>
          <w:rFonts w:ascii="Verdana" w:hAnsi="Verdana" w:cstheme="minorHAnsi"/>
          <w:bCs/>
          <w:sz w:val="20"/>
          <w:szCs w:val="20"/>
        </w:rPr>
        <w:t>e</w:t>
      </w:r>
      <w:proofErr w:type="spellEnd"/>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w:t>
      </w:r>
      <w:r w:rsidR="00621E70">
        <w:rPr>
          <w:rFonts w:ascii="Verdana" w:hAnsi="Verdana" w:cstheme="minorHAnsi"/>
          <w:bCs/>
          <w:sz w:val="20"/>
          <w:szCs w:val="20"/>
        </w:rPr>
        <w:t>2</w:t>
      </w:r>
      <w:r w:rsidR="00542451" w:rsidRPr="005270B8">
        <w:rPr>
          <w:rFonts w:ascii="Verdana" w:hAnsi="Verdana" w:cstheme="minorHAnsi"/>
          <w:bCs/>
          <w:sz w:val="20"/>
          <w:szCs w:val="20"/>
        </w:rPr>
        <w:t xml:space="preserve"> (</w:t>
      </w:r>
      <w:r w:rsidR="00621E70">
        <w:rPr>
          <w:rFonts w:ascii="Verdana" w:hAnsi="Verdana" w:cstheme="minorHAnsi"/>
          <w:bCs/>
          <w:sz w:val="20"/>
          <w:szCs w:val="20"/>
        </w:rPr>
        <w:t>dois</w:t>
      </w:r>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61040613"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95" w:name="_Ref61361295"/>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cimento Antecipado da CCB</w:t>
      </w:r>
      <w:r w:rsidRPr="005270B8">
        <w:rPr>
          <w:rFonts w:ascii="Verdana" w:hAnsi="Verdana" w:cstheme="minorHAnsi"/>
          <w:bCs/>
          <w:sz w:val="20"/>
          <w:szCs w:val="20"/>
        </w:rPr>
        <w:t>: A Emissora poderá considerar vencida e imediatamente exigível a dívida objeto da CCB, incluindo o Valor de Principal (conforme definido na CCB), Juros Remuneratórios (conforme definido na CCB),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w:t>
      </w:r>
      <w:r w:rsidR="00493C19">
        <w:rPr>
          <w:rFonts w:ascii="Verdana" w:hAnsi="Verdana" w:cstheme="minorHAnsi"/>
          <w:bCs/>
          <w:sz w:val="20"/>
          <w:szCs w:val="20"/>
        </w:rPr>
        <w:t xml:space="preserve">, </w:t>
      </w:r>
      <w:r w:rsidR="00493C19" w:rsidRPr="00493C19">
        <w:rPr>
          <w:rFonts w:ascii="Verdana" w:hAnsi="Verdana" w:cstheme="minorHAnsi"/>
          <w:bCs/>
          <w:sz w:val="20"/>
          <w:szCs w:val="20"/>
        </w:rPr>
        <w:t>mediante o envio de uma notificação escrita à Emitente 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95"/>
      <w:r w:rsidRPr="005270B8">
        <w:rPr>
          <w:rFonts w:ascii="Verdana" w:hAnsi="Verdana" w:cstheme="minorHAnsi"/>
          <w:bCs/>
          <w:sz w:val="20"/>
          <w:szCs w:val="20"/>
        </w:rPr>
        <w:t xml:space="preserve"> </w:t>
      </w:r>
      <w:r w:rsidR="00A13DB5">
        <w:rPr>
          <w:rFonts w:ascii="Verdana" w:hAnsi="Verdana" w:cstheme="minorHAnsi"/>
          <w:bCs/>
          <w:sz w:val="20"/>
          <w:szCs w:val="20"/>
        </w:rPr>
        <w:t>[</w:t>
      </w:r>
      <w:r w:rsidR="00A13DB5" w:rsidRPr="00A13DB5">
        <w:rPr>
          <w:rFonts w:ascii="Verdana" w:hAnsi="Verdana" w:cstheme="minorHAnsi"/>
          <w:bCs/>
          <w:sz w:val="20"/>
          <w:szCs w:val="20"/>
          <w:highlight w:val="lightGray"/>
        </w:rPr>
        <w:t xml:space="preserve">Nota TF: Itens sujeitos a revisão e atualização </w:t>
      </w:r>
      <w:r w:rsidR="00ED0C6C">
        <w:rPr>
          <w:rFonts w:ascii="Verdana" w:hAnsi="Verdana" w:cstheme="minorHAnsi"/>
          <w:bCs/>
          <w:sz w:val="20"/>
          <w:szCs w:val="20"/>
          <w:highlight w:val="lightGray"/>
        </w:rPr>
        <w:t>de forma a ficarem alinhados</w:t>
      </w:r>
      <w:r w:rsidR="00A13DB5" w:rsidRPr="00A13DB5">
        <w:rPr>
          <w:rFonts w:ascii="Verdana" w:hAnsi="Verdana" w:cstheme="minorHAnsi"/>
          <w:bCs/>
          <w:sz w:val="20"/>
          <w:szCs w:val="20"/>
          <w:highlight w:val="lightGray"/>
        </w:rPr>
        <w:t xml:space="preserve"> com a CCB.</w:t>
      </w:r>
      <w:r w:rsidR="00A13DB5">
        <w:rPr>
          <w:rFonts w:ascii="Verdana" w:hAnsi="Verdana" w:cstheme="minorHAnsi"/>
          <w:bCs/>
          <w:sz w:val="20"/>
          <w:szCs w:val="20"/>
        </w:rPr>
        <w:t>]</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lastRenderedPageBreak/>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96"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96"/>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97"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 xml:space="preserve">da </w:t>
      </w:r>
      <w:proofErr w:type="spellStart"/>
      <w:r w:rsidR="0053150B">
        <w:rPr>
          <w:rFonts w:ascii="Verdana" w:hAnsi="Verdana"/>
          <w:color w:val="000000" w:themeColor="text1"/>
          <w:sz w:val="20"/>
          <w:szCs w:val="20"/>
        </w:rPr>
        <w:t>Securitizadora</w:t>
      </w:r>
      <w:proofErr w:type="spellEnd"/>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78055BE7"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decretação de falência, extinção, dissolução e/ou liquidação da Emitente,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Controladas e/ou Pessoas sob Controle comum, ou pedido de recuperação judicial ou extrajudicial ou falência formulado pela Emitente,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Emitente,</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 xml:space="preserve">a </w:t>
      </w:r>
      <w:proofErr w:type="spellStart"/>
      <w:r w:rsidR="00F80E07">
        <w:rPr>
          <w:rFonts w:ascii="Verdana" w:hAnsi="Verdana"/>
          <w:color w:val="000000" w:themeColor="text1"/>
          <w:sz w:val="20"/>
          <w:szCs w:val="20"/>
        </w:rPr>
        <w:t>Securitizadora</w:t>
      </w:r>
      <w:proofErr w:type="spellEnd"/>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8A615FC"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seção II, item 8, do Quadro-Resumo da CCB</w:t>
      </w:r>
      <w:r w:rsidRPr="00F80E07">
        <w:rPr>
          <w:rFonts w:ascii="Verdana" w:hAnsi="Verdana"/>
          <w:color w:val="000000" w:themeColor="text1"/>
          <w:sz w:val="20"/>
          <w:szCs w:val="20"/>
        </w:rPr>
        <w:t>, que não seja sanado no prazo de até 10 (dez) Dias Úteis contados da data de recebimento de uma notificação escrita d</w:t>
      </w:r>
      <w:r>
        <w:rPr>
          <w:rFonts w:ascii="Verdana" w:hAnsi="Verdana"/>
          <w:color w:val="000000" w:themeColor="text1"/>
          <w:sz w:val="20"/>
          <w:szCs w:val="20"/>
        </w:rPr>
        <w:t xml:space="preserve">a </w:t>
      </w:r>
      <w:proofErr w:type="spellStart"/>
      <w:r>
        <w:rPr>
          <w:rFonts w:ascii="Verdana" w:hAnsi="Verdana"/>
          <w:color w:val="000000" w:themeColor="text1"/>
          <w:sz w:val="20"/>
          <w:szCs w:val="20"/>
        </w:rPr>
        <w:t>Securitizadora</w:t>
      </w:r>
      <w:proofErr w:type="spellEnd"/>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3FE527DC"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Emitente, da referida Garantia, no </w:t>
      </w:r>
      <w:proofErr w:type="spellStart"/>
      <w:r w:rsidR="00C56B9D">
        <w:rPr>
          <w:rFonts w:ascii="Verdana" w:hAnsi="Verdana" w:cstheme="minorHAnsi"/>
          <w:sz w:val="20"/>
          <w:szCs w:val="20"/>
        </w:rPr>
        <w:t>parzo</w:t>
      </w:r>
      <w:proofErr w:type="spellEnd"/>
      <w:r w:rsidR="00C56B9D">
        <w:rPr>
          <w:rFonts w:ascii="Verdana" w:hAnsi="Verdana" w:cstheme="minorHAnsi"/>
          <w:sz w:val="20"/>
          <w:szCs w:val="20"/>
        </w:rPr>
        <w:t xml:space="preserve"> máximo de [--] 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w:t>
      </w:r>
      <w:proofErr w:type="spellStart"/>
      <w:r w:rsidR="00C56B9D">
        <w:rPr>
          <w:rFonts w:ascii="Verdana" w:hAnsi="Verdana"/>
          <w:color w:val="000000" w:themeColor="text1"/>
          <w:sz w:val="20"/>
          <w:szCs w:val="20"/>
        </w:rPr>
        <w:t>SPEs</w:t>
      </w:r>
      <w:proofErr w:type="spellEnd"/>
      <w:r w:rsidR="00C56B9D">
        <w:rPr>
          <w:rFonts w:ascii="Verdana" w:hAnsi="Verdana"/>
          <w:color w:val="000000" w:themeColor="text1"/>
          <w:sz w:val="20"/>
          <w:szCs w:val="20"/>
        </w:rPr>
        <w:t xml:space="preserve">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 xml:space="preserve">e recebimento, pela Devedora, de uma notificação escrita da </w:t>
      </w:r>
      <w:proofErr w:type="spellStart"/>
      <w:r w:rsidR="00C56B9D">
        <w:rPr>
          <w:rFonts w:ascii="Verdana" w:hAnsi="Verdana"/>
          <w:color w:val="000000" w:themeColor="text1"/>
          <w:sz w:val="20"/>
          <w:szCs w:val="20"/>
        </w:rPr>
        <w:t>Securitizadora</w:t>
      </w:r>
      <w:proofErr w:type="spellEnd"/>
      <w:r w:rsidR="00C56B9D">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98"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w:t>
      </w:r>
      <w:proofErr w:type="spellStart"/>
      <w:r w:rsidR="00C56B9D">
        <w:rPr>
          <w:rFonts w:ascii="Verdana" w:hAnsi="Verdana"/>
          <w:color w:val="000000" w:themeColor="text1"/>
          <w:sz w:val="20"/>
          <w:szCs w:val="20"/>
        </w:rPr>
        <w:t>trasitada</w:t>
      </w:r>
      <w:proofErr w:type="spellEnd"/>
      <w:r w:rsidR="00C56B9D">
        <w:rPr>
          <w:rFonts w:ascii="Verdana" w:hAnsi="Verdana"/>
          <w:color w:val="000000" w:themeColor="text1"/>
          <w:sz w:val="20"/>
          <w:szCs w:val="20"/>
        </w:rPr>
        <w:t xml:space="preserve"> em julgado neste sentido</w:t>
      </w:r>
      <w:bookmarkEnd w:id="98"/>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w:t>
      </w:r>
      <w:proofErr w:type="spellStart"/>
      <w:r w:rsidR="00C2052C">
        <w:rPr>
          <w:rFonts w:ascii="Verdana" w:hAnsi="Verdana" w:cstheme="minorHAnsi"/>
          <w:sz w:val="20"/>
          <w:szCs w:val="20"/>
        </w:rPr>
        <w:t>SPEs</w:t>
      </w:r>
      <w:proofErr w:type="spellEnd"/>
      <w:r w:rsidR="00C2052C">
        <w:rPr>
          <w:rFonts w:ascii="Verdana" w:hAnsi="Verdana" w:cstheme="minorHAnsi"/>
          <w:sz w:val="20"/>
          <w:szCs w:val="20"/>
        </w:rPr>
        <w:t xml:space="preserve">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4409A25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 xml:space="preserve">s </w:t>
      </w:r>
      <w:proofErr w:type="spellStart"/>
      <w:r>
        <w:rPr>
          <w:rFonts w:ascii="Verdana" w:hAnsi="Verdana" w:cstheme="minorHAnsi"/>
          <w:sz w:val="20"/>
          <w:szCs w:val="20"/>
        </w:rPr>
        <w:t>SPEs</w:t>
      </w:r>
      <w:proofErr w:type="spellEnd"/>
      <w:r>
        <w:rPr>
          <w:rFonts w:ascii="Verdana" w:hAnsi="Verdana" w:cstheme="minorHAnsi"/>
          <w:sz w:val="20"/>
          <w:szCs w:val="20"/>
        </w:rPr>
        <w:t xml:space="preserve">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R$[</w:t>
      </w:r>
      <w:r w:rsidRPr="007E0893">
        <w:rPr>
          <w:rFonts w:ascii="Verdana" w:hAnsi="Verdana"/>
          <w:sz w:val="20"/>
          <w:highlight w:val="yellow"/>
        </w:rPr>
        <w:t>--</w:t>
      </w:r>
      <w:r w:rsidRPr="007E0893">
        <w:rPr>
          <w:rFonts w:ascii="Verdana" w:hAnsi="Verdana"/>
          <w:sz w:val="20"/>
        </w:rPr>
        <w:t>] ([</w:t>
      </w:r>
      <w:r w:rsidRPr="007E0893">
        <w:rPr>
          <w:rFonts w:ascii="Verdana" w:hAnsi="Verdana"/>
          <w:sz w:val="20"/>
          <w:highlight w:val="yellow"/>
        </w:rPr>
        <w:t>--</w:t>
      </w:r>
      <w:r w:rsidRPr="007E0893">
        <w:rPr>
          <w:rFonts w:ascii="Verdana" w:hAnsi="Verdana"/>
          <w:sz w:val="20"/>
        </w:rPr>
        <w:t xml:space="preserve">] reais), 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1331A737"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w:t>
      </w:r>
      <w:proofErr w:type="spellStart"/>
      <w:r w:rsidRPr="00FB7F8C">
        <w:rPr>
          <w:rFonts w:ascii="Verdana" w:hAnsi="Verdana" w:cstheme="minorHAnsi"/>
          <w:sz w:val="20"/>
          <w:szCs w:val="20"/>
        </w:rPr>
        <w:t>SPEs</w:t>
      </w:r>
      <w:proofErr w:type="spellEnd"/>
      <w:r w:rsidRPr="00FB7F8C">
        <w:rPr>
          <w:rFonts w:ascii="Verdana" w:hAnsi="Verdana" w:cstheme="minorHAnsi"/>
          <w:sz w:val="20"/>
          <w:szCs w:val="20"/>
        </w:rPr>
        <w:t xml:space="preserve">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R$[</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66FA53A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w:t>
      </w:r>
      <w:r w:rsidRPr="00423642">
        <w:rPr>
          <w:rFonts w:ascii="Verdana" w:hAnsi="Verdana"/>
          <w:sz w:val="20"/>
          <w:lang w:val="pt"/>
        </w:rPr>
        <w:lastRenderedPageBreak/>
        <w:t xml:space="preserve">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w:t>
      </w:r>
      <w:proofErr w:type="spellStart"/>
      <w:r w:rsidR="00F10D86">
        <w:rPr>
          <w:rFonts w:ascii="Verdana" w:hAnsi="Verdana" w:cstheme="minorHAnsi"/>
          <w:sz w:val="20"/>
          <w:szCs w:val="20"/>
          <w:lang w:val="pt"/>
        </w:rPr>
        <w:t>Securitizadora</w:t>
      </w:r>
      <w:proofErr w:type="spellEnd"/>
      <w:r w:rsidR="00F10D86">
        <w:rPr>
          <w:rFonts w:ascii="Verdana" w:hAnsi="Verdana" w:cstheme="minorHAnsi"/>
          <w:sz w:val="20"/>
          <w:szCs w:val="20"/>
          <w:lang w:val="pt"/>
        </w:rPr>
        <w:t xml:space="preserve">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proofErr w:type="spellStart"/>
      <w:r w:rsidR="00F10D86">
        <w:rPr>
          <w:rFonts w:ascii="Verdana" w:hAnsi="Verdana" w:cstheme="minorHAnsi"/>
          <w:sz w:val="20"/>
          <w:szCs w:val="20"/>
          <w:lang w:val="pt"/>
        </w:rPr>
        <w:t>Securitizadora</w:t>
      </w:r>
      <w:proofErr w:type="spellEnd"/>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cancelado(s) ou suspenso(s); ou </w:t>
      </w:r>
      <w:r w:rsidRPr="00423642">
        <w:rPr>
          <w:rFonts w:ascii="Verdana" w:hAnsi="Verdana"/>
          <w:b/>
          <w:sz w:val="20"/>
          <w:lang w:val="pt"/>
        </w:rPr>
        <w:t>(b)</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o valor do(s) título(s) protestado(s) foi(</w:t>
      </w:r>
      <w:proofErr w:type="spellStart"/>
      <w:r w:rsidRPr="00423642">
        <w:rPr>
          <w:rFonts w:ascii="Verdana" w:hAnsi="Verdana"/>
          <w:sz w:val="20"/>
          <w:lang w:val="pt"/>
        </w:rPr>
        <w:t>ram</w:t>
      </w:r>
      <w:proofErr w:type="spellEnd"/>
      <w:r w:rsidRPr="00423642">
        <w:rPr>
          <w:rFonts w:ascii="Verdana" w:hAnsi="Verdana"/>
          <w:sz w:val="20"/>
          <w:lang w:val="pt"/>
        </w:rPr>
        <w:t xml:space="preserve">)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Pr="00230CDB">
        <w:rPr>
          <w:rFonts w:ascii="Verdana" w:hAnsi="Verdana" w:cstheme="minorHAnsi"/>
          <w:sz w:val="20"/>
          <w:szCs w:val="20"/>
          <w:lang w:val="pt"/>
        </w:rPr>
        <w:t>Emitente</w:t>
      </w:r>
      <w:r w:rsidR="00423642">
        <w:rPr>
          <w:rFonts w:ascii="Verdana" w:hAnsi="Verdana" w:cstheme="minorHAnsi"/>
          <w:sz w:val="20"/>
          <w:szCs w:val="20"/>
          <w:lang w:val="pt"/>
        </w:rPr>
        <w:t xml:space="preserve"> 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6FCA2B9D"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40D5115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r w:rsidR="001F5055">
        <w:rPr>
          <w:rFonts w:ascii="Verdana" w:hAnsi="Verdana"/>
          <w:color w:val="000000" w:themeColor="text1"/>
          <w:sz w:val="20"/>
          <w:szCs w:val="20"/>
        </w:rPr>
        <w:t>R$</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reais)</w:t>
      </w:r>
      <w:r w:rsidRPr="005270B8">
        <w:rPr>
          <w:rFonts w:ascii="Verdana" w:hAnsi="Verdana"/>
          <w:color w:val="000000" w:themeColor="text1"/>
          <w:sz w:val="20"/>
          <w:szCs w:val="20"/>
        </w:rPr>
        <w:t>,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cujos efeitos não sejam suspensos </w:t>
      </w:r>
      <w:r w:rsidRPr="005270B8">
        <w:rPr>
          <w:rFonts w:ascii="Verdana" w:hAnsi="Verdana"/>
          <w:color w:val="000000" w:themeColor="text1"/>
          <w:sz w:val="20"/>
          <w:szCs w:val="20"/>
        </w:rPr>
        <w:lastRenderedPageBreak/>
        <w:t>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proofErr w:type="spellStart"/>
      <w:r>
        <w:rPr>
          <w:rFonts w:ascii="Verdana" w:hAnsi="Verdana" w:cstheme="minorHAnsi"/>
          <w:sz w:val="20"/>
          <w:szCs w:val="20"/>
        </w:rPr>
        <w:t>Securitizadora</w:t>
      </w:r>
      <w:proofErr w:type="spellEnd"/>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proofErr w:type="spellStart"/>
      <w:r>
        <w:rPr>
          <w:rFonts w:ascii="Verdana" w:hAnsi="Verdana" w:cstheme="minorHAnsi"/>
          <w:sz w:val="20"/>
          <w:szCs w:val="20"/>
        </w:rPr>
        <w:t>Securitizadora</w:t>
      </w:r>
      <w:proofErr w:type="spellEnd"/>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estabelecido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 xml:space="preserve">a </w:t>
      </w:r>
      <w:proofErr w:type="spellStart"/>
      <w:r w:rsidR="009C2837">
        <w:rPr>
          <w:rFonts w:ascii="Verdana" w:hAnsi="Verdana" w:cstheme="minorHAnsi"/>
          <w:sz w:val="20"/>
          <w:szCs w:val="20"/>
        </w:rPr>
        <w:t>Securitizadora</w:t>
      </w:r>
      <w:proofErr w:type="spellEnd"/>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31B61709" w:rsidR="006F51CE" w:rsidRPr="005270B8" w:rsidRDefault="000B0F5B"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stheme="minorHAnsi"/>
          <w:sz w:val="20"/>
          <w:szCs w:val="20"/>
        </w:rPr>
        <w:t>[</w:t>
      </w:r>
      <w:r w:rsidR="00C9541F" w:rsidRPr="001938B0">
        <w:rPr>
          <w:rFonts w:ascii="Verdana" w:hAnsi="Verdana" w:cstheme="minorHAnsi"/>
          <w:sz w:val="20"/>
          <w:szCs w:val="20"/>
        </w:rPr>
        <w:t>o não restabelecimento do Percentual Mínimo de Garantia aplicável por meio de Reforço de Garantia (conforme definido no Contrato de Alienação Fiduciária</w:t>
      </w:r>
      <w:r w:rsidR="00C9541F">
        <w:rPr>
          <w:rFonts w:ascii="Verdana" w:hAnsi="Verdana" w:cstheme="minorHAnsi"/>
          <w:sz w:val="20"/>
          <w:szCs w:val="20"/>
        </w:rPr>
        <w:t xml:space="preserve"> </w:t>
      </w:r>
      <w:r>
        <w:rPr>
          <w:rFonts w:ascii="Verdana" w:hAnsi="Verdana" w:cstheme="minorHAnsi"/>
          <w:sz w:val="20"/>
          <w:szCs w:val="20"/>
        </w:rPr>
        <w:t>de Imóveis</w:t>
      </w:r>
      <w:r w:rsidR="00C9541F" w:rsidRPr="001938B0">
        <w:rPr>
          <w:rFonts w:ascii="Verdana" w:hAnsi="Verdana" w:cstheme="minorHAnsi"/>
          <w:sz w:val="20"/>
          <w:szCs w:val="20"/>
        </w:rPr>
        <w:t>), nos prazos e condições previstos no Contrato de Alienação Fiduciária</w:t>
      </w:r>
      <w:r>
        <w:rPr>
          <w:rFonts w:ascii="Verdana" w:hAnsi="Verdana" w:cstheme="minorHAnsi"/>
          <w:sz w:val="20"/>
          <w:szCs w:val="20"/>
        </w:rPr>
        <w:t xml:space="preserve"> de Imóveis</w:t>
      </w:r>
      <w:r w:rsidR="006F51CE" w:rsidRPr="005270B8">
        <w:rPr>
          <w:rFonts w:ascii="Verdana" w:hAnsi="Verdana"/>
          <w:color w:val="000000" w:themeColor="text1"/>
          <w:sz w:val="20"/>
          <w:szCs w:val="20"/>
        </w:rPr>
        <w:t>;</w:t>
      </w:r>
      <w:r>
        <w:rPr>
          <w:rFonts w:ascii="Verdana" w:hAnsi="Verdana"/>
          <w:color w:val="000000" w:themeColor="text1"/>
          <w:sz w:val="20"/>
          <w:szCs w:val="20"/>
        </w:rPr>
        <w:t>]</w:t>
      </w:r>
      <w:r w:rsidR="006F51CE" w:rsidRPr="005270B8">
        <w:rPr>
          <w:rFonts w:ascii="Verdana" w:hAnsi="Verdana"/>
          <w:color w:val="000000" w:themeColor="text1"/>
          <w:sz w:val="20"/>
          <w:szCs w:val="20"/>
        </w:rPr>
        <w:t xml:space="preserv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654350E3"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r>
        <w:rPr>
          <w:rFonts w:ascii="Verdana" w:hAnsi="Verdana"/>
          <w:sz w:val="20"/>
          <w:szCs w:val="20"/>
        </w:rPr>
        <w:t>o</w:t>
      </w:r>
      <w:r w:rsidR="008D0882">
        <w:rPr>
          <w:rFonts w:ascii="Verdana" w:hAnsi="Verdana"/>
          <w:sz w:val="20"/>
          <w:szCs w:val="20"/>
        </w:rPr>
        <w:t xml:space="preserve"> [</w:t>
      </w:r>
      <w:r w:rsidR="008D0882" w:rsidRPr="008D0882">
        <w:rPr>
          <w:rFonts w:ascii="Verdana" w:hAnsi="Verdana"/>
          <w:sz w:val="20"/>
          <w:szCs w:val="20"/>
          <w:highlight w:val="lightGray"/>
        </w:rPr>
        <w:t>protocolo para</w:t>
      </w:r>
      <w:r w:rsidRPr="008D0882">
        <w:rPr>
          <w:rFonts w:ascii="Verdana" w:hAnsi="Verdana"/>
          <w:sz w:val="20"/>
          <w:szCs w:val="20"/>
          <w:highlight w:val="lightGray"/>
        </w:rPr>
        <w:t xml:space="preserve"> registro</w:t>
      </w:r>
      <w:r w:rsidR="008D0882">
        <w:rPr>
          <w:rFonts w:ascii="Verdana" w:hAnsi="Verdana"/>
          <w:sz w:val="20"/>
          <w:szCs w:val="20"/>
        </w:rPr>
        <w:t>]</w:t>
      </w:r>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nos prazos previstos em tais instrumentos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642DCCA9"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até </w:t>
      </w:r>
      <w:r w:rsidRPr="00BE19E8">
        <w:rPr>
          <w:rFonts w:ascii="Verdana" w:hAnsi="Verdana"/>
          <w:color w:val="000000" w:themeColor="text1"/>
          <w:sz w:val="20"/>
          <w:szCs w:val="20"/>
        </w:rPr>
        <w:t>[</w:t>
      </w:r>
      <w:r w:rsidRPr="00230CDB">
        <w:rPr>
          <w:rFonts w:ascii="Verdana" w:hAnsi="Verdana"/>
          <w:color w:val="000000" w:themeColor="text1"/>
          <w:sz w:val="20"/>
          <w:szCs w:val="20"/>
          <w:highlight w:val="yellow"/>
        </w:rPr>
        <w:t>•</w:t>
      </w:r>
      <w:r w:rsidRPr="00BE19E8">
        <w:rPr>
          <w:rFonts w:ascii="Verdana" w:hAnsi="Verdana"/>
          <w:color w:val="000000" w:themeColor="text1"/>
          <w:sz w:val="20"/>
          <w:szCs w:val="20"/>
        </w:rPr>
        <w:t>]</w:t>
      </w:r>
      <w:r w:rsidRPr="00230CDB">
        <w:rPr>
          <w:rFonts w:ascii="Verdana" w:hAnsi="Verdana"/>
          <w:color w:val="000000" w:themeColor="text1"/>
          <w:sz w:val="20"/>
          <w:szCs w:val="20"/>
        </w:rPr>
        <w:t xml:space="preserve"> Dias Úteis</w:t>
      </w:r>
      <w:r>
        <w:rPr>
          <w:rFonts w:ascii="Verdana" w:hAnsi="Verdana"/>
          <w:color w:val="000000" w:themeColor="text1"/>
          <w:sz w:val="20"/>
          <w:szCs w:val="20"/>
        </w:rPr>
        <w:t xml:space="preserve"> contados do recebimento, pela Devedora, de uma notificação da </w:t>
      </w:r>
      <w:proofErr w:type="spellStart"/>
      <w:r>
        <w:rPr>
          <w:rFonts w:ascii="Verdana" w:hAnsi="Verdana"/>
          <w:color w:val="000000" w:themeColor="text1"/>
          <w:sz w:val="20"/>
          <w:szCs w:val="20"/>
        </w:rPr>
        <w:t>Securitizadora</w:t>
      </w:r>
      <w:proofErr w:type="spellEnd"/>
      <w:r>
        <w:rPr>
          <w:rFonts w:ascii="Verdana" w:hAnsi="Verdana"/>
          <w:color w:val="000000" w:themeColor="text1"/>
          <w:sz w:val="20"/>
          <w:szCs w:val="20"/>
        </w:rPr>
        <w:t xml:space="preserve">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97"/>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99"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xml:space="preserve">, no </w:t>
      </w:r>
      <w:r w:rsidR="00761DE5" w:rsidRPr="005270B8">
        <w:rPr>
          <w:rFonts w:ascii="Verdana" w:hAnsi="Verdana" w:cstheme="minorHAnsi"/>
          <w:bCs/>
          <w:sz w:val="20"/>
          <w:szCs w:val="20"/>
          <w:lang w:val="pt"/>
        </w:rPr>
        <w:lastRenderedPageBreak/>
        <w:t>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99"/>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xml:space="preserve">: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w:t>
      </w:r>
      <w:proofErr w:type="spellStart"/>
      <w:r w:rsidRPr="00D07FAF">
        <w:rPr>
          <w:rFonts w:ascii="Verdana" w:hAnsi="Verdana" w:cstheme="minorHAnsi"/>
          <w:iCs/>
          <w:sz w:val="20"/>
          <w:szCs w:val="20"/>
        </w:rPr>
        <w:t>Securitizadora</w:t>
      </w:r>
      <w:proofErr w:type="spellEnd"/>
      <w:r w:rsidRPr="00D07FAF">
        <w:rPr>
          <w:rFonts w:ascii="Verdana" w:hAnsi="Verdana" w:cstheme="minorHAnsi"/>
          <w:iCs/>
          <w:sz w:val="20"/>
          <w:szCs w:val="20"/>
        </w:rPr>
        <w:t>,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w:t>
      </w:r>
      <w:proofErr w:type="spellStart"/>
      <w:r w:rsidR="002C44A9" w:rsidRPr="00D07FAF">
        <w:rPr>
          <w:rFonts w:ascii="Verdana" w:hAnsi="Verdana" w:cstheme="minorHAnsi"/>
          <w:b/>
          <w:sz w:val="20"/>
          <w:szCs w:val="20"/>
        </w:rPr>
        <w:t>ii</w:t>
      </w:r>
      <w:proofErr w:type="spellEnd"/>
      <w:r w:rsidR="002C44A9" w:rsidRPr="00D07FAF">
        <w:rPr>
          <w:rFonts w:ascii="Verdana" w:hAnsi="Verdana" w:cstheme="minorHAnsi"/>
          <w:b/>
          <w:sz w:val="20"/>
          <w:szCs w:val="20"/>
        </w:rPr>
        <w:t>)</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 xml:space="preserve">a CCB, quando da ocorrência </w:t>
      </w:r>
      <w:r w:rsidR="002C44A9" w:rsidRPr="00D07FAF">
        <w:rPr>
          <w:rFonts w:ascii="Verdana" w:hAnsi="Verdana" w:cstheme="minorHAnsi"/>
          <w:bCs/>
          <w:sz w:val="20"/>
          <w:szCs w:val="20"/>
        </w:rPr>
        <w:lastRenderedPageBreak/>
        <w:t>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 xml:space="preserve">cópia da ata de Assembleia Geral, </w:t>
      </w:r>
      <w:proofErr w:type="spellStart"/>
      <w:r w:rsidR="00C9700C" w:rsidRPr="00D07FAF">
        <w:rPr>
          <w:rFonts w:ascii="Verdana" w:hAnsi="Verdana"/>
          <w:sz w:val="20"/>
          <w:szCs w:val="20"/>
          <w:lang w:val="pt"/>
        </w:rPr>
        <w:t>evindenciando</w:t>
      </w:r>
      <w:proofErr w:type="spellEnd"/>
      <w:r w:rsidR="00C9700C" w:rsidRPr="00D07FAF">
        <w:rPr>
          <w:rFonts w:ascii="Verdana" w:hAnsi="Verdana"/>
          <w:sz w:val="20"/>
          <w:szCs w:val="20"/>
          <w:lang w:val="pt"/>
        </w:rPr>
        <w:t xml:space="preserve">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100" w:name="_DV_M201"/>
      <w:bookmarkEnd w:id="100"/>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101" w:name="_DV_M109"/>
      <w:bookmarkStart w:id="102" w:name="_DV_M110"/>
      <w:bookmarkStart w:id="103" w:name="_Toc110076265"/>
      <w:bookmarkStart w:id="104" w:name="_Toc163380704"/>
      <w:bookmarkStart w:id="105" w:name="_Toc180553620"/>
      <w:bookmarkStart w:id="106" w:name="_Toc205799095"/>
      <w:bookmarkStart w:id="107" w:name="_Toc453274058"/>
      <w:bookmarkStart w:id="108" w:name="_Toc61353088"/>
      <w:bookmarkEnd w:id="101"/>
      <w:bookmarkEnd w:id="102"/>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103"/>
      <w:bookmarkEnd w:id="104"/>
      <w:bookmarkEnd w:id="105"/>
      <w:bookmarkEnd w:id="106"/>
      <w:bookmarkEnd w:id="107"/>
      <w:bookmarkEnd w:id="108"/>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w:t>
      </w:r>
      <w:r w:rsidRPr="005270B8">
        <w:rPr>
          <w:rFonts w:ascii="Verdana" w:hAnsi="Verdana" w:cstheme="minorHAnsi"/>
          <w:sz w:val="20"/>
          <w:szCs w:val="20"/>
          <w:lang w:eastAsia="x-none"/>
        </w:rPr>
        <w:lastRenderedPageBreak/>
        <w:t xml:space="preserve">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xml:space="preserve">, observando a regra </w:t>
      </w:r>
      <w:r w:rsidR="008E048C" w:rsidRPr="005270B8">
        <w:rPr>
          <w:rFonts w:ascii="Verdana" w:hAnsi="Verdana"/>
          <w:sz w:val="20"/>
          <w:szCs w:val="20"/>
        </w:rPr>
        <w:lastRenderedPageBreak/>
        <w:t>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w:t>
      </w:r>
      <w:r w:rsidRPr="005270B8">
        <w:rPr>
          <w:rFonts w:ascii="Verdana" w:hAnsi="Verdana"/>
          <w:color w:val="000000"/>
          <w:sz w:val="20"/>
          <w:szCs w:val="20"/>
        </w:rPr>
        <w:lastRenderedPageBreak/>
        <w:t xml:space="preserve">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xml:space="preserve">) Dias Úteis contado do recebimento da respectiva solicitação por escrito, todas as </w:t>
      </w:r>
      <w:r w:rsidRPr="005270B8">
        <w:rPr>
          <w:rFonts w:ascii="Verdana" w:hAnsi="Verdana"/>
          <w:sz w:val="20"/>
          <w:szCs w:val="20"/>
        </w:rPr>
        <w:lastRenderedPageBreak/>
        <w:t>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50F9DAB8"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A Emissora obriga-se desde já, a informar e enviar o organograma, todos os dados financeiros e atos societários necessários à realização do relatório anual, conforme Instrução CVM 583,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109" w:name="_Toc110076266"/>
      <w:bookmarkStart w:id="110" w:name="_Toc163380705"/>
      <w:bookmarkStart w:id="111" w:name="_Toc180553621"/>
      <w:bookmarkStart w:id="112" w:name="_Toc205799096"/>
      <w:bookmarkStart w:id="113" w:name="_Toc453274059"/>
      <w:bookmarkStart w:id="114" w:name="_Toc61353089"/>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09"/>
      <w:bookmarkEnd w:id="110"/>
      <w:bookmarkEnd w:id="111"/>
      <w:bookmarkEnd w:id="112"/>
      <w:bookmarkEnd w:id="113"/>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114"/>
    </w:p>
    <w:p w14:paraId="0EFBC4FD" w14:textId="77777777" w:rsidR="00035039" w:rsidRPr="005270B8" w:rsidRDefault="00035039" w:rsidP="00993117">
      <w:pPr>
        <w:spacing w:line="280" w:lineRule="atLeast"/>
        <w:rPr>
          <w:rFonts w:ascii="Verdana" w:hAnsi="Verdana"/>
          <w:sz w:val="20"/>
          <w:szCs w:val="20"/>
        </w:rPr>
      </w:pPr>
    </w:p>
    <w:p w14:paraId="627AAE9D" w14:textId="7EDC2CD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115" w:name="_Toc110076267"/>
      <w:bookmarkStart w:id="116" w:name="_Toc163380706"/>
      <w:bookmarkStart w:id="117" w:name="_Toc180553622"/>
      <w:bookmarkStart w:id="118"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Alienação Fiduciária de Ações</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0F723472"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119"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28339E" w:rsidRPr="0028339E">
        <w:rPr>
          <w:rFonts w:ascii="Verdana" w:hAnsi="Verdana"/>
          <w:sz w:val="20"/>
          <w:szCs w:val="20"/>
        </w:rPr>
        <w:t xml:space="preserve">, nas condições e localização descritas no Anexo [--] 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r w:rsidR="00D732D6">
        <w:rPr>
          <w:rFonts w:ascii="Verdana" w:hAnsi="Verdana"/>
          <w:sz w:val="20"/>
          <w:szCs w:val="20"/>
        </w:rPr>
        <w:t xml:space="preserve"> (“</w:t>
      </w:r>
      <w:r w:rsidR="00D732D6" w:rsidRPr="00B8790E">
        <w:rPr>
          <w:rFonts w:ascii="Verdana" w:hAnsi="Verdana"/>
          <w:sz w:val="20"/>
          <w:szCs w:val="20"/>
          <w:u w:val="single"/>
        </w:rPr>
        <w:t>Alienação Fiduciária de Imóveis</w:t>
      </w:r>
      <w:r w:rsidR="00D732D6">
        <w:rPr>
          <w:rFonts w:ascii="Verdana" w:hAnsi="Verdana"/>
          <w:sz w:val="20"/>
          <w:szCs w:val="20"/>
        </w:rPr>
        <w:t>”)</w:t>
      </w:r>
      <w:bookmarkStart w:id="120" w:name="_Hlk43917390"/>
      <w:bookmarkStart w:id="121" w:name="_Hlk43917368"/>
      <w:r w:rsidR="00586E73" w:rsidRPr="00586E73">
        <w:rPr>
          <w:rFonts w:ascii="Verdana" w:hAnsi="Verdana"/>
          <w:sz w:val="20"/>
          <w:szCs w:val="20"/>
        </w:rPr>
        <w:t>.</w:t>
      </w:r>
      <w:bookmarkEnd w:id="119"/>
    </w:p>
    <w:p w14:paraId="052C9B18" w14:textId="77777777" w:rsidR="009B22BC" w:rsidRPr="00B8790E" w:rsidRDefault="009B22BC" w:rsidP="00B8790E">
      <w:pPr>
        <w:pStyle w:val="PargrafodaLista"/>
        <w:rPr>
          <w:rFonts w:ascii="Verdana" w:hAnsi="Verdana"/>
          <w:sz w:val="20"/>
          <w:szCs w:val="20"/>
        </w:rPr>
      </w:pPr>
    </w:p>
    <w:p w14:paraId="660E5364" w14:textId="76DED630"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122" w:name="_Ref61361179"/>
      <w:bookmarkStart w:id="123" w:name="_Hlk61466404"/>
      <w:r>
        <w:rPr>
          <w:rFonts w:ascii="Verdana" w:hAnsi="Verdana"/>
          <w:sz w:val="20"/>
          <w:szCs w:val="20"/>
        </w:rPr>
        <w:t xml:space="preserve">A partir da </w:t>
      </w:r>
      <w:r w:rsidR="004F4A21">
        <w:rPr>
          <w:rFonts w:ascii="Verdana" w:hAnsi="Verdana"/>
          <w:sz w:val="20"/>
          <w:szCs w:val="20"/>
        </w:rPr>
        <w:t>[</w:t>
      </w:r>
      <w:r>
        <w:rPr>
          <w:rFonts w:ascii="Verdana" w:hAnsi="Verdana"/>
          <w:sz w:val="20"/>
          <w:szCs w:val="20"/>
        </w:rPr>
        <w:t xml:space="preserve">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 valores existentes na listagem do Anexo [--] 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4F4A21">
        <w:rPr>
          <w:rFonts w:ascii="Verdana" w:hAnsi="Verdana"/>
          <w:sz w:val="20"/>
          <w:szCs w:val="20"/>
        </w:rPr>
        <w:t xml:space="preserve">valor total correspondente ao Repasse </w:t>
      </w:r>
      <w:r>
        <w:rPr>
          <w:rFonts w:ascii="Verdana" w:hAnsi="Verdana"/>
          <w:sz w:val="20"/>
          <w:szCs w:val="20"/>
        </w:rPr>
        <w:t>(</w:t>
      </w:r>
      <w:r w:rsidRPr="001938B0">
        <w:rPr>
          <w:rFonts w:ascii="Verdana" w:hAnsi="Verdana"/>
          <w:sz w:val="20"/>
          <w:szCs w:val="20"/>
        </w:rPr>
        <w:t>“</w:t>
      </w:r>
      <w:r w:rsidRPr="001938B0">
        <w:rPr>
          <w:rFonts w:ascii="Verdana" w:hAnsi="Verdana"/>
          <w:sz w:val="20"/>
          <w:szCs w:val="20"/>
          <w:u w:val="single"/>
        </w:rPr>
        <w:t>Percentual Mínimo de Garantia</w:t>
      </w:r>
      <w:r w:rsidRPr="001938B0">
        <w:rPr>
          <w:rFonts w:ascii="Verdana" w:hAnsi="Verdana"/>
          <w:sz w:val="20"/>
          <w:szCs w:val="20"/>
        </w:rPr>
        <w:t>”)</w:t>
      </w:r>
      <w:r>
        <w:rPr>
          <w:rFonts w:ascii="Verdana" w:hAnsi="Verdana"/>
          <w:sz w:val="20"/>
          <w:szCs w:val="20"/>
        </w:rPr>
        <w:t>.</w:t>
      </w:r>
      <w:bookmarkEnd w:id="122"/>
      <w:r w:rsidR="00E74D62">
        <w:rPr>
          <w:rFonts w:ascii="Verdana" w:hAnsi="Verdana"/>
          <w:sz w:val="20"/>
          <w:szCs w:val="20"/>
        </w:rPr>
        <w:t xml:space="preserve"> </w:t>
      </w:r>
    </w:p>
    <w:bookmarkEnd w:id="120"/>
    <w:bookmarkEnd w:id="123"/>
    <w:p w14:paraId="73B97929" w14:textId="5A869A57" w:rsidR="00586E73" w:rsidRDefault="00586E73" w:rsidP="005178B3">
      <w:pPr>
        <w:tabs>
          <w:tab w:val="left" w:pos="1398"/>
        </w:tabs>
        <w:spacing w:line="280" w:lineRule="exact"/>
        <w:rPr>
          <w:rFonts w:ascii="Verdana" w:hAnsi="Verdana"/>
          <w:sz w:val="20"/>
          <w:szCs w:val="20"/>
        </w:rPr>
      </w:pPr>
    </w:p>
    <w:p w14:paraId="122E333D" w14:textId="77985C54" w:rsidR="005178B3" w:rsidRPr="00586E73" w:rsidRDefault="00175D3A" w:rsidP="005178B3">
      <w:pPr>
        <w:pStyle w:val="PargrafodaLista"/>
        <w:numPr>
          <w:ilvl w:val="2"/>
          <w:numId w:val="29"/>
        </w:numPr>
        <w:tabs>
          <w:tab w:val="left" w:pos="1398"/>
        </w:tabs>
        <w:spacing w:line="280" w:lineRule="atLeast"/>
        <w:ind w:left="709" w:firstLine="0"/>
        <w:rPr>
          <w:rFonts w:ascii="Verdana" w:hAnsi="Verdana"/>
          <w:sz w:val="20"/>
          <w:szCs w:val="20"/>
        </w:rPr>
      </w:pPr>
      <w:bookmarkStart w:id="124" w:name="_Hlk61466463"/>
      <w:bookmarkStart w:id="125" w:name="_Hlk61466536"/>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 xml:space="preserve">a </w:t>
      </w:r>
      <w:proofErr w:type="spellStart"/>
      <w:r w:rsidR="00AA309A">
        <w:rPr>
          <w:rFonts w:ascii="Verdana" w:hAnsi="Verdana"/>
          <w:sz w:val="20"/>
          <w:szCs w:val="20"/>
        </w:rPr>
        <w:t>Securitizadora</w:t>
      </w:r>
      <w:proofErr w:type="spellEnd"/>
      <w:r w:rsidR="00AA309A">
        <w:rPr>
          <w:rFonts w:ascii="Verdana" w:hAnsi="Verdana"/>
          <w:sz w:val="20"/>
          <w:szCs w:val="20"/>
        </w:rPr>
        <w:t>,</w:t>
      </w:r>
      <w:r w:rsidRPr="00175D3A">
        <w:rPr>
          <w:rFonts w:ascii="Verdana" w:hAnsi="Verdana"/>
          <w:sz w:val="20"/>
          <w:szCs w:val="20"/>
        </w:rPr>
        <w:t xml:space="preserve"> alterar e substituir os imóveis do Anexo [--] do Contrato de Alienação Fiduciária de Imóveis alienados fiduciariamente, por outr</w:t>
      </w:r>
      <w:r w:rsidR="00A13DB5">
        <w:rPr>
          <w:rFonts w:ascii="Verdana" w:hAnsi="Verdana"/>
          <w:sz w:val="20"/>
          <w:szCs w:val="20"/>
        </w:rPr>
        <w:t>o</w:t>
      </w:r>
      <w:r w:rsidRPr="00175D3A">
        <w:rPr>
          <w:rFonts w:ascii="Verdana" w:hAnsi="Verdana"/>
          <w:sz w:val="20"/>
          <w:szCs w:val="20"/>
        </w:rPr>
        <w:t xml:space="preserve">s com valores e direitos equivalentes, sem necessidade de aprovação por meio de assembleia dos </w:t>
      </w:r>
      <w:r>
        <w:rPr>
          <w:rFonts w:ascii="Verdana" w:hAnsi="Verdana"/>
          <w:sz w:val="20"/>
          <w:szCs w:val="20"/>
        </w:rPr>
        <w:t>T</w:t>
      </w:r>
      <w:r w:rsidRPr="00175D3A">
        <w:rPr>
          <w:rFonts w:ascii="Verdana" w:hAnsi="Verdana"/>
          <w:sz w:val="20"/>
          <w:szCs w:val="20"/>
        </w:rPr>
        <w:t>itulares dos CRI.</w:t>
      </w:r>
    </w:p>
    <w:bookmarkEnd w:id="121"/>
    <w:bookmarkEnd w:id="124"/>
    <w:bookmarkEnd w:id="125"/>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26" w:name="_Toc161226109"/>
      <w:bookmarkStart w:id="127" w:name="_Toc163704820"/>
      <w:bookmarkStart w:id="128" w:name="_Toc165278447"/>
      <w:bookmarkStart w:id="129" w:name="_Toc169690866"/>
      <w:bookmarkStart w:id="130" w:name="_Toc241983082"/>
      <w:bookmarkStart w:id="131" w:name="_Toc510689815"/>
      <w:bookmarkStart w:id="132" w:name="_Toc61353090"/>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26"/>
      <w:bookmarkEnd w:id="127"/>
      <w:bookmarkEnd w:id="128"/>
      <w:bookmarkEnd w:id="129"/>
      <w:bookmarkEnd w:id="130"/>
      <w:bookmarkEnd w:id="131"/>
      <w:bookmarkEnd w:id="132"/>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33" w:name="_Toc453274060"/>
      <w:bookmarkStart w:id="134" w:name="_Toc61353091"/>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15"/>
      <w:bookmarkEnd w:id="116"/>
      <w:bookmarkEnd w:id="117"/>
      <w:bookmarkEnd w:id="118"/>
      <w:bookmarkEnd w:id="133"/>
      <w:bookmarkEnd w:id="134"/>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lastRenderedPageBreak/>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135"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135"/>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proofErr w:type="spellStart"/>
      <w:r w:rsidR="002D541E">
        <w:rPr>
          <w:rFonts w:ascii="Verdana" w:hAnsi="Verdana" w:cs="Trebuchet MS"/>
          <w:sz w:val="20"/>
          <w:szCs w:val="20"/>
        </w:rPr>
        <w:t>Securitizadora</w:t>
      </w:r>
      <w:proofErr w:type="spellEnd"/>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proofErr w:type="gramStart"/>
      <w:r>
        <w:rPr>
          <w:rFonts w:ascii="Verdana" w:hAnsi="Verdana" w:cstheme="minorHAnsi"/>
          <w:sz w:val="20"/>
          <w:szCs w:val="20"/>
          <w:lang w:val="en-US"/>
        </w:rPr>
        <w:t>Moratórios</w:t>
      </w:r>
      <w:proofErr w:type="spellEnd"/>
      <w:r>
        <w:rPr>
          <w:rFonts w:ascii="Verdana" w:hAnsi="Verdana" w:cstheme="minorHAnsi"/>
          <w:sz w:val="20"/>
          <w:szCs w:val="20"/>
          <w:lang w:val="en-US"/>
        </w:rPr>
        <w:t>;</w:t>
      </w:r>
      <w:proofErr w:type="gramEnd"/>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proofErr w:type="gram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roofErr w:type="gramEnd"/>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 xml:space="preserve">10.3.1 Recomposição do Fundo de Despesas: Caso não tenham sido recompostas pela Devedora, a Emissora poderá usar recursos dos Direitos Creditórios para recomposição </w:t>
      </w:r>
      <w:proofErr w:type="gramStart"/>
      <w:r>
        <w:rPr>
          <w:rFonts w:ascii="Verdana" w:hAnsi="Verdana" w:cstheme="minorHAnsi"/>
          <w:sz w:val="20"/>
          <w:szCs w:val="20"/>
        </w:rPr>
        <w:t>do mesmo</w:t>
      </w:r>
      <w:proofErr w:type="gramEnd"/>
      <w:r>
        <w:rPr>
          <w:rFonts w:ascii="Verdana" w:hAnsi="Verdana" w:cstheme="minorHAnsi"/>
          <w:sz w:val="20"/>
          <w:szCs w:val="20"/>
        </w:rPr>
        <w:t>,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w:t>
      </w:r>
      <w:proofErr w:type="spellStart"/>
      <w:r>
        <w:rPr>
          <w:rFonts w:ascii="Verdana" w:hAnsi="Verdana" w:cstheme="minorHAnsi"/>
          <w:sz w:val="20"/>
          <w:szCs w:val="20"/>
        </w:rPr>
        <w:t>Alineação</w:t>
      </w:r>
      <w:proofErr w:type="spellEnd"/>
      <w:r>
        <w:rPr>
          <w:rFonts w:ascii="Verdana" w:hAnsi="Verdana" w:cstheme="minorHAnsi"/>
          <w:sz w:val="20"/>
          <w:szCs w:val="20"/>
        </w:rPr>
        <w:t xml:space="preserve">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04658348" w14:textId="456A2544" w:rsidR="00155CFB" w:rsidRDefault="00155CFB" w:rsidP="00155CFB">
      <w:pPr>
        <w:pStyle w:val="PargrafodaLista"/>
        <w:tabs>
          <w:tab w:val="left" w:pos="709"/>
        </w:tabs>
        <w:spacing w:line="280" w:lineRule="atLeast"/>
        <w:ind w:left="0"/>
        <w:rPr>
          <w:rFonts w:ascii="Verdana" w:hAnsi="Verdana" w:cstheme="minorHAnsi"/>
          <w:bCs/>
          <w:sz w:val="20"/>
          <w:szCs w:val="20"/>
          <w:u w:val="single"/>
        </w:rPr>
      </w:pPr>
    </w:p>
    <w:p w14:paraId="68D099E0" w14:textId="6E7194E7" w:rsidR="00CF3B35" w:rsidRPr="005339CD" w:rsidRDefault="00155CFB" w:rsidP="00CF3B35">
      <w:pPr>
        <w:pStyle w:val="Ttulo1"/>
        <w:widowControl w:val="0"/>
        <w:spacing w:line="280" w:lineRule="exact"/>
        <w:rPr>
          <w:rFonts w:ascii="Verdana" w:hAnsi="Verdana"/>
          <w:b w:val="0"/>
          <w:bCs w:val="0"/>
          <w:sz w:val="20"/>
          <w:szCs w:val="20"/>
        </w:rPr>
      </w:pPr>
      <w:r w:rsidRPr="00155CFB">
        <w:rPr>
          <w:rFonts w:ascii="Verdana" w:hAnsi="Verdana" w:cstheme="minorHAnsi"/>
          <w:sz w:val="20"/>
          <w:szCs w:val="20"/>
          <w:u w:val="single"/>
        </w:rPr>
        <w:t>10.4.1</w:t>
      </w:r>
      <w:r>
        <w:rPr>
          <w:rFonts w:ascii="Verdana" w:hAnsi="Verdana" w:cstheme="minorHAnsi"/>
          <w:sz w:val="20"/>
          <w:szCs w:val="20"/>
          <w:u w:val="single"/>
        </w:rPr>
        <w:t xml:space="preserve"> </w:t>
      </w:r>
      <w:r>
        <w:rPr>
          <w:rFonts w:ascii="Verdana" w:hAnsi="Verdana"/>
          <w:b w:val="0"/>
          <w:bCs w:val="0"/>
          <w:sz w:val="20"/>
          <w:szCs w:val="20"/>
        </w:rPr>
        <w:t xml:space="preserve">Após </w:t>
      </w:r>
      <w:r w:rsidR="00BA2B07">
        <w:rPr>
          <w:rFonts w:ascii="Verdana" w:hAnsi="Verdana"/>
          <w:b w:val="0"/>
          <w:bCs w:val="0"/>
          <w:sz w:val="20"/>
          <w:szCs w:val="20"/>
        </w:rPr>
        <w:t>a integralização</w:t>
      </w:r>
      <w:r>
        <w:rPr>
          <w:rFonts w:ascii="Verdana" w:hAnsi="Verdana"/>
          <w:b w:val="0"/>
          <w:bCs w:val="0"/>
          <w:sz w:val="20"/>
          <w:szCs w:val="20"/>
        </w:rPr>
        <w:t xml:space="preserve"> dos CRI, a </w:t>
      </w:r>
      <w:r w:rsidR="00C23B5E">
        <w:rPr>
          <w:rFonts w:ascii="Verdana" w:hAnsi="Verdana"/>
          <w:b w:val="0"/>
          <w:bCs w:val="0"/>
          <w:sz w:val="20"/>
          <w:szCs w:val="20"/>
        </w:rPr>
        <w:t>Emissora deverá repassar</w:t>
      </w:r>
      <w:r>
        <w:rPr>
          <w:rFonts w:ascii="Verdana" w:hAnsi="Verdana"/>
          <w:b w:val="0"/>
          <w:bCs w:val="0"/>
          <w:sz w:val="20"/>
          <w:szCs w:val="20"/>
        </w:rPr>
        <w:t xml:space="preserve"> à </w:t>
      </w:r>
      <w:r w:rsidR="00C23B5E">
        <w:rPr>
          <w:rFonts w:ascii="Verdana" w:hAnsi="Verdana"/>
          <w:b w:val="0"/>
          <w:bCs w:val="0"/>
          <w:sz w:val="20"/>
          <w:szCs w:val="20"/>
        </w:rPr>
        <w:t>Devedora</w:t>
      </w:r>
      <w:r>
        <w:rPr>
          <w:rFonts w:ascii="Verdana" w:hAnsi="Verdana"/>
          <w:b w:val="0"/>
          <w:bCs w:val="0"/>
          <w:sz w:val="20"/>
          <w:szCs w:val="20"/>
        </w:rPr>
        <w:t xml:space="preserve"> o montante inicial de R$ </w:t>
      </w:r>
      <w:r w:rsidRPr="00A07975">
        <w:rPr>
          <w:rFonts w:ascii="Verdana" w:hAnsi="Verdana"/>
          <w:b w:val="0"/>
          <w:sz w:val="20"/>
          <w:szCs w:val="20"/>
          <w:highlight w:val="yellow"/>
        </w:rPr>
        <w:t>[--]</w:t>
      </w:r>
      <w:r>
        <w:rPr>
          <w:rFonts w:ascii="Verdana" w:hAnsi="Verdana"/>
          <w:b w:val="0"/>
          <w:bCs w:val="0"/>
          <w:sz w:val="20"/>
          <w:szCs w:val="20"/>
        </w:rPr>
        <w:t xml:space="preserve"> (</w:t>
      </w:r>
      <w:r w:rsidRPr="00A07975">
        <w:rPr>
          <w:rFonts w:ascii="Verdana" w:hAnsi="Verdana"/>
          <w:b w:val="0"/>
          <w:sz w:val="20"/>
          <w:szCs w:val="20"/>
          <w:highlight w:val="yellow"/>
        </w:rPr>
        <w:t>[--]</w:t>
      </w:r>
      <w:r>
        <w:rPr>
          <w:rFonts w:ascii="Verdana" w:hAnsi="Verdana"/>
          <w:b w:val="0"/>
          <w:bCs w:val="0"/>
          <w:sz w:val="20"/>
          <w:szCs w:val="20"/>
        </w:rPr>
        <w:t xml:space="preserve">) </w:t>
      </w:r>
      <w:r w:rsidR="00CF3B35">
        <w:rPr>
          <w:rFonts w:ascii="Verdana" w:hAnsi="Verdana"/>
          <w:b w:val="0"/>
          <w:bCs w:val="0"/>
          <w:sz w:val="20"/>
          <w:szCs w:val="20"/>
        </w:rPr>
        <w:t xml:space="preserve">(“Repasse Inicial”) </w:t>
      </w:r>
      <w:r>
        <w:rPr>
          <w:rFonts w:ascii="Verdana" w:hAnsi="Verdana"/>
          <w:b w:val="0"/>
          <w:bCs w:val="0"/>
          <w:sz w:val="20"/>
          <w:szCs w:val="20"/>
        </w:rPr>
        <w:t>e mante</w:t>
      </w:r>
      <w:r w:rsidR="00C23B5E">
        <w:rPr>
          <w:rFonts w:ascii="Verdana" w:hAnsi="Verdana"/>
          <w:b w:val="0"/>
          <w:bCs w:val="0"/>
          <w:sz w:val="20"/>
          <w:szCs w:val="20"/>
        </w:rPr>
        <w:t>r</w:t>
      </w:r>
      <w:r>
        <w:rPr>
          <w:rFonts w:ascii="Verdana" w:hAnsi="Verdana"/>
          <w:b w:val="0"/>
          <w:bCs w:val="0"/>
          <w:sz w:val="20"/>
          <w:szCs w:val="20"/>
        </w:rPr>
        <w:t xml:space="preserve"> o restante dos recursos aplicados em </w:t>
      </w:r>
      <w:r>
        <w:rPr>
          <w:rFonts w:ascii="Verdana" w:hAnsi="Verdana"/>
          <w:b w:val="0"/>
          <w:bCs w:val="0"/>
          <w:sz w:val="20"/>
          <w:szCs w:val="20"/>
          <w:u w:val="single"/>
        </w:rPr>
        <w:t>Aplicações Financeiras Permitidas</w:t>
      </w:r>
      <w:r>
        <w:rPr>
          <w:rFonts w:ascii="Verdana" w:hAnsi="Verdana"/>
          <w:b w:val="0"/>
          <w:bCs w:val="0"/>
          <w:sz w:val="20"/>
          <w:szCs w:val="20"/>
        </w:rPr>
        <w:t>.</w:t>
      </w:r>
      <w:r w:rsidR="00C23B5E">
        <w:rPr>
          <w:rFonts w:ascii="Verdana" w:hAnsi="Verdana"/>
          <w:b w:val="0"/>
          <w:bCs w:val="0"/>
          <w:sz w:val="20"/>
          <w:szCs w:val="20"/>
        </w:rPr>
        <w:t xml:space="preserve"> Na sequência, novo(s) </w:t>
      </w:r>
      <w:r w:rsidR="00BA2B07">
        <w:rPr>
          <w:rFonts w:ascii="Verdana" w:hAnsi="Verdana"/>
          <w:b w:val="0"/>
          <w:bCs w:val="0"/>
          <w:sz w:val="20"/>
          <w:szCs w:val="20"/>
        </w:rPr>
        <w:t>r</w:t>
      </w:r>
      <w:r w:rsidR="00C23B5E" w:rsidRPr="002D062B">
        <w:rPr>
          <w:rFonts w:ascii="Verdana" w:hAnsi="Verdana"/>
          <w:b w:val="0"/>
          <w:bCs w:val="0"/>
          <w:sz w:val="20"/>
          <w:szCs w:val="20"/>
        </w:rPr>
        <w:t>epasse</w:t>
      </w:r>
      <w:r w:rsidR="00C23B5E">
        <w:rPr>
          <w:rFonts w:ascii="Verdana" w:hAnsi="Verdana"/>
          <w:b w:val="0"/>
          <w:bCs w:val="0"/>
          <w:sz w:val="20"/>
          <w:szCs w:val="20"/>
        </w:rPr>
        <w:t>(s)</w:t>
      </w:r>
      <w:r w:rsidR="00C23B5E" w:rsidRPr="002D062B">
        <w:rPr>
          <w:rFonts w:ascii="Verdana" w:hAnsi="Verdana"/>
          <w:b w:val="0"/>
          <w:bCs w:val="0"/>
          <w:sz w:val="20"/>
          <w:szCs w:val="20"/>
        </w:rPr>
        <w:t xml:space="preserve"> dos </w:t>
      </w:r>
      <w:r w:rsidR="00BA2B07">
        <w:rPr>
          <w:rFonts w:ascii="Verdana" w:hAnsi="Verdana"/>
          <w:b w:val="0"/>
          <w:bCs w:val="0"/>
          <w:sz w:val="20"/>
          <w:szCs w:val="20"/>
        </w:rPr>
        <w:t>r</w:t>
      </w:r>
      <w:r w:rsidR="00C23B5E" w:rsidRPr="002D062B">
        <w:rPr>
          <w:rFonts w:ascii="Verdana" w:hAnsi="Verdana"/>
          <w:b w:val="0"/>
          <w:bCs w:val="0"/>
          <w:sz w:val="20"/>
          <w:szCs w:val="20"/>
        </w:rPr>
        <w:t xml:space="preserve">ecursos </w:t>
      </w:r>
      <w:r w:rsidR="00BA2B07">
        <w:rPr>
          <w:rFonts w:ascii="Verdana" w:hAnsi="Verdana"/>
          <w:b w:val="0"/>
          <w:bCs w:val="0"/>
          <w:sz w:val="20"/>
          <w:szCs w:val="20"/>
        </w:rPr>
        <w:t>d</w:t>
      </w:r>
      <w:r w:rsidR="00C23B5E" w:rsidRPr="002D062B">
        <w:rPr>
          <w:rFonts w:ascii="Verdana" w:hAnsi="Verdana"/>
          <w:b w:val="0"/>
          <w:bCs w:val="0"/>
          <w:sz w:val="20"/>
          <w:szCs w:val="20"/>
        </w:rPr>
        <w:t>ecorrentes da CCB</w:t>
      </w:r>
      <w:r w:rsidR="00C23B5E">
        <w:rPr>
          <w:rFonts w:ascii="Verdana" w:hAnsi="Verdana"/>
          <w:b w:val="0"/>
          <w:bCs w:val="0"/>
          <w:sz w:val="20"/>
          <w:szCs w:val="20"/>
        </w:rPr>
        <w:t xml:space="preserve"> deverão ser realizados, da Conta Patrimônio Separado para conta corrente de titularidade da Devedora e por ela indicada, total ou parcialmente, até a sua integral liquidação, mediante: (i) solicitação prévia e por escrito da </w:t>
      </w:r>
      <w:r w:rsidR="00BA2B07">
        <w:rPr>
          <w:rFonts w:ascii="Verdana" w:hAnsi="Verdana"/>
          <w:b w:val="0"/>
          <w:bCs w:val="0"/>
          <w:sz w:val="20"/>
          <w:szCs w:val="20"/>
        </w:rPr>
        <w:t>Devedora</w:t>
      </w:r>
      <w:r w:rsidR="00C23B5E">
        <w:rPr>
          <w:rFonts w:ascii="Verdana" w:hAnsi="Verdana"/>
          <w:b w:val="0"/>
          <w:bCs w:val="0"/>
          <w:sz w:val="20"/>
          <w:szCs w:val="20"/>
        </w:rPr>
        <w:t>, com a indicação da destinação a ser dada aos recursos; e (</w:t>
      </w:r>
      <w:proofErr w:type="spellStart"/>
      <w:r w:rsidR="00C23B5E">
        <w:rPr>
          <w:rFonts w:ascii="Verdana" w:hAnsi="Verdana"/>
          <w:b w:val="0"/>
          <w:bCs w:val="0"/>
          <w:sz w:val="20"/>
          <w:szCs w:val="20"/>
        </w:rPr>
        <w:t>ii</w:t>
      </w:r>
      <w:proofErr w:type="spellEnd"/>
      <w:r w:rsidR="00C23B5E">
        <w:rPr>
          <w:rFonts w:ascii="Verdana" w:hAnsi="Verdana"/>
          <w:b w:val="0"/>
          <w:bCs w:val="0"/>
          <w:sz w:val="20"/>
          <w:szCs w:val="20"/>
        </w:rPr>
        <w:t xml:space="preserve">) aprovação da </w:t>
      </w:r>
      <w:r w:rsidR="00BA2B07">
        <w:rPr>
          <w:rFonts w:ascii="Verdana" w:hAnsi="Verdana"/>
          <w:b w:val="0"/>
          <w:bCs w:val="0"/>
          <w:sz w:val="20"/>
          <w:szCs w:val="20"/>
        </w:rPr>
        <w:t>Emissora</w:t>
      </w:r>
      <w:r w:rsidR="00C23B5E">
        <w:rPr>
          <w:rFonts w:ascii="Verdana" w:hAnsi="Verdana"/>
          <w:b w:val="0"/>
          <w:bCs w:val="0"/>
          <w:sz w:val="20"/>
          <w:szCs w:val="20"/>
        </w:rPr>
        <w:t xml:space="preserve">, após verificação do cumprimento da destinação dos recursos, nos termos previstos nesta CCB, e </w:t>
      </w:r>
      <w:r w:rsidR="00DC682B">
        <w:rPr>
          <w:rFonts w:ascii="Verdana" w:hAnsi="Verdana"/>
          <w:b w:val="0"/>
          <w:bCs w:val="0"/>
          <w:sz w:val="20"/>
          <w:szCs w:val="20"/>
        </w:rPr>
        <w:t>do Percentual Mínimo de Garantia</w:t>
      </w:r>
      <w:r w:rsidR="00BA2B07">
        <w:rPr>
          <w:rFonts w:ascii="Verdana" w:hAnsi="Verdana"/>
          <w:b w:val="0"/>
          <w:bCs w:val="0"/>
          <w:sz w:val="20"/>
          <w:szCs w:val="20"/>
        </w:rPr>
        <w:t>.</w:t>
      </w:r>
      <w:r w:rsidR="00CF3B35">
        <w:rPr>
          <w:rFonts w:ascii="Verdana" w:hAnsi="Verdana"/>
          <w:b w:val="0"/>
          <w:bCs w:val="0"/>
          <w:sz w:val="20"/>
          <w:szCs w:val="20"/>
        </w:rPr>
        <w:t xml:space="preserve"> (“</w:t>
      </w:r>
      <w:r w:rsidR="00CF3B35" w:rsidRPr="00284CCF">
        <w:rPr>
          <w:rFonts w:ascii="Verdana" w:hAnsi="Verdana"/>
          <w:b w:val="0"/>
          <w:bCs w:val="0"/>
          <w:sz w:val="20"/>
          <w:szCs w:val="20"/>
          <w:u w:val="single"/>
        </w:rPr>
        <w:t>Repasse</w:t>
      </w:r>
      <w:r w:rsidR="00CF3B35">
        <w:rPr>
          <w:rFonts w:ascii="Verdana" w:hAnsi="Verdana"/>
          <w:b w:val="0"/>
          <w:bCs w:val="0"/>
          <w:sz w:val="20"/>
          <w:szCs w:val="20"/>
          <w:u w:val="single"/>
        </w:rPr>
        <w:t xml:space="preserve"> Subsequente</w:t>
      </w:r>
      <w:r w:rsidR="00CF3B35">
        <w:rPr>
          <w:rFonts w:ascii="Verdana" w:hAnsi="Verdana"/>
          <w:b w:val="0"/>
          <w:bCs w:val="0"/>
          <w:sz w:val="20"/>
          <w:szCs w:val="20"/>
        </w:rPr>
        <w:t>” ou, no plural, “</w:t>
      </w:r>
      <w:r w:rsidR="00CF3B35" w:rsidRPr="00567E8F">
        <w:rPr>
          <w:rFonts w:ascii="Verdana" w:hAnsi="Verdana"/>
          <w:b w:val="0"/>
          <w:bCs w:val="0"/>
          <w:sz w:val="20"/>
          <w:szCs w:val="20"/>
          <w:u w:val="single"/>
        </w:rPr>
        <w:t>Repasses Subsequentes</w:t>
      </w:r>
      <w:r w:rsidR="00CF3B35">
        <w:rPr>
          <w:rFonts w:ascii="Verdana" w:hAnsi="Verdana"/>
          <w:b w:val="0"/>
          <w:bCs w:val="0"/>
          <w:sz w:val="20"/>
          <w:szCs w:val="20"/>
        </w:rPr>
        <w:t>” e, em conjunto com o “Repasse Inicial”, simplesmente “</w:t>
      </w:r>
      <w:r w:rsidR="00CF3B35" w:rsidRPr="00567E8F">
        <w:rPr>
          <w:rFonts w:ascii="Verdana" w:hAnsi="Verdana"/>
          <w:b w:val="0"/>
          <w:bCs w:val="0"/>
          <w:sz w:val="20"/>
          <w:szCs w:val="20"/>
          <w:u w:val="single"/>
        </w:rPr>
        <w:t>Repasse</w:t>
      </w:r>
      <w:r w:rsidR="00CF3B35">
        <w:rPr>
          <w:rFonts w:ascii="Verdana" w:hAnsi="Verdana"/>
          <w:b w:val="0"/>
          <w:bCs w:val="0"/>
          <w:sz w:val="20"/>
          <w:szCs w:val="20"/>
        </w:rPr>
        <w:t xml:space="preserve">”). </w:t>
      </w:r>
    </w:p>
    <w:p w14:paraId="25AC14E5" w14:textId="77777777" w:rsidR="00CF3B35" w:rsidRDefault="00CF3B35" w:rsidP="00CF3B35">
      <w:pPr>
        <w:pStyle w:val="Ttulo1"/>
        <w:widowControl w:val="0"/>
        <w:spacing w:line="280" w:lineRule="exact"/>
        <w:rPr>
          <w:rFonts w:ascii="Verdana" w:hAnsi="Verdana"/>
          <w:b w:val="0"/>
          <w:bCs w:val="0"/>
          <w:sz w:val="20"/>
          <w:szCs w:val="20"/>
        </w:rPr>
      </w:pPr>
    </w:p>
    <w:p w14:paraId="55AA6BF5" w14:textId="4C589893" w:rsidR="00CF3B35" w:rsidRDefault="004F4A21" w:rsidP="00CF3B35">
      <w:pPr>
        <w:pStyle w:val="Ttulo1"/>
        <w:widowControl w:val="0"/>
        <w:spacing w:line="280" w:lineRule="exact"/>
        <w:rPr>
          <w:rFonts w:ascii="Verdana" w:hAnsi="Verdana"/>
          <w:b w:val="0"/>
          <w:bCs w:val="0"/>
          <w:sz w:val="20"/>
          <w:szCs w:val="20"/>
        </w:rPr>
      </w:pPr>
      <w:r w:rsidRPr="00D07FAF">
        <w:rPr>
          <w:rFonts w:ascii="Verdana" w:hAnsi="Verdana" w:cstheme="minorHAnsi"/>
          <w:sz w:val="20"/>
          <w:szCs w:val="20"/>
          <w:u w:val="single"/>
        </w:rPr>
        <w:t>10.4.2.</w:t>
      </w:r>
      <w:r w:rsidRPr="00D07FAF">
        <w:rPr>
          <w:rFonts w:ascii="Verdana" w:hAnsi="Verdana" w:cstheme="minorHAnsi"/>
          <w:sz w:val="20"/>
          <w:szCs w:val="20"/>
        </w:rPr>
        <w:t xml:space="preserve"> </w:t>
      </w:r>
      <w:r w:rsidR="00CF3B35">
        <w:rPr>
          <w:rFonts w:ascii="Verdana" w:hAnsi="Verdana"/>
          <w:b w:val="0"/>
          <w:bCs w:val="0"/>
          <w:sz w:val="20"/>
          <w:szCs w:val="20"/>
        </w:rPr>
        <w:t xml:space="preserve">O Valor de Principal reduzido do valor de Repasse deverá ser aplicado </w:t>
      </w:r>
      <w:r>
        <w:rPr>
          <w:rFonts w:ascii="Verdana" w:hAnsi="Verdana"/>
          <w:b w:val="0"/>
          <w:bCs w:val="0"/>
          <w:sz w:val="20"/>
          <w:szCs w:val="20"/>
        </w:rPr>
        <w:t>em Aplicações Financeiras Permitidas</w:t>
      </w:r>
      <w:r w:rsidR="00CF3B35">
        <w:rPr>
          <w:rFonts w:ascii="Verdana" w:hAnsi="Verdana"/>
          <w:b w:val="0"/>
          <w:bCs w:val="0"/>
          <w:sz w:val="20"/>
          <w:szCs w:val="20"/>
        </w:rPr>
        <w:t>.</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 xml:space="preserve">Patrimônio </w:t>
      </w:r>
      <w:r w:rsidR="00BF1BE3" w:rsidRPr="005270B8">
        <w:rPr>
          <w:rFonts w:ascii="Verdana" w:hAnsi="Verdana" w:cstheme="minorHAnsi"/>
          <w:bCs/>
          <w:sz w:val="20"/>
          <w:szCs w:val="20"/>
        </w:rPr>
        <w:lastRenderedPageBreak/>
        <w:t>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36" w:name="_Toc110076268"/>
      <w:bookmarkStart w:id="137" w:name="_Toc163380707"/>
      <w:bookmarkStart w:id="138" w:name="_Toc180553623"/>
      <w:bookmarkStart w:id="139" w:name="_Toc205799098"/>
      <w:bookmarkStart w:id="140" w:name="_Toc453274061"/>
      <w:bookmarkStart w:id="141" w:name="_Toc61353092"/>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36"/>
      <w:bookmarkEnd w:id="137"/>
      <w:bookmarkEnd w:id="138"/>
      <w:bookmarkEnd w:id="139"/>
      <w:bookmarkEnd w:id="140"/>
      <w:bookmarkEnd w:id="141"/>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xml:space="preserve">, o Agente </w:t>
      </w:r>
      <w:r w:rsidRPr="005270B8">
        <w:rPr>
          <w:rFonts w:ascii="Verdana" w:hAnsi="Verdana" w:cstheme="minorHAnsi"/>
          <w:bCs/>
          <w:sz w:val="20"/>
          <w:szCs w:val="20"/>
        </w:rPr>
        <w:lastRenderedPageBreak/>
        <w:t>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não se encontrar em nenhuma das situações de conflito de interesse previstas na Instrução CVM 583;</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3ACB98F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proofErr w:type="spellStart"/>
      <w:r w:rsidRPr="005270B8">
        <w:rPr>
          <w:rFonts w:ascii="Verdana" w:hAnsi="Verdana"/>
          <w:i/>
          <w:sz w:val="20"/>
          <w:szCs w:val="20"/>
        </w:rPr>
        <w:t>compliance</w:t>
      </w:r>
      <w:proofErr w:type="spellEnd"/>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2516734D"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8614874"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142" w:name="_DV_M168"/>
      <w:bookmarkEnd w:id="142"/>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 xml:space="preserve">mediante utilização dos recursos do </w:t>
      </w:r>
      <w:r w:rsidR="00D8482D" w:rsidRPr="005270B8">
        <w:rPr>
          <w:rFonts w:ascii="Verdana" w:hAnsi="Verdana" w:cstheme="minorHAnsi"/>
          <w:bCs/>
          <w:sz w:val="20"/>
          <w:szCs w:val="20"/>
        </w:rPr>
        <w:lastRenderedPageBreak/>
        <w:t>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5B239AB2"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r w:rsidR="0076661D" w:rsidRPr="00141A3C">
        <w:rPr>
          <w:rFonts w:ascii="Verdana" w:hAnsi="Verdana" w:cstheme="minorHAnsi"/>
          <w:sz w:val="20"/>
          <w:szCs w:val="20"/>
          <w:highlight w:val="yellow"/>
        </w:rPr>
        <w:t>[--]</w:t>
      </w:r>
      <w:r w:rsidRPr="00A2021B">
        <w:rPr>
          <w:rFonts w:ascii="Verdana" w:hAnsi="Verdana" w:cstheme="minorHAnsi"/>
          <w:sz w:val="20"/>
          <w:szCs w:val="20"/>
        </w:rPr>
        <w:t xml:space="preserve"> (</w:t>
      </w:r>
      <w:r w:rsidR="00B54C10" w:rsidRPr="00141A3C">
        <w:rPr>
          <w:rFonts w:ascii="Verdana" w:hAnsi="Verdana" w:cstheme="minorHAnsi"/>
          <w:sz w:val="20"/>
          <w:szCs w:val="20"/>
          <w:highlight w:val="yellow"/>
        </w:rPr>
        <w:t>[--]</w:t>
      </w:r>
      <w:r w:rsidR="00B54C10" w:rsidRPr="00A2021B">
        <w:rPr>
          <w:rFonts w:ascii="Verdana" w:hAnsi="Verdana" w:cstheme="minorHAnsi"/>
          <w:sz w:val="20"/>
          <w:szCs w:val="20"/>
        </w:rPr>
        <w:t xml:space="preserve"> </w:t>
      </w:r>
      <w:r w:rsidRPr="00A2021B">
        <w:rPr>
          <w:rFonts w:ascii="Verdana" w:hAnsi="Verdana" w:cstheme="minorHAnsi"/>
          <w:sz w:val="20"/>
          <w:szCs w:val="20"/>
        </w:rPr>
        <w:t>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xml:space="preserve">, renúncia, ou nas hipóteses previstas em </w:t>
      </w:r>
      <w:r w:rsidR="00676548" w:rsidRPr="005270B8">
        <w:rPr>
          <w:rFonts w:ascii="Verdana" w:hAnsi="Verdana" w:cstheme="minorHAnsi"/>
          <w:bCs/>
          <w:sz w:val="20"/>
          <w:szCs w:val="20"/>
        </w:rPr>
        <w:lastRenderedPageBreak/>
        <w:t>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xml:space="preserve">, assumirá integralmente os deveres, atribuições e responsabilidades constantes </w:t>
      </w:r>
      <w:r w:rsidR="00117910" w:rsidRPr="005270B8">
        <w:rPr>
          <w:rFonts w:ascii="Verdana" w:hAnsi="Verdana" w:cstheme="minorHAnsi"/>
          <w:bCs/>
          <w:sz w:val="20"/>
          <w:szCs w:val="20"/>
        </w:rPr>
        <w:lastRenderedPageBreak/>
        <w:t>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643B4F57"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Instrução CVM 583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6ED599AD"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Instrução CVM 583,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143" w:name="_Toc510689812"/>
      <w:bookmarkStart w:id="144" w:name="_Toc110076270"/>
      <w:bookmarkStart w:id="145" w:name="_Toc163380709"/>
      <w:bookmarkStart w:id="146" w:name="_Toc180553625"/>
      <w:bookmarkStart w:id="147"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148" w:name="_Toc6135309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43"/>
      <w:bookmarkEnd w:id="148"/>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 xml:space="preserve">itulares </w:t>
      </w:r>
      <w:r w:rsidR="003A7C3F" w:rsidRPr="005270B8">
        <w:rPr>
          <w:rFonts w:ascii="Verdana" w:hAnsi="Verdana" w:cstheme="minorHAnsi"/>
          <w:bCs/>
          <w:sz w:val="20"/>
          <w:szCs w:val="20"/>
        </w:rPr>
        <w:lastRenderedPageBreak/>
        <w:t>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49" w:name="_Toc453274063"/>
      <w:bookmarkStart w:id="150" w:name="_Toc61353094"/>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44"/>
      <w:bookmarkEnd w:id="145"/>
      <w:bookmarkEnd w:id="146"/>
      <w:bookmarkEnd w:id="147"/>
      <w:bookmarkEnd w:id="149"/>
      <w:bookmarkEnd w:id="150"/>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51" w:name="art14§2"/>
      <w:bookmarkEnd w:id="151"/>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w:t>
      </w:r>
      <w:r w:rsidRPr="005270B8">
        <w:rPr>
          <w:rFonts w:ascii="Verdana" w:hAnsi="Verdana" w:cstheme="minorHAnsi"/>
          <w:bCs/>
          <w:sz w:val="20"/>
          <w:szCs w:val="20"/>
        </w:rPr>
        <w:lastRenderedPageBreak/>
        <w:t>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i</w:t>
      </w:r>
      <w:r w:rsidR="002B4A00" w:rsidRPr="005270B8">
        <w:rPr>
          <w:rFonts w:ascii="Verdana" w:hAnsi="Verdana" w:cstheme="minorHAnsi"/>
          <w:b/>
          <w:sz w:val="20"/>
          <w:szCs w:val="20"/>
        </w:rPr>
        <w:t>v</w:t>
      </w:r>
      <w:proofErr w:type="spellEnd"/>
      <w:r w:rsidR="002B4A00" w:rsidRPr="005270B8">
        <w:rPr>
          <w:rFonts w:ascii="Verdana" w:hAnsi="Verdana" w:cstheme="minorHAnsi"/>
          <w:b/>
          <w:sz w:val="20"/>
          <w:szCs w:val="20"/>
        </w:rPr>
        <w:t xml:space="preserve">)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viii</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proofErr w:type="spellStart"/>
      <w:r w:rsidR="002B654C">
        <w:rPr>
          <w:rFonts w:ascii="Verdana" w:hAnsi="Verdana" w:cs="Tahoma"/>
          <w:b/>
          <w:bCs/>
          <w:sz w:val="20"/>
          <w:szCs w:val="20"/>
        </w:rPr>
        <w:t>i</w:t>
      </w:r>
      <w:r w:rsidR="002B4A00" w:rsidRPr="005270B8">
        <w:rPr>
          <w:rFonts w:ascii="Verdana" w:hAnsi="Verdana" w:cs="Tahoma"/>
          <w:b/>
          <w:bCs/>
          <w:sz w:val="20"/>
          <w:szCs w:val="20"/>
        </w:rPr>
        <w:t>x</w:t>
      </w:r>
      <w:proofErr w:type="spellEnd"/>
      <w:r w:rsidR="002B4A00" w:rsidRPr="005270B8">
        <w:rPr>
          <w:rFonts w:ascii="Verdana" w:hAnsi="Verdana" w:cs="Tahoma"/>
          <w:b/>
          <w:bCs/>
          <w:sz w:val="20"/>
          <w:szCs w:val="20"/>
        </w:rPr>
        <w:t>)</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lastRenderedPageBreak/>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Somente após receber a orientação definida pelos Titulares de CRI (quando tal orientação for necessária na forma deste Termo de Securitização), a Emissora deverá exercer seu direito e manifestar-se conforme lhe for orientado. Caso os Titulares de CRI não </w:t>
      </w:r>
      <w:r w:rsidRPr="005270B8">
        <w:rPr>
          <w:rFonts w:ascii="Verdana" w:hAnsi="Verdana" w:cstheme="minorHAnsi"/>
          <w:bCs/>
          <w:sz w:val="20"/>
          <w:szCs w:val="20"/>
        </w:rPr>
        <w:lastRenderedPageBreak/>
        <w:t>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152" w:name="_Toc110076271"/>
      <w:bookmarkStart w:id="153" w:name="_Toc163380710"/>
      <w:bookmarkStart w:id="154" w:name="_Toc180553626"/>
      <w:bookmarkStart w:id="155" w:name="_Toc205799101"/>
      <w:bookmarkStart w:id="156" w:name="_Toc453274064"/>
      <w:bookmarkStart w:id="157" w:name="_Toc61353095"/>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52"/>
      <w:bookmarkEnd w:id="153"/>
      <w:bookmarkEnd w:id="154"/>
      <w:bookmarkEnd w:id="155"/>
      <w:r w:rsidR="00101E5F" w:rsidRPr="005270B8">
        <w:rPr>
          <w:rFonts w:ascii="Verdana" w:hAnsi="Verdana" w:cstheme="minorHAnsi"/>
          <w:sz w:val="20"/>
          <w:szCs w:val="20"/>
        </w:rPr>
        <w:t xml:space="preserve">DESPESAS </w:t>
      </w:r>
      <w:bookmarkEnd w:id="156"/>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157"/>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w:t>
      </w:r>
      <w:r w:rsidRPr="005270B8">
        <w:rPr>
          <w:rFonts w:ascii="Verdana" w:hAnsi="Verdana"/>
          <w:sz w:val="20"/>
          <w:szCs w:val="20"/>
        </w:rPr>
        <w:lastRenderedPageBreak/>
        <w:t>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5F54DA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w:t>
      </w:r>
      <w:proofErr w:type="spellStart"/>
      <w:r w:rsidR="00471296">
        <w:rPr>
          <w:rFonts w:ascii="Verdana" w:hAnsi="Verdana"/>
          <w:sz w:val="20"/>
          <w:szCs w:val="20"/>
          <w:u w:val="single"/>
        </w:rPr>
        <w:t>Escriturador</w:t>
      </w:r>
      <w:proofErr w:type="spellEnd"/>
      <w:r w:rsidRPr="005270B8">
        <w:rPr>
          <w:rFonts w:ascii="Verdana" w:hAnsi="Verdana"/>
          <w:sz w:val="20"/>
          <w:szCs w:val="20"/>
        </w:rPr>
        <w:t>: parcelas mensais no valor de R</w:t>
      </w:r>
      <w:r w:rsidR="00471296" w:rsidRPr="005270B8">
        <w:rPr>
          <w:rFonts w:ascii="Verdana" w:hAnsi="Verdana"/>
          <w:sz w:val="20"/>
          <w:szCs w:val="20"/>
        </w:rPr>
        <w:t>$</w:t>
      </w:r>
      <w:r w:rsidR="00662164" w:rsidRPr="00141A3C">
        <w:rPr>
          <w:rFonts w:ascii="Verdana" w:hAnsi="Verdana"/>
          <w:sz w:val="20"/>
          <w:szCs w:val="20"/>
          <w:highlight w:val="yellow"/>
        </w:rPr>
        <w:t>[--]</w:t>
      </w:r>
      <w:r w:rsidR="00471296" w:rsidRPr="005270B8">
        <w:rPr>
          <w:rFonts w:ascii="Verdana" w:hAnsi="Verdana"/>
          <w:sz w:val="20"/>
          <w:szCs w:val="20"/>
        </w:rPr>
        <w:t xml:space="preserve"> </w:t>
      </w:r>
      <w:r w:rsidRPr="005270B8">
        <w:rPr>
          <w:rFonts w:ascii="Verdana" w:hAnsi="Verdana"/>
          <w:sz w:val="20"/>
          <w:szCs w:val="20"/>
        </w:rPr>
        <w:t>(</w:t>
      </w:r>
      <w:r w:rsidR="00662164" w:rsidRPr="00141A3C">
        <w:rPr>
          <w:rFonts w:ascii="Verdana" w:hAnsi="Verdana"/>
          <w:sz w:val="20"/>
          <w:szCs w:val="20"/>
          <w:highlight w:val="yellow"/>
        </w:rPr>
        <w:t>[--]</w:t>
      </w:r>
      <w:r w:rsidR="00662164">
        <w:rPr>
          <w:rFonts w:ascii="Verdana" w:hAnsi="Verdana"/>
          <w:sz w:val="20"/>
          <w:szCs w:val="20"/>
        </w:rPr>
        <w:t xml:space="preserve"> </w:t>
      </w:r>
      <w:r w:rsidR="00471296">
        <w:rPr>
          <w:rFonts w:ascii="Verdana" w:hAnsi="Verdana"/>
          <w:sz w:val="20"/>
          <w:szCs w:val="20"/>
        </w:rPr>
        <w:t>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158" w:name="_Hlk19528872"/>
      <w:r w:rsidRPr="005270B8">
        <w:rPr>
          <w:rFonts w:ascii="Verdana" w:hAnsi="Verdana"/>
          <w:sz w:val="20"/>
          <w:szCs w:val="20"/>
        </w:rPr>
        <w:t>ou 30 (trinta) dias a contar da presente data, o que ocorrer primeiro</w:t>
      </w:r>
      <w:bookmarkEnd w:id="158"/>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159" w:name="_Hlk19528888"/>
      <w:r w:rsidRPr="005270B8">
        <w:rPr>
          <w:rFonts w:ascii="Verdana" w:hAnsi="Verdana"/>
          <w:sz w:val="20"/>
          <w:szCs w:val="20"/>
        </w:rPr>
        <w:t>pela custódia</w:t>
      </w:r>
      <w:bookmarkEnd w:id="159"/>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60" w:name="_Hlk19528899"/>
      <w:r w:rsidRPr="005270B8">
        <w:rPr>
          <w:rFonts w:ascii="Verdana" w:hAnsi="Verdana"/>
          <w:sz w:val="20"/>
          <w:szCs w:val="20"/>
        </w:rPr>
        <w:t xml:space="preserve">30 (trinta) dias a contar da presente data, o que ocorrer primeiro, e as demais a serem pagas </w:t>
      </w:r>
      <w:bookmarkEnd w:id="160"/>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161"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61"/>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5748CA">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162" w:name="_Hlk1909108"/>
      <w:r w:rsidRPr="005270B8">
        <w:rPr>
          <w:rFonts w:ascii="Verdana" w:hAnsi="Verdana"/>
          <w:sz w:val="20"/>
          <w:szCs w:val="20"/>
        </w:rPr>
        <w:lastRenderedPageBreak/>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2A5D906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163"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A64A80">
        <w:rPr>
          <w:rFonts w:ascii="Verdana" w:hAnsi="Verdana"/>
          <w:sz w:val="20"/>
          <w:szCs w:val="20"/>
        </w:rPr>
        <w:t>[</w:t>
      </w:r>
      <w:r w:rsidR="00A64A80" w:rsidRPr="00A64A80">
        <w:rPr>
          <w:rFonts w:ascii="Verdana" w:hAnsi="Verdana"/>
          <w:sz w:val="20"/>
          <w:szCs w:val="20"/>
        </w:rPr>
        <w:t>IGP-M</w:t>
      </w:r>
      <w:r w:rsidR="00A64A80">
        <w:rPr>
          <w:rFonts w:ascii="Verdana" w:hAnsi="Verdana"/>
          <w:sz w:val="20"/>
          <w:szCs w:val="20"/>
        </w:rPr>
        <w:t>]</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163"/>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w:t>
      </w:r>
      <w:r w:rsidRPr="00A2021B">
        <w:rPr>
          <w:rFonts w:ascii="Verdana" w:hAnsi="Verdana" w:cstheme="minorHAnsi"/>
          <w:sz w:val="20"/>
          <w:szCs w:val="20"/>
        </w:rPr>
        <w:lastRenderedPageBreak/>
        <w:t xml:space="preserve">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proofErr w:type="spellStart"/>
      <w:r w:rsidRPr="002041ED">
        <w:rPr>
          <w:rFonts w:ascii="Verdana" w:hAnsi="Verdana" w:cstheme="minorHAnsi"/>
          <w:i/>
          <w:iCs/>
          <w:sz w:val="20"/>
          <w:szCs w:val="20"/>
        </w:rPr>
        <w:t>covenants</w:t>
      </w:r>
      <w:proofErr w:type="spellEnd"/>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64" w:name="_DV_M369"/>
      <w:bookmarkEnd w:id="162"/>
      <w:bookmarkEnd w:id="164"/>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165"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66"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166"/>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165"/>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lastRenderedPageBreak/>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67"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67"/>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w:t>
      </w:r>
      <w:proofErr w:type="gramStart"/>
      <w:r w:rsidRPr="005270B8">
        <w:rPr>
          <w:rFonts w:ascii="Verdana" w:hAnsi="Verdana" w:cs="Times"/>
          <w:sz w:val="20"/>
          <w:szCs w:val="20"/>
        </w:rPr>
        <w:t>o mesmo</w:t>
      </w:r>
      <w:proofErr w:type="gramEnd"/>
      <w:r w:rsidRPr="005270B8">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lastRenderedPageBreak/>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168" w:name="_Toc61353096"/>
      <w:bookmarkStart w:id="169" w:name="_Toc205799102"/>
      <w:bookmarkStart w:id="170"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168"/>
      <w:r w:rsidR="002E18CF" w:rsidRPr="005270B8">
        <w:rPr>
          <w:rFonts w:ascii="Verdana" w:hAnsi="Verdana" w:cstheme="minorHAnsi"/>
          <w:sz w:val="20"/>
          <w:szCs w:val="20"/>
        </w:rPr>
        <w:t xml:space="preserve"> </w:t>
      </w:r>
      <w:bookmarkEnd w:id="169"/>
      <w:bookmarkEnd w:id="170"/>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171" w:name="_DV_C191"/>
      <w:r w:rsidR="00EA2305" w:rsidRPr="002041ED">
        <w:rPr>
          <w:rFonts w:ascii="Verdana" w:hAnsi="Verdana"/>
          <w:color w:val="000000"/>
          <w:sz w:val="20"/>
          <w:szCs w:val="20"/>
        </w:rPr>
        <w:t>respectivo Titular de CR</w:t>
      </w:r>
      <w:bookmarkEnd w:id="171"/>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3655BFCD"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s alíquotas do IRPJ correspondem a 15% e adicional de 10%, sendo o adicional calculado sobre a parcela do lucro real, presumido ou arbitrado, que exceder o equivalente a R</w:t>
      </w:r>
      <w:r w:rsidR="0041594A" w:rsidRPr="005270B8">
        <w:rPr>
          <w:rFonts w:ascii="Verdana" w:hAnsi="Verdana"/>
          <w:sz w:val="20"/>
          <w:szCs w:val="20"/>
        </w:rPr>
        <w:t>$</w:t>
      </w:r>
      <w:r w:rsidR="00B91E27" w:rsidRPr="00141A3C">
        <w:rPr>
          <w:rFonts w:ascii="Verdana" w:hAnsi="Verdana"/>
          <w:sz w:val="20"/>
          <w:szCs w:val="20"/>
          <w:highlight w:val="yellow"/>
        </w:rPr>
        <w:t>[--]</w:t>
      </w:r>
      <w:r w:rsidR="0041594A" w:rsidRPr="002041ED">
        <w:rPr>
          <w:rFonts w:ascii="Verdana" w:hAnsi="Verdana"/>
          <w:sz w:val="20"/>
          <w:szCs w:val="20"/>
        </w:rPr>
        <w:t xml:space="preserve"> </w:t>
      </w:r>
      <w:r w:rsidR="005629D7" w:rsidRPr="002041ED">
        <w:rPr>
          <w:rFonts w:ascii="Verdana" w:hAnsi="Verdana"/>
          <w:sz w:val="20"/>
          <w:szCs w:val="20"/>
        </w:rPr>
        <w:t>(</w:t>
      </w:r>
      <w:r w:rsidR="00B91E27" w:rsidRPr="00141A3C">
        <w:rPr>
          <w:rFonts w:ascii="Verdana" w:hAnsi="Verdana"/>
          <w:sz w:val="20"/>
          <w:szCs w:val="20"/>
          <w:highlight w:val="yellow"/>
        </w:rPr>
        <w:t>[--]</w:t>
      </w:r>
      <w:r w:rsidR="0041594A" w:rsidRPr="002041ED">
        <w:rPr>
          <w:rFonts w:ascii="Verdana" w:hAnsi="Verdana"/>
          <w:sz w:val="20"/>
          <w:szCs w:val="20"/>
        </w:rPr>
        <w:t xml:space="preserve"> 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 xml:space="preserve">Para os fatos geradores ocorridos a partir de 1º de julho de 2015, os rendimentos em CRI auferidos por pessoas jurídicas não-financeiras tributadas sob a </w:t>
      </w:r>
      <w:r w:rsidRPr="002041ED">
        <w:rPr>
          <w:rFonts w:ascii="Verdana" w:hAnsi="Verdana"/>
          <w:sz w:val="20"/>
          <w:szCs w:val="20"/>
        </w:rPr>
        <w:lastRenderedPageBreak/>
        <w:t>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 xml:space="preserve">na fonte por força da posição da RFB, inclusive no caso de investidores residentes em jurisdição de tributação favorecida, conforme o artigo 85, §4º, </w:t>
      </w:r>
      <w:r w:rsidRPr="00EC11B9">
        <w:rPr>
          <w:rFonts w:ascii="Verdana" w:hAnsi="Verdana"/>
          <w:sz w:val="20"/>
          <w:szCs w:val="20"/>
        </w:rPr>
        <w:lastRenderedPageBreak/>
        <w:t>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72" w:name="_DV_M213"/>
      <w:bookmarkStart w:id="173" w:name="_DV_M214"/>
      <w:bookmarkStart w:id="174" w:name="_DV_M215"/>
      <w:bookmarkStart w:id="175" w:name="_DV_M216"/>
      <w:bookmarkStart w:id="176" w:name="_DV_M217"/>
      <w:bookmarkStart w:id="177" w:name="_DV_M218"/>
      <w:bookmarkStart w:id="178" w:name="_Toc110076272"/>
      <w:bookmarkStart w:id="179" w:name="_Toc163380711"/>
      <w:bookmarkStart w:id="180" w:name="_Toc180553627"/>
      <w:bookmarkStart w:id="181" w:name="_Toc205799103"/>
      <w:bookmarkStart w:id="182" w:name="_Toc453274066"/>
      <w:bookmarkStart w:id="183" w:name="_Toc61353097"/>
      <w:bookmarkEnd w:id="172"/>
      <w:bookmarkEnd w:id="173"/>
      <w:bookmarkEnd w:id="174"/>
      <w:bookmarkEnd w:id="175"/>
      <w:bookmarkEnd w:id="176"/>
      <w:bookmarkEnd w:id="177"/>
      <w:r w:rsidRPr="005270B8">
        <w:rPr>
          <w:rFonts w:ascii="Verdana" w:hAnsi="Verdana" w:cstheme="minorHAnsi"/>
          <w:sz w:val="20"/>
          <w:szCs w:val="20"/>
        </w:rPr>
        <w:t xml:space="preserve">CLÁUSULA DÉCIMA </w:t>
      </w:r>
      <w:bookmarkEnd w:id="178"/>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79"/>
      <w:bookmarkEnd w:id="180"/>
      <w:bookmarkEnd w:id="181"/>
      <w:bookmarkEnd w:id="182"/>
      <w:bookmarkEnd w:id="183"/>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w:t>
      </w:r>
      <w:r w:rsidRPr="005270B8">
        <w:rPr>
          <w:rFonts w:ascii="Verdana" w:hAnsi="Verdana" w:cstheme="minorHAnsi"/>
          <w:bCs/>
          <w:sz w:val="20"/>
          <w:szCs w:val="20"/>
        </w:rPr>
        <w:lastRenderedPageBreak/>
        <w:t>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84" w:name="_Toc110076273"/>
      <w:bookmarkStart w:id="185" w:name="_Toc163380712"/>
      <w:bookmarkStart w:id="186" w:name="_Toc180553628"/>
      <w:bookmarkStart w:id="187" w:name="_Toc205799104"/>
      <w:bookmarkStart w:id="188" w:name="_Toc453274067"/>
      <w:bookmarkStart w:id="189" w:name="_Toc6135309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84"/>
      <w:bookmarkEnd w:id="185"/>
      <w:bookmarkEnd w:id="186"/>
      <w:bookmarkEnd w:id="187"/>
      <w:bookmarkEnd w:id="188"/>
      <w:bookmarkEnd w:id="189"/>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190" w:name="_Toc453274068"/>
      <w:bookmarkStart w:id="191" w:name="_Toc61353099"/>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190"/>
      <w:bookmarkEnd w:id="191"/>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lastRenderedPageBreak/>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 xml:space="preserve">Gaia </w:t>
      </w:r>
      <w:proofErr w:type="spellStart"/>
      <w:r w:rsidR="00D76667">
        <w:rPr>
          <w:rFonts w:ascii="Verdana" w:hAnsi="Verdana" w:cstheme="minorHAnsi"/>
          <w:b w:val="0"/>
          <w:sz w:val="20"/>
          <w:szCs w:val="20"/>
          <w:u w:val="none"/>
          <w:lang w:val="pt-BR"/>
        </w:rPr>
        <w:t>Securitizadora</w:t>
      </w:r>
      <w:proofErr w:type="spellEnd"/>
      <w:r w:rsidR="00D76667">
        <w:rPr>
          <w:rFonts w:ascii="Verdana" w:hAnsi="Verdana" w:cstheme="minorHAnsi"/>
          <w:b w:val="0"/>
          <w:sz w:val="20"/>
          <w:szCs w:val="20"/>
          <w:u w:val="none"/>
          <w:lang w:val="pt-BR"/>
        </w:rPr>
        <w:t xml:space="preserve">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 xml:space="preserve">Gaia </w:t>
      </w:r>
      <w:proofErr w:type="spellStart"/>
      <w:r w:rsidR="00D76667">
        <w:rPr>
          <w:rFonts w:ascii="Verdana" w:hAnsi="Verdana" w:cstheme="minorHAnsi"/>
          <w:b w:val="0"/>
          <w:sz w:val="20"/>
          <w:szCs w:val="20"/>
          <w:u w:val="none"/>
          <w:lang w:val="pt-BR"/>
        </w:rPr>
        <w:t>Securitizadora</w:t>
      </w:r>
      <w:proofErr w:type="spellEnd"/>
      <w:r w:rsidR="00D76667">
        <w:rPr>
          <w:rFonts w:ascii="Verdana" w:hAnsi="Verdana" w:cstheme="minorHAnsi"/>
          <w:b w:val="0"/>
          <w:sz w:val="20"/>
          <w:szCs w:val="20"/>
          <w:u w:val="none"/>
          <w:lang w:val="pt-BR"/>
        </w:rPr>
        <w:t xml:space="preserve">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 xml:space="preserve">as normas que estabeleçam a afetação ou a separação, a qualquer título, de patrimônio de </w:t>
      </w:r>
      <w:r w:rsidRPr="00A2021B">
        <w:rPr>
          <w:rFonts w:ascii="Verdana" w:hAnsi="Verdana"/>
          <w:i/>
          <w:sz w:val="20"/>
          <w:szCs w:val="20"/>
        </w:rPr>
        <w:lastRenderedPageBreak/>
        <w:t>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 xml:space="preserve">a </w:t>
      </w:r>
      <w:proofErr w:type="spellStart"/>
      <w:r>
        <w:rPr>
          <w:rFonts w:ascii="Verdana" w:hAnsi="Verdana" w:cstheme="minorHAnsi"/>
          <w:b/>
          <w:bCs/>
          <w:i/>
          <w:iCs/>
          <w:sz w:val="20"/>
          <w:szCs w:val="20"/>
        </w:rPr>
        <w:t>Securitizadora</w:t>
      </w:r>
      <w:proofErr w:type="spellEnd"/>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proofErr w:type="spellStart"/>
      <w:r>
        <w:rPr>
          <w:rFonts w:ascii="Verdana" w:hAnsi="Verdana" w:cstheme="minorHAnsi"/>
          <w:sz w:val="20"/>
          <w:szCs w:val="20"/>
        </w:rPr>
        <w:t>Securitizadora</w:t>
      </w:r>
      <w:proofErr w:type="spellEnd"/>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proofErr w:type="spellStart"/>
      <w:r>
        <w:rPr>
          <w:rFonts w:ascii="Verdana" w:hAnsi="Verdana" w:cstheme="minorHAnsi"/>
          <w:sz w:val="20"/>
          <w:szCs w:val="20"/>
        </w:rPr>
        <w:t>Securitizadora</w:t>
      </w:r>
      <w:proofErr w:type="spellEnd"/>
      <w:r>
        <w:rPr>
          <w:rFonts w:ascii="Verdana" w:hAnsi="Verdana" w:cstheme="minorHAnsi"/>
          <w:sz w:val="20"/>
          <w:szCs w:val="20"/>
        </w:rPr>
        <w:t xml:space="preserve">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Pr="002F7CD2">
        <w:rPr>
          <w:rFonts w:ascii="Verdana" w:hAnsi="Verdana" w:cstheme="minorHAnsi"/>
          <w:sz w:val="20"/>
          <w:szCs w:val="20"/>
        </w:rPr>
        <w:t xml:space="preserve">inflação;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w:t>
      </w:r>
      <w:proofErr w:type="spellStart"/>
      <w:r w:rsidR="00EE0889">
        <w:rPr>
          <w:rFonts w:ascii="Verdana" w:hAnsi="Verdana" w:cstheme="minorHAnsi"/>
          <w:sz w:val="20"/>
          <w:szCs w:val="20"/>
        </w:rPr>
        <w:t>iv</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w:t>
      </w:r>
      <w:proofErr w:type="spellStart"/>
      <w:r w:rsidR="00EE0889">
        <w:rPr>
          <w:rFonts w:ascii="Verdana" w:hAnsi="Verdana" w:cstheme="minorHAnsi"/>
          <w:sz w:val="20"/>
          <w:szCs w:val="20"/>
        </w:rPr>
        <w:t>vii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taxas de juros; </w:t>
      </w:r>
      <w:r w:rsidR="00EE0889">
        <w:rPr>
          <w:rFonts w:ascii="Verdana" w:hAnsi="Verdana" w:cstheme="minorHAnsi"/>
          <w:sz w:val="20"/>
          <w:szCs w:val="20"/>
        </w:rPr>
        <w:t>(</w:t>
      </w:r>
      <w:proofErr w:type="spellStart"/>
      <w:r w:rsidR="00EE0889">
        <w:rPr>
          <w:rFonts w:ascii="Verdana" w:hAnsi="Verdana" w:cstheme="minorHAnsi"/>
          <w:sz w:val="20"/>
          <w:szCs w:val="20"/>
        </w:rPr>
        <w:t>viii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w:t>
      </w:r>
      <w:proofErr w:type="spellStart"/>
      <w:r w:rsidR="00EE0889">
        <w:rPr>
          <w:rFonts w:ascii="Verdana" w:hAnsi="Verdana" w:cstheme="minorHAnsi"/>
          <w:sz w:val="20"/>
          <w:szCs w:val="20"/>
        </w:rPr>
        <w:t>ix</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proofErr w:type="spellStart"/>
      <w:r w:rsidR="00075A24">
        <w:rPr>
          <w:rFonts w:ascii="Verdana" w:hAnsi="Verdana" w:cstheme="minorHAnsi"/>
          <w:sz w:val="20"/>
          <w:szCs w:val="20"/>
        </w:rPr>
        <w:t>Securitizadora</w:t>
      </w:r>
      <w:proofErr w:type="spellEnd"/>
      <w:r w:rsidR="00075A24">
        <w:rPr>
          <w:rFonts w:ascii="Verdana" w:hAnsi="Verdana" w:cstheme="minorHAnsi"/>
          <w:sz w:val="20"/>
          <w:szCs w:val="20"/>
        </w:rPr>
        <w:t xml:space="preserve">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2A683DF3" w:rsidR="00903029" w:rsidRPr="00903029"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00903029"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495DC88E"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 xml:space="preserve">dos Créditos </w:t>
      </w:r>
      <w:r w:rsidR="006C3FA4">
        <w:rPr>
          <w:rFonts w:ascii="Verdana" w:hAnsi="Verdana" w:cstheme="minorHAnsi"/>
          <w:sz w:val="20"/>
          <w:szCs w:val="20"/>
        </w:rPr>
        <w:lastRenderedPageBreak/>
        <w:t>Imobiliários</w:t>
      </w:r>
      <w:r w:rsidRPr="00903029">
        <w:rPr>
          <w:rFonts w:ascii="Verdana" w:hAnsi="Verdana" w:cstheme="minorHAnsi"/>
          <w:sz w:val="20"/>
          <w:szCs w:val="20"/>
        </w:rPr>
        <w:t>, o que pode impactar negativamente a carteira de recebíveis e, consequentemente, o pagamento dos CRI.</w:t>
      </w:r>
      <w:r w:rsidR="006C3FA4">
        <w:rPr>
          <w:rFonts w:ascii="Verdana" w:hAnsi="Verdana" w:cstheme="minorHAnsi"/>
          <w:sz w:val="20"/>
          <w:szCs w:val="20"/>
        </w:rPr>
        <w:t>]</w:t>
      </w:r>
    </w:p>
    <w:p w14:paraId="2DE3CA40" w14:textId="16D2CADA" w:rsidR="00C65107" w:rsidRDefault="00C65107" w:rsidP="00903029">
      <w:pPr>
        <w:spacing w:line="276" w:lineRule="auto"/>
        <w:ind w:left="720"/>
        <w:rPr>
          <w:rFonts w:ascii="Verdana" w:hAnsi="Verdana" w:cstheme="minorHAnsi"/>
          <w:sz w:val="20"/>
          <w:szCs w:val="20"/>
        </w:rPr>
      </w:pPr>
    </w:p>
    <w:p w14:paraId="18914388" w14:textId="12DDCA0C" w:rsidR="00C65107" w:rsidRPr="00C65107" w:rsidRDefault="00C65107"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77777777"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w:t>
      </w:r>
      <w:r>
        <w:rPr>
          <w:rFonts w:ascii="Verdana" w:hAnsi="Verdana" w:cstheme="minorHAnsi"/>
          <w:sz w:val="20"/>
          <w:szCs w:val="20"/>
        </w:rPr>
        <w:t>[</w:t>
      </w:r>
      <w:r w:rsidRPr="00C65107">
        <w:rPr>
          <w:rFonts w:ascii="Verdana" w:hAnsi="Verdana" w:cstheme="minorHAnsi"/>
          <w:sz w:val="20"/>
          <w:szCs w:val="20"/>
        </w:rPr>
        <w:t>incorporação, execução das obras e venda</w:t>
      </w:r>
      <w:r>
        <w:rPr>
          <w:rFonts w:ascii="Verdana" w:hAnsi="Verdana" w:cstheme="minorHAnsi"/>
          <w:sz w:val="20"/>
          <w:szCs w:val="20"/>
        </w:rPr>
        <w:t>]</w:t>
      </w:r>
      <w:r w:rsidRPr="00C65107">
        <w:rPr>
          <w:rFonts w:ascii="Verdana" w:hAnsi="Verdana" w:cstheme="minorHAnsi"/>
          <w:sz w:val="20"/>
          <w:szCs w:val="20"/>
        </w:rPr>
        <w:t xml:space="preserve">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w:t>
      </w:r>
      <w:r w:rsidR="00C65107" w:rsidRPr="00C65107">
        <w:rPr>
          <w:rFonts w:ascii="Verdana" w:hAnsi="Verdana" w:cstheme="minorHAnsi"/>
          <w:sz w:val="20"/>
          <w:szCs w:val="20"/>
        </w:rPr>
        <w:lastRenderedPageBreak/>
        <w:t xml:space="preserve">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4B323525"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ix</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r w:rsidR="00356F75">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11350409" w:rsidR="006C3FA4" w:rsidRPr="006C3FA4"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5077B5D9"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r>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07A65255"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w:t>
      </w:r>
      <w:r w:rsidRPr="005270B8">
        <w:rPr>
          <w:rFonts w:ascii="Verdana" w:eastAsia="Calibri" w:hAnsi="Verdana" w:cstheme="minorHAnsi"/>
          <w:sz w:val="20"/>
          <w:szCs w:val="20"/>
        </w:rPr>
        <w:lastRenderedPageBreak/>
        <w:t>termos do artigo 12 da Instrução CVM 583,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w:t>
      </w:r>
      <w:proofErr w:type="spellStart"/>
      <w:r w:rsidRPr="00C63D13">
        <w:rPr>
          <w:rFonts w:ascii="Verdana" w:hAnsi="Verdana" w:cstheme="minorHAnsi"/>
          <w:sz w:val="20"/>
          <w:szCs w:val="20"/>
        </w:rPr>
        <w:t>securitizadora</w:t>
      </w:r>
      <w:proofErr w:type="spellEnd"/>
      <w:r w:rsidRPr="00C63D13">
        <w:rPr>
          <w:rFonts w:ascii="Verdana" w:hAnsi="Verdana" w:cstheme="minorHAnsi"/>
          <w:sz w:val="20"/>
          <w:szCs w:val="20"/>
        </w:rPr>
        <w:t xml:space="preserve">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Atualmente, o mercado secundário de certificados de recebíveis imobiliários no Brasil </w:t>
      </w:r>
      <w:r w:rsidRPr="005270B8">
        <w:rPr>
          <w:rFonts w:ascii="Verdana" w:eastAsia="Calibri" w:hAnsi="Verdana" w:cstheme="minorHAnsi"/>
          <w:sz w:val="20"/>
          <w:szCs w:val="20"/>
        </w:rPr>
        <w:lastRenderedPageBreak/>
        <w:t>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w:t>
      </w:r>
      <w:r w:rsidRPr="005270B8">
        <w:rPr>
          <w:rFonts w:ascii="Verdana" w:eastAsia="Calibri" w:hAnsi="Verdana" w:cstheme="minorHAnsi"/>
          <w:spacing w:val="2"/>
          <w:sz w:val="20"/>
          <w:szCs w:val="20"/>
          <w:lang w:val="pt-BR" w:eastAsia="pt-BR"/>
        </w:rPr>
        <w:lastRenderedPageBreak/>
        <w:t>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w:t>
      </w:r>
      <w:proofErr w:type="gramStart"/>
      <w:r w:rsidRPr="005270B8">
        <w:rPr>
          <w:rFonts w:ascii="Verdana" w:eastAsia="ヒラギノ角ゴ Pro W3" w:hAnsi="Verdana" w:cstheme="minorHAnsi"/>
          <w:color w:val="000000"/>
          <w:sz w:val="20"/>
          <w:szCs w:val="20"/>
        </w:rPr>
        <w:t>da</w:t>
      </w:r>
      <w:proofErr w:type="gramEnd"/>
      <w:r w:rsidRPr="005270B8">
        <w:rPr>
          <w:rFonts w:ascii="Verdana" w:eastAsia="ヒラギノ角ゴ Pro W3" w:hAnsi="Verdana" w:cstheme="minorHAnsi"/>
          <w:color w:val="000000"/>
          <w:sz w:val="20"/>
          <w:szCs w:val="20"/>
        </w:rPr>
        <w:t xml:space="preserve">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w:t>
      </w:r>
      <w:proofErr w:type="gramStart"/>
      <w:r w:rsidRPr="005270B8">
        <w:rPr>
          <w:rFonts w:ascii="Verdana" w:hAnsi="Verdana" w:cstheme="minorHAnsi"/>
          <w:sz w:val="20"/>
          <w:szCs w:val="20"/>
        </w:rPr>
        <w:t>acarretar em</w:t>
      </w:r>
      <w:proofErr w:type="gramEnd"/>
      <w:r w:rsidRPr="005270B8">
        <w:rPr>
          <w:rFonts w:ascii="Verdana" w:hAnsi="Verdana" w:cstheme="minorHAnsi"/>
          <w:sz w:val="20"/>
          <w:szCs w:val="20"/>
        </w:rPr>
        <w:t xml:space="preserve">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w:t>
      </w:r>
      <w:proofErr w:type="gramStart"/>
      <w:r w:rsidRPr="005270B8">
        <w:rPr>
          <w:rFonts w:ascii="Verdana" w:hAnsi="Verdana" w:cstheme="minorHAnsi"/>
          <w:sz w:val="20"/>
          <w:szCs w:val="20"/>
        </w:rPr>
        <w:t>cujos os</w:t>
      </w:r>
      <w:proofErr w:type="gramEnd"/>
      <w:r w:rsidRPr="005270B8">
        <w:rPr>
          <w:rFonts w:ascii="Verdana" w:hAnsi="Verdana" w:cstheme="minorHAnsi"/>
          <w:sz w:val="20"/>
          <w:szCs w:val="20"/>
        </w:rPr>
        <w:t xml:space="preserve">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w:t>
      </w:r>
      <w:r w:rsidRPr="005270B8">
        <w:rPr>
          <w:rFonts w:ascii="Verdana" w:hAnsi="Verdana" w:cs="Times"/>
          <w:sz w:val="20"/>
          <w:szCs w:val="20"/>
        </w:rPr>
        <w:lastRenderedPageBreak/>
        <w:t>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192"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193" w:name="_Toc461462234"/>
      <w:r w:rsidRPr="005270B8">
        <w:rPr>
          <w:rFonts w:ascii="Verdana" w:hAnsi="Verdana" w:cstheme="minorHAnsi"/>
          <w:b/>
          <w:i/>
          <w:color w:val="000000"/>
          <w:sz w:val="20"/>
          <w:szCs w:val="20"/>
        </w:rPr>
        <w:t xml:space="preserve">Risco do Escopo Restrito da Auditoria Jurídica </w:t>
      </w:r>
      <w:bookmarkEnd w:id="193"/>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w:t>
      </w:r>
      <w:proofErr w:type="gramStart"/>
      <w:r w:rsidRPr="005270B8">
        <w:rPr>
          <w:rFonts w:ascii="Verdana" w:hAnsi="Verdana" w:cstheme="minorHAnsi"/>
          <w:color w:val="000000"/>
          <w:sz w:val="20"/>
          <w:szCs w:val="20"/>
        </w:rPr>
        <w:t>diligencia</w:t>
      </w:r>
      <w:proofErr w:type="gramEnd"/>
      <w:r w:rsidRPr="005270B8">
        <w:rPr>
          <w:rFonts w:ascii="Verdana" w:hAnsi="Verdana" w:cstheme="minorHAnsi"/>
          <w:color w:val="000000"/>
          <w:sz w:val="20"/>
          <w:szCs w:val="20"/>
        </w:rPr>
        <w:t xml:space="preserve">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lastRenderedPageBreak/>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0F5AFA6B" w:rsidR="00CA643E" w:rsidRPr="005270B8" w:rsidRDefault="0046157C" w:rsidP="00993117">
      <w:pPr>
        <w:spacing w:line="280" w:lineRule="atLeast"/>
        <w:ind w:left="720"/>
        <w:rPr>
          <w:rFonts w:ascii="Verdana" w:hAnsi="Verdana" w:cstheme="minorHAnsi"/>
          <w:bCs/>
          <w:iCs/>
          <w:color w:val="000000"/>
          <w:sz w:val="20"/>
          <w:szCs w:val="20"/>
        </w:rPr>
      </w:pPr>
      <w:r>
        <w:rPr>
          <w:rFonts w:ascii="Verdana" w:hAnsi="Verdana" w:cstheme="minorHAnsi"/>
          <w:bCs/>
          <w:iCs/>
          <w:color w:val="000000"/>
          <w:sz w:val="20"/>
          <w:szCs w:val="20"/>
        </w:rPr>
        <w:t>[</w:t>
      </w:r>
      <w:r w:rsidR="00CA643E"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r>
        <w:rPr>
          <w:rFonts w:ascii="Verdana" w:hAnsi="Verdana" w:cstheme="minorHAnsi"/>
          <w:bCs/>
          <w:iCs/>
          <w:color w:val="000000"/>
          <w:sz w:val="20"/>
          <w:szCs w:val="20"/>
        </w:rPr>
        <w:t>]</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4F3F46A2" w:rsidR="00250DA3" w:rsidRPr="00C63D13" w:rsidRDefault="00F87C10" w:rsidP="00250DA3">
      <w:pPr>
        <w:spacing w:line="280" w:lineRule="exact"/>
        <w:ind w:left="720"/>
        <w:rPr>
          <w:rFonts w:ascii="Verdana" w:hAnsi="Verdana" w:cstheme="minorHAnsi"/>
          <w:b/>
          <w:i/>
          <w:color w:val="000000"/>
          <w:sz w:val="20"/>
          <w:szCs w:val="20"/>
        </w:rPr>
      </w:pPr>
      <w:r>
        <w:rPr>
          <w:rFonts w:ascii="Verdana" w:hAnsi="Verdana" w:cstheme="minorHAnsi"/>
          <w:b/>
          <w:i/>
          <w:color w:val="000000"/>
          <w:sz w:val="20"/>
          <w:szCs w:val="20"/>
        </w:rPr>
        <w:t>[</w:t>
      </w:r>
      <w:r w:rsidR="00250DA3" w:rsidRPr="00C63D13">
        <w:rPr>
          <w:rFonts w:ascii="Verdana" w:hAnsi="Verdana" w:cstheme="minorHAnsi"/>
          <w:b/>
          <w:i/>
          <w:color w:val="000000"/>
          <w:sz w:val="20"/>
          <w:szCs w:val="20"/>
        </w:rPr>
        <w:t>Risco de Insuficiência de Garantia</w:t>
      </w:r>
      <w:r>
        <w:rPr>
          <w:rFonts w:ascii="Verdana" w:hAnsi="Verdana" w:cstheme="minorHAnsi"/>
          <w:b/>
          <w:i/>
          <w:color w:val="000000"/>
          <w:sz w:val="20"/>
          <w:szCs w:val="20"/>
        </w:rPr>
        <w:t>]</w:t>
      </w:r>
      <w:r w:rsidR="00250DA3" w:rsidRPr="00C63D13">
        <w:rPr>
          <w:rFonts w:ascii="Verdana" w:hAnsi="Verdana" w:cstheme="minorHAnsi"/>
          <w:b/>
          <w:i/>
          <w:color w:val="000000"/>
          <w:sz w:val="20"/>
          <w:szCs w:val="20"/>
        </w:rPr>
        <w:t xml:space="preserve">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582D7F93" w:rsidR="00521EDD" w:rsidRDefault="00632049" w:rsidP="00250DA3">
      <w:pPr>
        <w:spacing w:line="280" w:lineRule="exact"/>
        <w:ind w:left="720"/>
        <w:rPr>
          <w:rFonts w:ascii="Verdana" w:hAnsi="Verdana" w:cstheme="minorHAnsi"/>
          <w:color w:val="000000"/>
          <w:sz w:val="20"/>
          <w:szCs w:val="20"/>
        </w:rPr>
      </w:pPr>
      <w:r w:rsidRPr="000359E6">
        <w:rPr>
          <w:rFonts w:ascii="Verdana" w:hAnsi="Verdana" w:cstheme="minorHAnsi"/>
          <w:color w:val="000000"/>
          <w:sz w:val="20"/>
          <w:szCs w:val="20"/>
          <w:highlight w:val="yellow"/>
        </w:rPr>
        <w:t>[</w:t>
      </w:r>
      <w:r w:rsidR="00452EDC" w:rsidRPr="000359E6">
        <w:rPr>
          <w:rFonts w:ascii="Verdana" w:hAnsi="Verdana" w:cstheme="minorHAnsi"/>
          <w:color w:val="000000"/>
          <w:sz w:val="20"/>
          <w:szCs w:val="20"/>
        </w:rPr>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r w:rsidRPr="000359E6">
        <w:rPr>
          <w:rFonts w:ascii="Verdana" w:hAnsi="Verdana" w:cstheme="minorHAnsi"/>
          <w:color w:val="000000"/>
          <w:sz w:val="20"/>
          <w:szCs w:val="20"/>
          <w:highlight w:val="yellow"/>
        </w:rPr>
        <w:t>]</w:t>
      </w:r>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lastRenderedPageBreak/>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192"/>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65DFCD86"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00B703C8" w:rsidRPr="00D54DEA">
        <w:rPr>
          <w:rFonts w:ascii="Verdana" w:hAnsi="Verdana" w:cstheme="minorHAnsi"/>
          <w:bCs/>
          <w:iCs/>
          <w:color w:val="000000"/>
          <w:sz w:val="20"/>
          <w:szCs w:val="20"/>
        </w:rPr>
        <w:t>aproximadamente R$</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reais)</w:t>
      </w:r>
      <w:r w:rsidRPr="00D54DEA">
        <w:rPr>
          <w:rFonts w:ascii="Verdana" w:hAnsi="Verdana" w:cstheme="minorHAnsi"/>
          <w:bCs/>
          <w:iCs/>
          <w:color w:val="000000"/>
          <w:sz w:val="20"/>
          <w:szCs w:val="20"/>
        </w:rPr>
        <w:t xml:space="preserve">, em </w:t>
      </w:r>
      <w:r w:rsidR="00B91E27">
        <w:rPr>
          <w:rFonts w:ascii="Verdana" w:hAnsi="Verdana" w:cstheme="minorHAnsi"/>
          <w:bCs/>
          <w:iCs/>
          <w:color w:val="000000"/>
          <w:sz w:val="20"/>
          <w:szCs w:val="20"/>
        </w:rPr>
        <w:t>[--]</w:t>
      </w:r>
      <w:r w:rsidR="00B91E27" w:rsidRPr="002041ED">
        <w:rPr>
          <w:rFonts w:ascii="Verdana" w:hAnsi="Verdana" w:cstheme="minorHAnsi"/>
          <w:bCs/>
          <w:iCs/>
          <w:color w:val="000000"/>
          <w:sz w:val="20"/>
          <w:szCs w:val="20"/>
        </w:rPr>
        <w:t xml:space="preserve"> </w:t>
      </w:r>
      <w:r w:rsidR="008A144B" w:rsidRPr="002041ED">
        <w:rPr>
          <w:rFonts w:ascii="Verdana" w:hAnsi="Verdana" w:cstheme="minorHAnsi"/>
          <w:bCs/>
          <w:iCs/>
          <w:color w:val="000000"/>
          <w:sz w:val="20"/>
          <w:szCs w:val="20"/>
        </w:rPr>
        <w:t xml:space="preserve">de </w:t>
      </w:r>
      <w:r w:rsidR="00B91E27">
        <w:rPr>
          <w:rFonts w:ascii="Verdana" w:hAnsi="Verdana" w:cstheme="minorHAnsi"/>
          <w:bCs/>
          <w:iCs/>
          <w:color w:val="000000"/>
          <w:sz w:val="20"/>
          <w:szCs w:val="20"/>
        </w:rPr>
        <w:t>[--]</w:t>
      </w:r>
      <w:r w:rsidR="008A144B" w:rsidRPr="002041ED">
        <w:rPr>
          <w:rFonts w:ascii="Verdana" w:hAnsi="Verdana" w:cstheme="minorHAnsi"/>
          <w:bCs/>
          <w:iCs/>
          <w:color w:val="000000"/>
          <w:sz w:val="20"/>
          <w:szCs w:val="20"/>
        </w:rPr>
        <w:t xml:space="preserve"> de </w:t>
      </w:r>
      <w:r w:rsidR="00D54DEA" w:rsidRPr="00D54DEA">
        <w:rPr>
          <w:rFonts w:ascii="Verdana" w:hAnsi="Verdana" w:cstheme="minorHAnsi"/>
          <w:bCs/>
          <w:iCs/>
          <w:color w:val="000000"/>
          <w:sz w:val="20"/>
          <w:szCs w:val="20"/>
        </w:rPr>
        <w:t>202</w:t>
      </w:r>
      <w:r w:rsidR="00B91E27">
        <w:rPr>
          <w:rFonts w:ascii="Verdana" w:hAnsi="Verdana" w:cstheme="minorHAnsi"/>
          <w:bCs/>
          <w:iCs/>
          <w:color w:val="000000"/>
          <w:sz w:val="20"/>
          <w:szCs w:val="20"/>
        </w:rPr>
        <w:t>1</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atua no mercado como companhia </w:t>
      </w:r>
      <w:proofErr w:type="spellStart"/>
      <w:r w:rsidRPr="005270B8">
        <w:rPr>
          <w:rFonts w:ascii="Verdana" w:hAnsi="Verdana" w:cstheme="minorHAnsi"/>
          <w:color w:val="000000"/>
          <w:sz w:val="20"/>
          <w:szCs w:val="20"/>
        </w:rPr>
        <w:t>securitizadora</w:t>
      </w:r>
      <w:proofErr w:type="spellEnd"/>
      <w:r w:rsidRPr="005270B8">
        <w:rPr>
          <w:rFonts w:ascii="Verdana" w:hAnsi="Verdana" w:cstheme="minorHAnsi"/>
          <w:color w:val="000000"/>
          <w:sz w:val="20"/>
          <w:szCs w:val="20"/>
        </w:rPr>
        <w:t xml:space="preserve"> de créditos do agronegócio e imobiliários, nos termos da Lei 9.514/97, e sua atuação depende do registro da companhia </w:t>
      </w:r>
      <w:r w:rsidRPr="005270B8">
        <w:rPr>
          <w:rFonts w:ascii="Verdana" w:hAnsi="Verdana" w:cstheme="minorHAnsi"/>
          <w:color w:val="000000"/>
          <w:sz w:val="20"/>
          <w:szCs w:val="20"/>
        </w:rPr>
        <w:lastRenderedPageBreak/>
        <w:t>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5270B8">
        <w:rPr>
          <w:rFonts w:ascii="Verdana" w:hAnsi="Verdana" w:cstheme="minorHAnsi"/>
          <w:color w:val="000000"/>
          <w:sz w:val="20"/>
          <w:szCs w:val="20"/>
        </w:rPr>
        <w:t>no momento em que</w:t>
      </w:r>
      <w:proofErr w:type="gramEnd"/>
      <w:r w:rsidRPr="005270B8">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proofErr w:type="spellStart"/>
      <w:r w:rsidRPr="005270B8">
        <w:rPr>
          <w:rFonts w:ascii="Verdana" w:hAnsi="Verdana" w:cstheme="minorHAnsi"/>
          <w:color w:val="000000"/>
          <w:sz w:val="20"/>
          <w:szCs w:val="20"/>
        </w:rPr>
        <w:t>escriturador</w:t>
      </w:r>
      <w:proofErr w:type="spellEnd"/>
      <w:r w:rsidRPr="005270B8">
        <w:rPr>
          <w:rFonts w:ascii="Verdana" w:hAnsi="Verdana" w:cstheme="minorHAnsi"/>
          <w:color w:val="000000"/>
          <w:sz w:val="20"/>
          <w:szCs w:val="20"/>
        </w:rPr>
        <w:t xml:space="preserve">,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w:t>
      </w:r>
      <w:r w:rsidRPr="005270B8">
        <w:rPr>
          <w:rFonts w:ascii="Verdana" w:hAnsi="Verdana" w:cstheme="minorHAnsi"/>
          <w:color w:val="000000"/>
          <w:sz w:val="20"/>
          <w:szCs w:val="20"/>
        </w:rPr>
        <w:lastRenderedPageBreak/>
        <w:t xml:space="preserve">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w:t>
      </w:r>
      <w:r w:rsidRPr="005270B8">
        <w:rPr>
          <w:rFonts w:ascii="Verdana" w:hAnsi="Verdana" w:cstheme="minorHAnsi"/>
          <w:color w:val="000000"/>
          <w:sz w:val="20"/>
          <w:szCs w:val="20"/>
        </w:rPr>
        <w:lastRenderedPageBreak/>
        <w:t>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lastRenderedPageBreak/>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194" w:name="_DV_M793"/>
      <w:bookmarkStart w:id="195" w:name="_DV_M794"/>
      <w:bookmarkStart w:id="196" w:name="_DV_M795"/>
      <w:bookmarkStart w:id="197" w:name="_DV_M796"/>
      <w:bookmarkStart w:id="198" w:name="_DV_M798"/>
      <w:bookmarkStart w:id="199" w:name="_Toc394636208"/>
      <w:bookmarkStart w:id="200" w:name="_Toc394636213"/>
      <w:bookmarkStart w:id="201" w:name="_DV_M826"/>
      <w:bookmarkStart w:id="202" w:name="_Toc162083611"/>
      <w:bookmarkStart w:id="203" w:name="_Toc163043028"/>
      <w:bookmarkStart w:id="204" w:name="_Toc163311032"/>
      <w:bookmarkStart w:id="205" w:name="_Toc163380716"/>
      <w:bookmarkStart w:id="206" w:name="_Toc180553632"/>
      <w:bookmarkStart w:id="207" w:name="_Toc205799108"/>
      <w:bookmarkStart w:id="208" w:name="_Toc453274077"/>
      <w:bookmarkStart w:id="209" w:name="_Toc162079650"/>
      <w:bookmarkStart w:id="210" w:name="_Toc162083623"/>
      <w:bookmarkStart w:id="211" w:name="_Toc163043040"/>
      <w:bookmarkEnd w:id="194"/>
      <w:bookmarkEnd w:id="195"/>
      <w:bookmarkEnd w:id="196"/>
      <w:bookmarkEnd w:id="197"/>
      <w:bookmarkEnd w:id="198"/>
      <w:bookmarkEnd w:id="199"/>
      <w:bookmarkEnd w:id="200"/>
      <w:bookmarkEnd w:id="201"/>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202"/>
      <w:bookmarkEnd w:id="203"/>
      <w:bookmarkEnd w:id="204"/>
      <w:bookmarkEnd w:id="205"/>
      <w:bookmarkEnd w:id="206"/>
      <w:bookmarkEnd w:id="207"/>
      <w:bookmarkEnd w:id="208"/>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212" w:name="_DV_M255"/>
      <w:bookmarkEnd w:id="212"/>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213" w:name="_Toc110076275"/>
      <w:bookmarkStart w:id="214" w:name="_Toc141170387"/>
      <w:bookmarkStart w:id="215" w:name="_Toc189456798"/>
      <w:bookmarkStart w:id="216" w:name="_Toc222657786"/>
      <w:bookmarkStart w:id="217"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6C77DDFD" w14:textId="77777777" w:rsidR="00980BFE" w:rsidRPr="00315A40" w:rsidRDefault="00980BFE" w:rsidP="00993117">
      <w:pPr>
        <w:pStyle w:val="Corpodetexto2"/>
        <w:tabs>
          <w:tab w:val="clear" w:pos="426"/>
          <w:tab w:val="clear" w:pos="709"/>
        </w:tabs>
        <w:spacing w:line="280" w:lineRule="atLeast"/>
        <w:rPr>
          <w:rFonts w:ascii="Verdana" w:hAnsi="Verdana"/>
          <w:b w:val="0"/>
          <w:sz w:val="20"/>
          <w:u w:val="none"/>
          <w:lang w:val="pt-BR"/>
        </w:rPr>
      </w:pPr>
    </w:p>
    <w:p w14:paraId="20FEED67" w14:textId="4DBCED66"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18" w:name="_Toc61353100"/>
      <w:r w:rsidRPr="005270B8">
        <w:rPr>
          <w:rFonts w:ascii="Verdana" w:hAnsi="Verdana" w:cstheme="minorHAnsi"/>
          <w:sz w:val="20"/>
          <w:szCs w:val="20"/>
        </w:rPr>
        <w:t>CLÁUSULA VIGÉSIMA: DISPOSIÇÕES GERAIS</w:t>
      </w:r>
      <w:bookmarkEnd w:id="218"/>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lastRenderedPageBreak/>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464A56DD"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13"/>
      <w:bookmarkEnd w:id="214"/>
      <w:bookmarkEnd w:id="215"/>
      <w:bookmarkEnd w:id="216"/>
      <w:bookmarkEnd w:id="217"/>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6CB5360C" w:rsidR="00E33A90" w:rsidRPr="005270B8" w:rsidRDefault="00E33A90" w:rsidP="005748CA">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lastRenderedPageBreak/>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209"/>
    <w:bookmarkEnd w:id="210"/>
    <w:bookmarkEnd w:id="211"/>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587CD21C"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AD57FA">
        <w:rPr>
          <w:rFonts w:ascii="Verdana" w:hAnsi="Verdana" w:cstheme="minorHAnsi"/>
          <w:sz w:val="20"/>
          <w:szCs w:val="20"/>
        </w:rPr>
        <w:t>[--] de [--] 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285FCFC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proofErr w:type="spellStart"/>
      <w:r w:rsidR="003607C8">
        <w:rPr>
          <w:rFonts w:ascii="Verdana" w:hAnsi="Verdana" w:cstheme="minorHAnsi"/>
          <w:i/>
          <w:sz w:val="20"/>
          <w:szCs w:val="20"/>
        </w:rPr>
        <w:t>Securitizadora</w:t>
      </w:r>
      <w:proofErr w:type="spellEnd"/>
      <w:r w:rsidR="003607C8">
        <w:rPr>
          <w:rFonts w:ascii="Verdana" w:hAnsi="Verdana" w:cstheme="minorHAnsi"/>
          <w:i/>
          <w:sz w:val="20"/>
          <w:szCs w:val="20"/>
        </w:rPr>
        <w:t xml:space="preserve">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AD57FA">
        <w:rPr>
          <w:rFonts w:ascii="Verdana" w:hAnsi="Verdana" w:cstheme="minorHAnsi"/>
          <w:i/>
          <w:sz w:val="20"/>
          <w:szCs w:val="20"/>
        </w:rPr>
        <w:t>[--] de [--] 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proofErr w:type="spellStart"/>
      <w:r w:rsidR="003607C8">
        <w:rPr>
          <w:rFonts w:ascii="Verdana" w:hAnsi="Verdana" w:cstheme="minorHAnsi"/>
          <w:i/>
          <w:sz w:val="20"/>
          <w:szCs w:val="20"/>
        </w:rPr>
        <w:t>Securitizadora</w:t>
      </w:r>
      <w:proofErr w:type="spellEnd"/>
      <w:r w:rsidR="003607C8">
        <w:rPr>
          <w:rFonts w:ascii="Verdana" w:hAnsi="Verdana" w:cstheme="minorHAnsi"/>
          <w:i/>
          <w:sz w:val="20"/>
          <w:szCs w:val="20"/>
        </w:rPr>
        <w:t xml:space="preserve">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61143A17"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4D1D463E"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3"/>
          <w:footerReference w:type="even" r:id="rId14"/>
          <w:footerReference w:type="default" r:id="rId15"/>
          <w:headerReference w:type="first" r:id="rId16"/>
          <w:footerReference w:type="first" r:id="rId17"/>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19" w:name="_DV_M208"/>
      <w:bookmarkStart w:id="220" w:name="_DV_M209"/>
      <w:bookmarkStart w:id="221" w:name="_DV_M212"/>
      <w:bookmarkStart w:id="222" w:name="_DV_M221"/>
      <w:bookmarkStart w:id="223" w:name="_DV_M222"/>
      <w:bookmarkStart w:id="224" w:name="_DV_M223"/>
      <w:bookmarkStart w:id="225" w:name="_DV_M224"/>
      <w:bookmarkStart w:id="226" w:name="_DV_M225"/>
      <w:bookmarkStart w:id="227" w:name="_DV_M226"/>
      <w:bookmarkStart w:id="228" w:name="_DV_M227"/>
      <w:bookmarkStart w:id="229" w:name="_DV_M228"/>
      <w:bookmarkStart w:id="230" w:name="_DV_M230"/>
      <w:bookmarkStart w:id="231" w:name="_DV_M231"/>
      <w:bookmarkStart w:id="232" w:name="_DV_M232"/>
      <w:bookmarkStart w:id="233" w:name="_DV_M235"/>
      <w:bookmarkStart w:id="234" w:name="_DV_M236"/>
      <w:bookmarkStart w:id="235" w:name="_DV_M238"/>
      <w:bookmarkStart w:id="236" w:name="_DV_M240"/>
      <w:bookmarkStart w:id="237" w:name="_DV_M241"/>
      <w:bookmarkStart w:id="238" w:name="_DV_M244"/>
      <w:bookmarkStart w:id="239" w:name="_DV_M245"/>
      <w:bookmarkStart w:id="240" w:name="_DV_M246"/>
      <w:bookmarkStart w:id="241" w:name="_Toc61353101"/>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42" w:name="_DV_M138"/>
      <w:bookmarkStart w:id="243" w:name="_DV_M144"/>
      <w:bookmarkStart w:id="244" w:name="_DV_M239"/>
      <w:bookmarkStart w:id="245" w:name="_DV_M242"/>
      <w:bookmarkStart w:id="246" w:name="_DV_M243"/>
      <w:bookmarkStart w:id="247" w:name="_DV_M247"/>
      <w:bookmarkStart w:id="248" w:name="_DV_M249"/>
      <w:bookmarkStart w:id="249" w:name="_DV_M252"/>
      <w:bookmarkStart w:id="250" w:name="_DV_M254"/>
      <w:bookmarkStart w:id="251" w:name="_DV_M262"/>
      <w:bookmarkStart w:id="252" w:name="_DV_M263"/>
      <w:bookmarkStart w:id="253" w:name="_DV_M265"/>
      <w:bookmarkStart w:id="254" w:name="_DV_M266"/>
      <w:bookmarkStart w:id="255" w:name="_DV_M267"/>
      <w:bookmarkStart w:id="256" w:name="_DV_M268"/>
      <w:bookmarkStart w:id="257" w:name="_DV_M272"/>
      <w:bookmarkStart w:id="258" w:name="_DV_M273"/>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41"/>
    </w:p>
    <w:p w14:paraId="4A868499" w14:textId="77777777" w:rsidR="007D1FBD" w:rsidRDefault="007D1FBD" w:rsidP="00993117">
      <w:pPr>
        <w:tabs>
          <w:tab w:val="left" w:pos="9356"/>
        </w:tabs>
        <w:spacing w:line="280" w:lineRule="atLeast"/>
        <w:jc w:val="center"/>
        <w:rPr>
          <w:rFonts w:ascii="Verdana" w:hAnsi="Verdana"/>
          <w:b/>
          <w:bCs/>
          <w:sz w:val="20"/>
          <w:szCs w:val="20"/>
        </w:rPr>
      </w:pPr>
    </w:p>
    <w:p w14:paraId="0E91C2C3" w14:textId="08E95F6D" w:rsidR="004232F5" w:rsidRPr="005270B8" w:rsidRDefault="004232F5" w:rsidP="00993117">
      <w:pPr>
        <w:tabs>
          <w:tab w:val="left" w:pos="9356"/>
        </w:tabs>
        <w:spacing w:line="280" w:lineRule="atLeast"/>
        <w:jc w:val="center"/>
        <w:rPr>
          <w:rFonts w:ascii="Verdana" w:hAnsi="Verdana"/>
          <w:b/>
          <w:bCs/>
          <w:sz w:val="20"/>
          <w:szCs w:val="20"/>
        </w:rPr>
      </w:pPr>
      <w:r>
        <w:rPr>
          <w:rFonts w:ascii="Verdana" w:hAnsi="Verdana"/>
          <w:b/>
          <w:bCs/>
          <w:sz w:val="20"/>
          <w:szCs w:val="20"/>
        </w:rPr>
        <w:t>[--]</w:t>
      </w:r>
    </w:p>
    <w:p w14:paraId="20B81FA0" w14:textId="3E7E1097" w:rsidR="00B113AA" w:rsidRPr="005270B8" w:rsidRDefault="00B113AA" w:rsidP="00993117">
      <w:pPr>
        <w:spacing w:line="280" w:lineRule="atLeast"/>
        <w:jc w:val="left"/>
        <w:rPr>
          <w:rFonts w:ascii="Verdana" w:hAnsi="Verdana"/>
          <w:b/>
          <w:sz w:val="20"/>
          <w:szCs w:val="20"/>
        </w:rPr>
      </w:pPr>
      <w:bookmarkStart w:id="259" w:name="_DV_M150"/>
      <w:bookmarkStart w:id="260" w:name="_DV_M151"/>
      <w:bookmarkStart w:id="261" w:name="_DV_M152"/>
      <w:bookmarkStart w:id="262" w:name="_DV_M153"/>
      <w:bookmarkStart w:id="263" w:name="_DV_M154"/>
      <w:bookmarkEnd w:id="259"/>
      <w:bookmarkEnd w:id="260"/>
      <w:bookmarkEnd w:id="261"/>
      <w:bookmarkEnd w:id="262"/>
      <w:bookmarkEnd w:id="263"/>
      <w:r w:rsidRPr="005270B8">
        <w:rPr>
          <w:rFonts w:ascii="Verdana" w:hAnsi="Verdana"/>
          <w:b/>
          <w:sz w:val="20"/>
          <w:szCs w:val="20"/>
        </w:rPr>
        <w:br w:type="page"/>
      </w:r>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3EF98D57"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20990D59" w14:textId="024E0D56" w:rsidR="004B7E89" w:rsidRDefault="004232F5" w:rsidP="004B7E89">
      <w:r>
        <w:t>[--]</w:t>
      </w:r>
    </w:p>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5FFDD9C5"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64" w:name="_Toc61353102"/>
      <w:r w:rsidRPr="005270B8">
        <w:rPr>
          <w:rFonts w:ascii="Verdana" w:hAnsi="Verdana" w:cstheme="minorHAnsi"/>
          <w:sz w:val="20"/>
          <w:szCs w:val="20"/>
        </w:rPr>
        <w:lastRenderedPageBreak/>
        <w:t xml:space="preserve">ANEXO </w:t>
      </w:r>
      <w:r w:rsidR="00130A44">
        <w:rPr>
          <w:rFonts w:ascii="Verdana" w:hAnsi="Verdana" w:cstheme="minorHAnsi"/>
          <w:sz w:val="20"/>
          <w:szCs w:val="20"/>
        </w:rPr>
        <w:t>III</w:t>
      </w:r>
      <w:r w:rsidRPr="005270B8">
        <w:rPr>
          <w:rFonts w:ascii="Verdana" w:hAnsi="Verdana" w:cstheme="minorHAnsi"/>
          <w:sz w:val="20"/>
          <w:szCs w:val="20"/>
        </w:rPr>
        <w:t xml:space="preserve"> - </w:t>
      </w:r>
      <w:r w:rsidR="00246B35" w:rsidRPr="005270B8">
        <w:rPr>
          <w:rFonts w:ascii="Verdana" w:hAnsi="Verdana" w:cstheme="minorHAnsi"/>
          <w:sz w:val="20"/>
          <w:szCs w:val="20"/>
        </w:rPr>
        <w:t xml:space="preserve">DECLARAÇÃO DO </w:t>
      </w:r>
      <w:bookmarkEnd w:id="264"/>
      <w:r w:rsidR="00FC0F79">
        <w:rPr>
          <w:rFonts w:ascii="Verdana" w:hAnsi="Verdana" w:cstheme="minorHAnsi"/>
          <w:sz w:val="20"/>
          <w:szCs w:val="20"/>
        </w:rPr>
        <w:t>DISTRIBUIDOR</w:t>
      </w:r>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0B91AEEE" w14:textId="192BC6B2" w:rsidR="00197469" w:rsidRPr="002041ED" w:rsidRDefault="00206DFD" w:rsidP="00993117">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041ED">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041ED">
        <w:rPr>
          <w:rFonts w:ascii="Verdana" w:hAnsi="Verdana" w:cstheme="minorHAnsi"/>
          <w:i/>
          <w:iCs/>
          <w:color w:val="000000"/>
          <w:sz w:val="20"/>
          <w:szCs w:val="20"/>
        </w:rPr>
        <w:t>]</w:t>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18"/>
          <w:pgSz w:w="12240" w:h="15840"/>
          <w:pgMar w:top="1134" w:right="1080" w:bottom="1440" w:left="1080" w:header="709" w:footer="709" w:gutter="0"/>
          <w:cols w:space="708"/>
          <w:docGrid w:linePitch="360"/>
        </w:sectPr>
      </w:pPr>
    </w:p>
    <w:p w14:paraId="16E4EB49"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1E9ECD68" w14:textId="32FB853C"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65" w:name="_Toc61353103"/>
      <w:r w:rsidRPr="005270B8">
        <w:rPr>
          <w:rFonts w:ascii="Verdana" w:hAnsi="Verdana" w:cstheme="minorHAnsi"/>
          <w:sz w:val="20"/>
          <w:szCs w:val="20"/>
        </w:rPr>
        <w:lastRenderedPageBreak/>
        <w:t xml:space="preserve">ANEXO </w:t>
      </w:r>
      <w:r w:rsidR="00FE37D9">
        <w:rPr>
          <w:rFonts w:ascii="Verdana" w:hAnsi="Verdana" w:cstheme="minorHAnsi"/>
          <w:sz w:val="20"/>
          <w:szCs w:val="20"/>
        </w:rPr>
        <w:t>I</w:t>
      </w:r>
      <w:r w:rsidRPr="005270B8">
        <w:rPr>
          <w:rFonts w:ascii="Verdana" w:hAnsi="Verdana" w:cstheme="minorHAnsi"/>
          <w:sz w:val="20"/>
          <w:szCs w:val="20"/>
        </w:rPr>
        <w:t xml:space="preserve">V - </w:t>
      </w:r>
      <w:r w:rsidR="00246B35" w:rsidRPr="005270B8">
        <w:rPr>
          <w:rFonts w:ascii="Verdana" w:hAnsi="Verdana" w:cstheme="minorHAnsi"/>
          <w:sz w:val="20"/>
          <w:szCs w:val="20"/>
        </w:rPr>
        <w:t>DECLARAÇÃO DA EMISSORA</w:t>
      </w:r>
      <w:bookmarkEnd w:id="265"/>
    </w:p>
    <w:p w14:paraId="214E3723" w14:textId="49C907E4" w:rsidR="00824D26" w:rsidRDefault="00824D26" w:rsidP="00993117">
      <w:pPr>
        <w:tabs>
          <w:tab w:val="left" w:pos="5760"/>
        </w:tabs>
        <w:spacing w:line="280" w:lineRule="atLeast"/>
        <w:rPr>
          <w:rFonts w:ascii="Verdana" w:hAnsi="Verdana" w:cstheme="minorHAnsi"/>
          <w:b/>
          <w:sz w:val="20"/>
          <w:szCs w:val="20"/>
        </w:rPr>
      </w:pPr>
    </w:p>
    <w:p w14:paraId="06AF31FD"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19"/>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0AAB69E7" w14:textId="39EE835F"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66" w:name="_Toc61353104"/>
      <w:r w:rsidRPr="005270B8">
        <w:rPr>
          <w:rFonts w:ascii="Verdana" w:hAnsi="Verdana" w:cstheme="minorHAnsi"/>
          <w:sz w:val="20"/>
          <w:szCs w:val="20"/>
        </w:rPr>
        <w:lastRenderedPageBreak/>
        <w:t xml:space="preserve">ANEXO V - </w:t>
      </w:r>
      <w:r w:rsidR="00FF4631" w:rsidRPr="005270B8">
        <w:rPr>
          <w:rFonts w:ascii="Verdana" w:hAnsi="Verdana" w:cstheme="minorHAnsi"/>
          <w:sz w:val="20"/>
          <w:szCs w:val="20"/>
        </w:rPr>
        <w:t>DECLARAÇÃO DO AGENTE FIDUCIÁRIO</w:t>
      </w:r>
      <w:bookmarkEnd w:id="266"/>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3AE4CE10"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1306F058" w14:textId="6AC56E4E"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67" w:name="_Toc61353105"/>
      <w:r w:rsidRPr="005270B8">
        <w:rPr>
          <w:rFonts w:ascii="Verdana" w:hAnsi="Verdana" w:cstheme="minorHAnsi"/>
          <w:sz w:val="20"/>
          <w:szCs w:val="20"/>
        </w:rPr>
        <w:lastRenderedPageBreak/>
        <w:t>ANEXO VI - DECLARAÇÃO DA INSTITUIÇÃO CUSTODIANTE</w:t>
      </w:r>
      <w:bookmarkEnd w:id="267"/>
      <w:r w:rsidRPr="005270B8">
        <w:rPr>
          <w:rFonts w:ascii="Verdana" w:hAnsi="Verdana" w:cstheme="minorHAnsi"/>
          <w:sz w:val="20"/>
          <w:szCs w:val="20"/>
        </w:rPr>
        <w:t xml:space="preserve"> </w:t>
      </w:r>
    </w:p>
    <w:p w14:paraId="09AF6F6F" w14:textId="77777777" w:rsidR="00FB44C2" w:rsidRDefault="00FB44C2" w:rsidP="00993117">
      <w:pPr>
        <w:tabs>
          <w:tab w:val="left" w:pos="5760"/>
        </w:tabs>
        <w:spacing w:line="280" w:lineRule="atLeast"/>
        <w:rPr>
          <w:rFonts w:ascii="Verdana" w:hAnsi="Verdana" w:cstheme="minorHAnsi"/>
          <w:b/>
          <w:bCs/>
          <w:sz w:val="20"/>
          <w:szCs w:val="20"/>
        </w:rPr>
      </w:pPr>
    </w:p>
    <w:p w14:paraId="675CB9BE"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lastRenderedPageBreak/>
        <w:br w:type="page"/>
      </w:r>
    </w:p>
    <w:p w14:paraId="751EE636" w14:textId="3F34B58B"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1AE712AB"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r>
        <w:rPr>
          <w:rFonts w:ascii="Verdana" w:hAnsi="Verdana" w:cstheme="minorHAnsi"/>
          <w:sz w:val="20"/>
          <w:szCs w:val="20"/>
        </w:rPr>
        <w:lastRenderedPageBreak/>
        <w:br w:type="page"/>
      </w:r>
    </w:p>
    <w:p w14:paraId="26F0BEA3" w14:textId="43FB79D4" w:rsidR="00206966" w:rsidRPr="00B8790E" w:rsidRDefault="009E50EA" w:rsidP="00B8790E">
      <w:pPr>
        <w:pStyle w:val="Ttulo1"/>
        <w:spacing w:line="280" w:lineRule="atLeast"/>
        <w:jc w:val="center"/>
        <w:rPr>
          <w:rFonts w:ascii="Verdana" w:hAnsi="Verdana"/>
          <w:sz w:val="20"/>
          <w:szCs w:val="20"/>
        </w:rPr>
      </w:pPr>
      <w:bookmarkStart w:id="268" w:name="_Toc61353106"/>
      <w:r w:rsidRPr="00A2021B">
        <w:rPr>
          <w:rFonts w:ascii="Verdana" w:hAnsi="Verdana" w:cstheme="minorHAnsi"/>
          <w:sz w:val="20"/>
          <w:szCs w:val="20"/>
        </w:rPr>
        <w:lastRenderedPageBreak/>
        <w:t xml:space="preserve">ANEXO </w:t>
      </w:r>
      <w:r w:rsidR="00FE37D9">
        <w:rPr>
          <w:rFonts w:ascii="Verdana" w:hAnsi="Verdana" w:cstheme="minorHAnsi"/>
          <w:sz w:val="20"/>
          <w:szCs w:val="20"/>
        </w:rPr>
        <w:t>VIII</w:t>
      </w:r>
      <w:r w:rsidR="00406587">
        <w:rPr>
          <w:rFonts w:ascii="Verdana" w:hAnsi="Verdana" w:cstheme="minorHAnsi"/>
          <w:sz w:val="20"/>
          <w:szCs w:val="20"/>
        </w:rPr>
        <w:t xml:space="preserve"> -</w:t>
      </w:r>
      <w:bookmarkEnd w:id="268"/>
      <w:r w:rsidR="00406587">
        <w:rPr>
          <w:rFonts w:ascii="Verdana" w:hAnsi="Verdana" w:cstheme="minorHAnsi"/>
          <w:sz w:val="20"/>
          <w:szCs w:val="20"/>
        </w:rPr>
        <w:t xml:space="preserve"> </w:t>
      </w:r>
      <w:bookmarkStart w:id="269" w:name="_Toc61353107"/>
      <w:r w:rsidR="00406587" w:rsidRPr="00AF0064">
        <w:rPr>
          <w:rFonts w:ascii="Verdana" w:hAnsi="Verdana" w:cstheme="minorHAnsi"/>
          <w:iCs/>
          <w:sz w:val="20"/>
          <w:szCs w:val="20"/>
        </w:rPr>
        <w:t>MODELO DE DECLARAÇÃO FINANCEIRA DE DESTINAÇÃOO DE RECURSOS</w:t>
      </w:r>
      <w:bookmarkEnd w:id="269"/>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4787F3DF" w:rsidR="009E50EA" w:rsidRPr="00AF0064" w:rsidRDefault="009E50EA" w:rsidP="00B8790E">
      <w:pPr>
        <w:pStyle w:val="Ttulo1"/>
        <w:spacing w:line="280" w:lineRule="atLeast"/>
        <w:jc w:val="center"/>
        <w:rPr>
          <w:rFonts w:ascii="Verdana" w:hAnsi="Verdana"/>
          <w:sz w:val="20"/>
          <w:szCs w:val="20"/>
        </w:rPr>
      </w:pPr>
      <w:bookmarkStart w:id="270" w:name="_Toc61353108"/>
      <w:r w:rsidRPr="00A2021B">
        <w:rPr>
          <w:rFonts w:ascii="Verdana" w:hAnsi="Verdana" w:cstheme="minorHAnsi"/>
          <w:sz w:val="20"/>
          <w:szCs w:val="20"/>
        </w:rPr>
        <w:lastRenderedPageBreak/>
        <w:t xml:space="preserve">ANEXO </w:t>
      </w:r>
      <w:r w:rsidR="00FE37D9">
        <w:rPr>
          <w:rFonts w:ascii="Verdana" w:hAnsi="Verdana" w:cstheme="minorHAnsi"/>
          <w:sz w:val="20"/>
          <w:szCs w:val="20"/>
        </w:rPr>
        <w:t>I</w:t>
      </w:r>
      <w:r w:rsidRPr="00A2021B">
        <w:rPr>
          <w:rFonts w:ascii="Verdana" w:hAnsi="Verdana" w:cstheme="minorHAnsi"/>
          <w:sz w:val="20"/>
          <w:szCs w:val="20"/>
        </w:rPr>
        <w:t>X</w:t>
      </w:r>
      <w:r w:rsidR="00406587">
        <w:rPr>
          <w:rFonts w:ascii="Verdana" w:hAnsi="Verdana" w:cstheme="minorHAnsi"/>
          <w:sz w:val="20"/>
          <w:szCs w:val="20"/>
        </w:rPr>
        <w:t xml:space="preserve"> –</w:t>
      </w:r>
      <w:bookmarkEnd w:id="270"/>
      <w:r w:rsidR="00406587">
        <w:rPr>
          <w:rFonts w:ascii="Verdana" w:hAnsi="Verdana" w:cstheme="minorHAnsi"/>
          <w:sz w:val="20"/>
          <w:szCs w:val="20"/>
        </w:rPr>
        <w:t xml:space="preserve"> </w:t>
      </w:r>
      <w:bookmarkStart w:id="271" w:name="_Toc61353109"/>
      <w:r w:rsidR="00406587">
        <w:rPr>
          <w:rFonts w:ascii="Verdana" w:hAnsi="Verdana" w:cstheme="minorHAnsi"/>
          <w:iCs/>
          <w:sz w:val="20"/>
          <w:szCs w:val="20"/>
        </w:rPr>
        <w:t>RELATÓRIO DE EVOLUÇÃO DOS EMPREENDIMENTOS</w:t>
      </w:r>
      <w:bookmarkEnd w:id="271"/>
    </w:p>
    <w:p w14:paraId="04AF097C" w14:textId="77777777" w:rsidR="001D7E56" w:rsidRPr="005270B8" w:rsidRDefault="001D7E56" w:rsidP="00993117">
      <w:pPr>
        <w:spacing w:line="280" w:lineRule="atLeast"/>
        <w:jc w:val="center"/>
        <w:rPr>
          <w:rFonts w:ascii="Verdana" w:hAnsi="Verdana" w:cstheme="minorHAnsi"/>
          <w:b/>
          <w:sz w:val="20"/>
          <w:szCs w:val="20"/>
        </w:rPr>
      </w:pPr>
    </w:p>
    <w:p w14:paraId="7FC9BB05" w14:textId="2D9B1F4B" w:rsidR="00206DFD"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330C3FF0" w14:textId="77777777" w:rsidR="00206DFD" w:rsidRDefault="00206DFD">
      <w:pPr>
        <w:spacing w:line="240" w:lineRule="auto"/>
        <w:jc w:val="left"/>
        <w:rPr>
          <w:rFonts w:ascii="Verdana" w:hAnsi="Verdana" w:cstheme="minorHAnsi"/>
          <w:i/>
          <w:iCs/>
          <w:color w:val="000000"/>
          <w:sz w:val="20"/>
          <w:szCs w:val="20"/>
        </w:rPr>
      </w:pPr>
      <w:r>
        <w:rPr>
          <w:rFonts w:ascii="Verdana" w:hAnsi="Verdana" w:cstheme="minorHAnsi"/>
          <w:i/>
          <w:iCs/>
          <w:color w:val="000000"/>
          <w:sz w:val="20"/>
          <w:szCs w:val="20"/>
        </w:rPr>
        <w:br w:type="page"/>
      </w: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862CE9">
      <w:headerReference w:type="default" r:id="rId20"/>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BC08" w14:textId="77777777" w:rsidR="00DC682B" w:rsidRDefault="00DC682B">
      <w:r>
        <w:separator/>
      </w:r>
    </w:p>
  </w:endnote>
  <w:endnote w:type="continuationSeparator" w:id="0">
    <w:p w14:paraId="6686269E" w14:textId="77777777" w:rsidR="00DC682B" w:rsidRDefault="00DC682B">
      <w:r>
        <w:continuationSeparator/>
      </w:r>
    </w:p>
  </w:endnote>
  <w:endnote w:type="continuationNotice" w:id="1">
    <w:p w14:paraId="477ECE8E" w14:textId="77777777" w:rsidR="00DC682B" w:rsidRDefault="00DC68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DC682B" w:rsidRDefault="00DC6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DC682B" w:rsidRDefault="00DC682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DC682B" w:rsidRPr="00D911EB" w:rsidRDefault="00DC682B"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92</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DC682B" w:rsidRDefault="00DC682B" w:rsidP="00065721">
    <w:pPr>
      <w:pStyle w:val="Rodap"/>
      <w:jc w:val="right"/>
      <w:rPr>
        <w:sz w:val="16"/>
      </w:rPr>
    </w:pPr>
  </w:p>
  <w:p w14:paraId="24C929DF" w14:textId="77777777" w:rsidR="00DC682B" w:rsidRPr="00065721" w:rsidRDefault="00DC682B"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5AE52" w14:textId="77777777" w:rsidR="00DC682B" w:rsidRDefault="00DC682B">
      <w:r>
        <w:separator/>
      </w:r>
    </w:p>
  </w:footnote>
  <w:footnote w:type="continuationSeparator" w:id="0">
    <w:p w14:paraId="4AEF6F9F" w14:textId="77777777" w:rsidR="00DC682B" w:rsidRDefault="00DC682B">
      <w:r>
        <w:continuationSeparator/>
      </w:r>
    </w:p>
  </w:footnote>
  <w:footnote w:type="continuationNotice" w:id="1">
    <w:p w14:paraId="5799C8A6" w14:textId="77777777" w:rsidR="00DC682B" w:rsidRDefault="00DC68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DC682B" w:rsidRPr="00690B26" w:rsidRDefault="00DC682B"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06405407" w14:textId="77777777" w:rsidR="00DC682B" w:rsidRPr="00690B26" w:rsidRDefault="00DC682B"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19.02.2021</w:t>
    </w:r>
  </w:p>
  <w:p w14:paraId="0F568BD5" w14:textId="77777777" w:rsidR="00DC682B" w:rsidRPr="00315A40" w:rsidRDefault="00DC682B"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DC682B" w:rsidRPr="00690B26" w:rsidRDefault="00DC682B"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397586D6" w:rsidR="00DC682B" w:rsidRPr="00690B26" w:rsidRDefault="00DC682B"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19.02.2021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DC682B" w:rsidRPr="00315A40" w:rsidRDefault="00DC682B"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DC682B" w:rsidRPr="00315A40" w:rsidRDefault="00DC682B"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DC682B" w:rsidRPr="00315A40" w:rsidRDefault="00DC682B"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2"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1"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2"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4"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5"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6"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9"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1"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2"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3"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2"/>
  </w:num>
  <w:num w:numId="3">
    <w:abstractNumId w:val="27"/>
  </w:num>
  <w:num w:numId="4">
    <w:abstractNumId w:val="74"/>
  </w:num>
  <w:num w:numId="5">
    <w:abstractNumId w:val="87"/>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1"/>
  </w:num>
  <w:num w:numId="8">
    <w:abstractNumId w:val="16"/>
  </w:num>
  <w:num w:numId="9">
    <w:abstractNumId w:val="10"/>
  </w:num>
  <w:num w:numId="10">
    <w:abstractNumId w:val="19"/>
  </w:num>
  <w:num w:numId="11">
    <w:abstractNumId w:val="17"/>
  </w:num>
  <w:num w:numId="12">
    <w:abstractNumId w:val="69"/>
  </w:num>
  <w:num w:numId="13">
    <w:abstractNumId w:val="79"/>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1"/>
  </w:num>
  <w:num w:numId="21">
    <w:abstractNumId w:val="88"/>
  </w:num>
  <w:num w:numId="22">
    <w:abstractNumId w:val="38"/>
  </w:num>
  <w:num w:numId="23">
    <w:abstractNumId w:val="34"/>
  </w:num>
  <w:num w:numId="24">
    <w:abstractNumId w:val="44"/>
  </w:num>
  <w:num w:numId="25">
    <w:abstractNumId w:val="89"/>
  </w:num>
  <w:num w:numId="26">
    <w:abstractNumId w:val="6"/>
  </w:num>
  <w:num w:numId="27">
    <w:abstractNumId w:val="82"/>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7"/>
  </w:num>
  <w:num w:numId="36">
    <w:abstractNumId w:val="5"/>
  </w:num>
  <w:num w:numId="37">
    <w:abstractNumId w:val="43"/>
  </w:num>
  <w:num w:numId="38">
    <w:abstractNumId w:val="86"/>
  </w:num>
  <w:num w:numId="39">
    <w:abstractNumId w:val="29"/>
  </w:num>
  <w:num w:numId="40">
    <w:abstractNumId w:val="78"/>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0"/>
  </w:num>
  <w:num w:numId="49">
    <w:abstractNumId w:val="18"/>
  </w:num>
  <w:num w:numId="50">
    <w:abstractNumId w:val="54"/>
  </w:num>
  <w:num w:numId="51">
    <w:abstractNumId w:val="75"/>
  </w:num>
  <w:num w:numId="52">
    <w:abstractNumId w:val="26"/>
  </w:num>
  <w:num w:numId="53">
    <w:abstractNumId w:val="50"/>
  </w:num>
  <w:num w:numId="54">
    <w:abstractNumId w:val="93"/>
  </w:num>
  <w:num w:numId="55">
    <w:abstractNumId w:val="42"/>
  </w:num>
  <w:num w:numId="56">
    <w:abstractNumId w:val="76"/>
  </w:num>
  <w:num w:numId="57">
    <w:abstractNumId w:val="67"/>
  </w:num>
  <w:num w:numId="58">
    <w:abstractNumId w:val="52"/>
  </w:num>
  <w:num w:numId="59">
    <w:abstractNumId w:val="90"/>
  </w:num>
  <w:num w:numId="60">
    <w:abstractNumId w:val="47"/>
  </w:num>
  <w:num w:numId="61">
    <w:abstractNumId w:val="40"/>
  </w:num>
  <w:num w:numId="62">
    <w:abstractNumId w:val="83"/>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1"/>
  </w:num>
  <w:num w:numId="71">
    <w:abstractNumId w:val="39"/>
  </w:num>
  <w:num w:numId="72">
    <w:abstractNumId w:val="46"/>
  </w:num>
  <w:num w:numId="73">
    <w:abstractNumId w:val="70"/>
  </w:num>
  <w:num w:numId="74">
    <w:abstractNumId w:val="1"/>
  </w:num>
  <w:num w:numId="75">
    <w:abstractNumId w:val="73"/>
  </w:num>
  <w:num w:numId="76">
    <w:abstractNumId w:val="25"/>
  </w:num>
  <w:num w:numId="77">
    <w:abstractNumId w:val="92"/>
  </w:num>
  <w:num w:numId="78">
    <w:abstractNumId w:val="2"/>
  </w:num>
  <w:num w:numId="79">
    <w:abstractNumId w:val="33"/>
  </w:num>
  <w:num w:numId="80">
    <w:abstractNumId w:val="85"/>
  </w:num>
  <w:num w:numId="81">
    <w:abstractNumId w:val="56"/>
  </w:num>
  <w:num w:numId="82">
    <w:abstractNumId w:val="84"/>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04"/>
    <w:rsid w:val="001B5DB7"/>
    <w:rsid w:val="001B5F6D"/>
    <w:rsid w:val="001B6182"/>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770"/>
    <w:rsid w:val="00436883"/>
    <w:rsid w:val="00436956"/>
    <w:rsid w:val="00436F25"/>
    <w:rsid w:val="00436F36"/>
    <w:rsid w:val="004378C9"/>
    <w:rsid w:val="0043794F"/>
    <w:rsid w:val="00437A9F"/>
    <w:rsid w:val="00437AD8"/>
    <w:rsid w:val="00437BED"/>
    <w:rsid w:val="00437C9C"/>
    <w:rsid w:val="00437ED3"/>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CBA"/>
    <w:rsid w:val="00632049"/>
    <w:rsid w:val="00632383"/>
    <w:rsid w:val="006323D4"/>
    <w:rsid w:val="00632870"/>
    <w:rsid w:val="00633197"/>
    <w:rsid w:val="006334D0"/>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0F8B"/>
    <w:rsid w:val="008E106B"/>
    <w:rsid w:val="008E1BAF"/>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18"/>
    <w:rsid w:val="00950657"/>
    <w:rsid w:val="009508FD"/>
    <w:rsid w:val="009509BB"/>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D00"/>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3AA5"/>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D18"/>
    <w:rsid w:val="00F2524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554"/>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970D48"/>
  <w15:docId w15:val="{99F123CC-83AF-4501-8C10-8CD04E4C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uiPriority w:val="11"/>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11"/>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styleId="MenoPendente">
    <w:name w:val="Unresolved Mention"/>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1578245169">
          <w:marLeft w:val="0"/>
          <w:marRight w:val="0"/>
          <w:marTop w:val="0"/>
          <w:marBottom w:val="0"/>
          <w:divBdr>
            <w:top w:val="none" w:sz="0" w:space="0" w:color="auto"/>
            <w:left w:val="none" w:sz="0" w:space="0" w:color="auto"/>
            <w:bottom w:val="none" w:sz="0" w:space="0" w:color="auto"/>
            <w:right w:val="none" w:sz="0" w:space="0" w:color="auto"/>
          </w:divBdr>
        </w:div>
        <w:div w:id="600379041">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600992935">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292565502">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1811284360">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52972328">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1598908726">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estaocri@grupogaia.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lanalto.gov.br/legisla/legislacao.nsf/Viw_Identificacao/lei%206.385-1976?OpenDocume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Props1.xml><?xml version="1.0" encoding="utf-8"?>
<ds:datastoreItem xmlns:ds="http://schemas.openxmlformats.org/officeDocument/2006/customXml" ds:itemID="{75AD89ED-2942-4A04-9365-7743A01DD1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107</Pages>
  <Words>34971</Words>
  <Characters>201020</Characters>
  <Application>Microsoft Office Word</Application>
  <DocSecurity>4</DocSecurity>
  <Lines>4277</Lines>
  <Paragraphs>1162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234829</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Capital</dc:creator>
  <cp:lastModifiedBy>TozziniFreire Advogados</cp:lastModifiedBy>
  <cp:revision>2</cp:revision>
  <cp:lastPrinted>2020-06-29T21:40:00Z</cp:lastPrinted>
  <dcterms:created xsi:type="dcterms:W3CDTF">2021-02-19T21:08:00Z</dcterms:created>
  <dcterms:modified xsi:type="dcterms:W3CDTF">2021-02-19T21:08:00Z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