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AF71D4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AF71D4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AF71D4">
        <w:rPr>
          <w:rFonts w:ascii="Verdana" w:hAnsi="Verdana" w:cs="Tahoma"/>
          <w:b/>
          <w:sz w:val="24"/>
          <w:szCs w:val="24"/>
          <w:lang w:val="pt-BR"/>
        </w:rPr>
        <w:t>E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AF71D4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707AD984" w14:textId="3537F3F0" w:rsidR="000F187F" w:rsidRPr="00AF71D4" w:rsidRDefault="00194D5E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/>
        </w:rPr>
        <w:t xml:space="preserve">REUNIÃO 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DOS TITULARES DE CERTIFICADOS DE RECEBÍVEIS IMOBILIÁRIOS DA 8ª SÉRIE DA 1ª EMISSÃO DA TRX SECURITIZADORA S.A., REALIZADA NO DIA </w:t>
      </w:r>
      <w:r>
        <w:rPr>
          <w:rFonts w:ascii="Verdana" w:hAnsi="Verdana" w:cs="Tahoma"/>
          <w:b/>
          <w:sz w:val="24"/>
          <w:szCs w:val="24"/>
          <w:lang w:val="pt-BR"/>
        </w:rPr>
        <w:t>09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 DE </w:t>
      </w:r>
      <w:r w:rsidR="002B5910">
        <w:rPr>
          <w:rFonts w:ascii="Verdana" w:hAnsi="Verdana" w:cs="Tahoma"/>
          <w:b/>
          <w:sz w:val="24"/>
          <w:szCs w:val="24"/>
          <w:lang w:val="pt-BR"/>
        </w:rPr>
        <w:t>JANEIRO</w:t>
      </w:r>
      <w:r w:rsidR="00F929D9" w:rsidRPr="00AF71D4">
        <w:rPr>
          <w:rFonts w:ascii="Verdana" w:hAnsi="Verdana" w:cs="Tahoma"/>
          <w:b/>
          <w:sz w:val="24"/>
          <w:szCs w:val="24"/>
          <w:lang w:val="pt-BR"/>
        </w:rPr>
        <w:t xml:space="preserve"> DE 20</w:t>
      </w:r>
      <w:r>
        <w:rPr>
          <w:rFonts w:ascii="Verdana" w:hAnsi="Verdana" w:cs="Tahoma"/>
          <w:b/>
          <w:sz w:val="24"/>
          <w:szCs w:val="24"/>
          <w:lang w:val="pt-BR"/>
        </w:rPr>
        <w:t>20</w:t>
      </w:r>
    </w:p>
    <w:p w14:paraId="33F7A2DA" w14:textId="77777777" w:rsidR="0057596B" w:rsidRPr="00AF71D4" w:rsidRDefault="0057596B" w:rsidP="005B16DA">
      <w:pPr>
        <w:spacing w:line="320" w:lineRule="exact"/>
        <w:ind w:left="-284" w:right="-284"/>
        <w:jc w:val="both"/>
        <w:rPr>
          <w:rFonts w:ascii="Verdana" w:hAnsi="Verdana" w:cs="Tahoma"/>
          <w:b/>
          <w:sz w:val="24"/>
          <w:szCs w:val="24"/>
          <w:lang w:val="pt-BR"/>
        </w:rPr>
      </w:pPr>
    </w:p>
    <w:p w14:paraId="3807C8D8" w14:textId="584DE6CF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194D5E" w:rsidRPr="00266958">
        <w:rPr>
          <w:rFonts w:ascii="Verdana" w:hAnsi="Verdana" w:cs="Tahoma"/>
          <w:sz w:val="24"/>
          <w:szCs w:val="24"/>
          <w:lang w:val="pt-BR"/>
        </w:rPr>
        <w:t>09</w:t>
      </w:r>
      <w:r w:rsidR="002B5910">
        <w:rPr>
          <w:rFonts w:ascii="Verdana" w:hAnsi="Verdana" w:cs="Tahoma"/>
          <w:sz w:val="24"/>
          <w:szCs w:val="24"/>
          <w:lang w:val="pt-BR"/>
        </w:rPr>
        <w:t>/01</w:t>
      </w:r>
      <w:r w:rsidR="00BF5DC3" w:rsidRPr="00AF71D4">
        <w:rPr>
          <w:rFonts w:ascii="Verdana" w:hAnsi="Verdana" w:cs="Tahoma"/>
          <w:sz w:val="24"/>
          <w:szCs w:val="24"/>
          <w:lang w:val="pt-BR"/>
        </w:rPr>
        <w:t>/20</w:t>
      </w:r>
      <w:r w:rsidR="002B5910">
        <w:rPr>
          <w:rFonts w:ascii="Verdana" w:hAnsi="Verdana" w:cs="Tahoma"/>
          <w:sz w:val="24"/>
          <w:szCs w:val="24"/>
          <w:lang w:val="pt-BR"/>
        </w:rPr>
        <w:t>20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AF71D4">
        <w:rPr>
          <w:rFonts w:ascii="Verdana" w:hAnsi="Verdana" w:cs="Tahoma"/>
          <w:sz w:val="24"/>
          <w:szCs w:val="24"/>
          <w:lang w:val="pt-BR"/>
        </w:rPr>
        <w:t>1</w:t>
      </w:r>
      <w:r w:rsidR="00194D5E">
        <w:rPr>
          <w:rFonts w:ascii="Verdana" w:hAnsi="Verdana" w:cs="Tahoma"/>
          <w:sz w:val="24"/>
          <w:szCs w:val="24"/>
          <w:lang w:val="pt-BR"/>
        </w:rPr>
        <w:t>1</w:t>
      </w:r>
      <w:r w:rsidR="000B6606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AF71D4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394003" w:rsidRPr="004672AE">
        <w:rPr>
          <w:rFonts w:ascii="Verdana" w:hAnsi="Verdana"/>
          <w:sz w:val="24"/>
          <w:szCs w:val="24"/>
          <w:lang w:val="pt-BR"/>
        </w:rPr>
        <w:t>na Filial da SIMPLIFIC</w:t>
      </w:r>
      <w:r w:rsidR="00394003" w:rsidRPr="004672AE">
        <w:rPr>
          <w:rFonts w:ascii="Verdana" w:hAnsi="Verdana" w:cs="Arial"/>
          <w:sz w:val="24"/>
          <w:szCs w:val="24"/>
          <w:lang w:val="pt-BR"/>
        </w:rPr>
        <w:t xml:space="preserve"> PAVARINI DISTRIBUIDORA DE TÍTULOS E VALORES MOBILIÁRIOS LTDA.</w:t>
      </w:r>
      <w:r w:rsidR="00394003" w:rsidRPr="00AF71D4">
        <w:rPr>
          <w:rFonts w:ascii="Verdana" w:hAnsi="Verdana" w:cs="Arial"/>
          <w:b/>
          <w:sz w:val="24"/>
          <w:szCs w:val="24"/>
          <w:lang w:val="pt-BR"/>
        </w:rPr>
        <w:t xml:space="preserve"> </w:t>
      </w:r>
      <w:r w:rsidR="00394003" w:rsidRPr="00AF71D4">
        <w:rPr>
          <w:rFonts w:ascii="Verdana" w:hAnsi="Verdana" w:cs="Arial"/>
          <w:sz w:val="24"/>
          <w:szCs w:val="24"/>
          <w:lang w:val="pt-BR"/>
        </w:rPr>
        <w:t>(“</w:t>
      </w:r>
      <w:r w:rsidR="00394003" w:rsidRPr="00AF71D4">
        <w:rPr>
          <w:rFonts w:ascii="Verdana" w:hAnsi="Verdana" w:cs="Arial"/>
          <w:sz w:val="24"/>
          <w:szCs w:val="24"/>
          <w:u w:val="single"/>
          <w:lang w:val="pt-BR"/>
        </w:rPr>
        <w:t>Agente Fiduciári</w:t>
      </w:r>
      <w:r w:rsidR="00BB3D5A">
        <w:rPr>
          <w:rFonts w:ascii="Verdana" w:hAnsi="Verdana" w:cs="Arial"/>
          <w:sz w:val="24"/>
          <w:szCs w:val="24"/>
          <w:u w:val="single"/>
          <w:lang w:val="pt-BR"/>
        </w:rPr>
        <w:t>o</w:t>
      </w:r>
      <w:r w:rsidR="00394003" w:rsidRPr="00AF71D4">
        <w:rPr>
          <w:rFonts w:ascii="Verdana" w:hAnsi="Verdana" w:cs="Arial"/>
          <w:sz w:val="24"/>
          <w:szCs w:val="24"/>
          <w:lang w:val="pt-BR"/>
        </w:rPr>
        <w:t>”),</w:t>
      </w:r>
      <w:r w:rsidR="00394003" w:rsidRPr="004672AE">
        <w:rPr>
          <w:rFonts w:ascii="Verdana" w:hAnsi="Verdana"/>
          <w:sz w:val="24"/>
          <w:szCs w:val="24"/>
          <w:lang w:val="pt-BR"/>
        </w:rPr>
        <w:t xml:space="preserve"> na </w:t>
      </w:r>
      <w:r w:rsidR="00394003" w:rsidRPr="00AF71D4">
        <w:rPr>
          <w:rFonts w:ascii="Verdana" w:hAnsi="Verdana"/>
          <w:sz w:val="24"/>
          <w:szCs w:val="24"/>
          <w:lang w:val="pt-BR"/>
        </w:rPr>
        <w:t>Rua Joaquim Floriano, 466, sala 1401, São Paulo – SP</w:t>
      </w:r>
    </w:p>
    <w:p w14:paraId="53D49F4E" w14:textId="77777777" w:rsidR="00394003" w:rsidRPr="00AF71D4" w:rsidRDefault="00394003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51AB2280" w:rsidR="00272212" w:rsidRPr="00AF71D4" w:rsidRDefault="002053A5" w:rsidP="00765D06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: presentes os Titulares de </w:t>
      </w:r>
      <w:r w:rsidR="00194D5E">
        <w:rPr>
          <w:rFonts w:ascii="Verdana" w:hAnsi="Verdana" w:cs="Tahoma"/>
          <w:sz w:val="24"/>
          <w:szCs w:val="24"/>
          <w:lang w:val="pt-BR" w:eastAsia="en-US"/>
        </w:rPr>
        <w:t>56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% (</w:t>
      </w:r>
      <w:r w:rsidR="00194D5E">
        <w:rPr>
          <w:rFonts w:ascii="Verdana" w:hAnsi="Verdana" w:cs="Tahoma"/>
          <w:sz w:val="24"/>
          <w:szCs w:val="24"/>
          <w:lang w:val="pt-BR" w:eastAsia="en-US"/>
        </w:rPr>
        <w:t xml:space="preserve">cinquenta e seis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por cento) dos Certificados de Recebíveis Imobiliários da </w:t>
      </w:r>
      <w:r w:rsidRPr="00AF71D4">
        <w:rPr>
          <w:rFonts w:ascii="Verdana" w:hAnsi="Verdana" w:cs="Tahoma"/>
          <w:sz w:val="24"/>
          <w:szCs w:val="24"/>
          <w:lang w:val="pt-BR"/>
        </w:rPr>
        <w:t>8ª Série da 1ª Emissão da TRX SECURITIZADORA S.A.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em circulação, conforme lista de presença </w:t>
      </w:r>
      <w:r w:rsidR="00681AE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(“</w:t>
      </w:r>
      <w:r w:rsidRPr="00EC06ED">
        <w:rPr>
          <w:rFonts w:ascii="Verdana" w:hAnsi="Verdana" w:cs="Tahoma"/>
          <w:sz w:val="24"/>
          <w:szCs w:val="24"/>
          <w:u w:val="single"/>
          <w:lang w:val="pt-BR" w:eastAsia="en-US"/>
        </w:rPr>
        <w:t>Titulares de CRI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”</w:t>
      </w:r>
      <w:r w:rsidR="00394003" w:rsidRPr="00AF71D4">
        <w:rPr>
          <w:rFonts w:ascii="Verdana" w:hAnsi="Verdana" w:cs="Tahoma"/>
          <w:sz w:val="24"/>
          <w:szCs w:val="24"/>
          <w:lang w:val="pt-BR" w:eastAsia="en-US"/>
        </w:rPr>
        <w:t>, “</w:t>
      </w:r>
      <w:r w:rsidR="00394003" w:rsidRPr="00EC06ED">
        <w:rPr>
          <w:rFonts w:ascii="Verdana" w:hAnsi="Verdana" w:cs="Tahoma"/>
          <w:sz w:val="24"/>
          <w:szCs w:val="24"/>
          <w:u w:val="single"/>
          <w:lang w:val="pt-BR" w:eastAsia="en-US"/>
        </w:rPr>
        <w:t>CRI</w:t>
      </w:r>
      <w:r w:rsidR="00394003" w:rsidRPr="00AF71D4">
        <w:rPr>
          <w:rFonts w:ascii="Verdana" w:hAnsi="Verdana" w:cs="Tahoma"/>
          <w:sz w:val="24"/>
          <w:szCs w:val="24"/>
          <w:lang w:val="pt-BR" w:eastAsia="en-US"/>
        </w:rPr>
        <w:t>”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, respectivamente)</w:t>
      </w:r>
      <w:r w:rsidR="00A77CCD">
        <w:rPr>
          <w:rFonts w:ascii="Verdana" w:hAnsi="Verdana" w:cs="Tahoma"/>
          <w:sz w:val="24"/>
          <w:szCs w:val="24"/>
          <w:lang w:val="pt-BR" w:eastAsia="en-US"/>
        </w:rPr>
        <w:t xml:space="preserve"> e os representantes da TRX SECURITIZADORA S.A.</w:t>
      </w:r>
      <w:r w:rsidR="00A77CCD">
        <w:rPr>
          <w:rFonts w:ascii="Verdana" w:hAnsi="Verdana" w:cs="Tahoma"/>
          <w:bCs/>
          <w:sz w:val="24"/>
          <w:szCs w:val="24"/>
          <w:lang w:val="pt-BR"/>
        </w:rPr>
        <w:t xml:space="preserve"> e do Agente Fiduciário</w:t>
      </w:r>
      <w:r w:rsidR="00A77CCD" w:rsidRPr="00A77CCD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2D576B68" w:rsidR="008A1C4F" w:rsidRDefault="00455CAE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ASSUNTOS</w:t>
      </w:r>
      <w:r w:rsidR="000F187F" w:rsidRPr="00AF71D4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Default="008A1C4F" w:rsidP="008A1C4F">
      <w:pPr>
        <w:spacing w:line="320" w:lineRule="exact"/>
        <w:ind w:left="-284" w:right="-284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4E853FC9" w14:textId="1E5CD33E" w:rsidR="00C065F5" w:rsidRDefault="003210AF" w:rsidP="00662017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b/>
          <w:sz w:val="24"/>
          <w:szCs w:val="24"/>
          <w:lang w:val="pt-BR"/>
        </w:rPr>
        <w:t>D</w:t>
      </w:r>
      <w:r w:rsidR="003C5475" w:rsidRPr="0047355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>
        <w:rPr>
          <w:rFonts w:ascii="Verdana" w:hAnsi="Verdana" w:cs="Tahoma"/>
          <w:sz w:val="24"/>
          <w:szCs w:val="24"/>
          <w:lang w:val="pt-BR"/>
        </w:rPr>
        <w:t xml:space="preserve"> o </w:t>
      </w:r>
      <w:r w:rsidR="00473558" w:rsidRPr="00AF71D4">
        <w:rPr>
          <w:rFonts w:ascii="Verdana" w:hAnsi="Verdana" w:cs="Tahoma"/>
          <w:sz w:val="24"/>
          <w:szCs w:val="24"/>
          <w:lang w:val="pt-BR" w:eastAsia="en-US"/>
        </w:rPr>
        <w:t xml:space="preserve">pagamento </w:t>
      </w:r>
      <w:r w:rsidR="009130BD">
        <w:rPr>
          <w:rFonts w:ascii="Verdana" w:hAnsi="Verdana" w:cs="Tahoma"/>
          <w:sz w:val="24"/>
          <w:szCs w:val="24"/>
          <w:lang w:val="pt-BR" w:eastAsia="en-US"/>
        </w:rPr>
        <w:t xml:space="preserve">dos eventos </w:t>
      </w:r>
      <w:r w:rsidR="00473558" w:rsidRPr="008D3DEE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A</w:t>
      </w:r>
      <w:r w:rsidR="00473558" w:rsidRPr="008D3DEE">
        <w:rPr>
          <w:rFonts w:ascii="Verdana" w:hAnsi="Verdana" w:cs="Tahoma"/>
          <w:sz w:val="24"/>
          <w:szCs w:val="24"/>
          <w:lang w:val="pt-BR" w:eastAsia="en-US"/>
        </w:rPr>
        <w:t xml:space="preserve">mortização 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e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J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uros </w:t>
      </w:r>
      <w:r w:rsidR="007E5529">
        <w:rPr>
          <w:rFonts w:ascii="Verdana" w:hAnsi="Verdana" w:cs="Tahoma"/>
          <w:sz w:val="24"/>
          <w:szCs w:val="24"/>
          <w:lang w:val="pt-BR" w:eastAsia="en-US"/>
        </w:rPr>
        <w:t>R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emuneratórios, </w:t>
      </w:r>
      <w:r w:rsidR="00473558" w:rsidRPr="00AF71D4">
        <w:rPr>
          <w:rFonts w:ascii="Verdana" w:hAnsi="Verdana" w:cs="Tahoma"/>
          <w:sz w:val="24"/>
          <w:szCs w:val="24"/>
          <w:lang w:val="pt-BR" w:eastAsia="en-US"/>
        </w:rPr>
        <w:t>aos Titulares de CRI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, em </w:t>
      </w:r>
      <w:r w:rsidR="00145796">
        <w:rPr>
          <w:rFonts w:ascii="Verdana" w:hAnsi="Verdana" w:cs="Tahoma"/>
          <w:sz w:val="24"/>
          <w:szCs w:val="24"/>
          <w:lang w:val="pt-BR" w:eastAsia="en-US"/>
        </w:rPr>
        <w:t>11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2B5910">
        <w:rPr>
          <w:rFonts w:ascii="Verdana" w:hAnsi="Verdana" w:cs="Tahoma"/>
          <w:sz w:val="24"/>
          <w:szCs w:val="24"/>
          <w:lang w:val="pt-BR" w:eastAsia="en-US"/>
        </w:rPr>
        <w:t>janeiro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de 20</w:t>
      </w:r>
      <w:r w:rsidR="002B5910">
        <w:rPr>
          <w:rFonts w:ascii="Verdana" w:hAnsi="Verdana" w:cs="Tahoma"/>
          <w:sz w:val="24"/>
          <w:szCs w:val="24"/>
          <w:lang w:val="pt-BR" w:eastAsia="en-US"/>
        </w:rPr>
        <w:t>20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>, referentes ao</w:t>
      </w:r>
      <w:r w:rsidR="009130BD">
        <w:rPr>
          <w:rFonts w:ascii="Verdana" w:hAnsi="Verdana" w:cs="Tahoma"/>
          <w:sz w:val="24"/>
          <w:szCs w:val="24"/>
          <w:lang w:val="pt-BR" w:eastAsia="en-US"/>
        </w:rPr>
        <w:t>s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 xml:space="preserve"> eventos agendados e não pagos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em 1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3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novembro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de 2019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473558">
        <w:rPr>
          <w:rFonts w:ascii="Verdana" w:hAnsi="Verdana" w:cs="Tahoma"/>
          <w:sz w:val="24"/>
          <w:szCs w:val="24"/>
          <w:lang w:val="pt-BR" w:eastAsia="en-US"/>
        </w:rPr>
        <w:t>e 12 de dezembro de 2019</w:t>
      </w:r>
      <w:r w:rsidR="00194D5E">
        <w:rPr>
          <w:rFonts w:ascii="Verdana" w:hAnsi="Verdana" w:cs="Tahoma"/>
          <w:sz w:val="24"/>
          <w:szCs w:val="24"/>
          <w:lang w:val="pt-BR" w:eastAsia="en-US"/>
        </w:rPr>
        <w:t xml:space="preserve"> e dos eventos agendados para 14 de janeiro de 2020</w:t>
      </w:r>
      <w:r w:rsidR="00C065F5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8241A9" w14:textId="321AF066" w:rsidR="00891AB1" w:rsidRPr="00891AB1" w:rsidRDefault="00C065F5" w:rsidP="00662017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Del="0014690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F22DB62" w14:textId="2FECEE3E" w:rsidR="007225E8" w:rsidRDefault="000F187F" w:rsidP="006E095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014C52" w:rsidRPr="00AF71D4">
        <w:rPr>
          <w:rFonts w:ascii="Verdana" w:hAnsi="Verdana" w:cs="Tahoma"/>
          <w:sz w:val="24"/>
          <w:szCs w:val="24"/>
          <w:lang w:val="pt-BR" w:eastAsia="en-US"/>
        </w:rPr>
        <w:t xml:space="preserve">feitos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os esclarecimentos sobre o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s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A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ssunto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s</w:t>
      </w:r>
      <w:r w:rsidR="0057596B" w:rsidRPr="00AF71D4"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="00796749" w:rsidRPr="00AF71D4">
        <w:rPr>
          <w:rFonts w:ascii="Verdana" w:hAnsi="Verdana" w:cs="Tahoma"/>
          <w:sz w:val="24"/>
          <w:szCs w:val="24"/>
          <w:lang w:val="pt-BR" w:eastAsia="en-US"/>
        </w:rPr>
        <w:t>foi</w:t>
      </w:r>
      <w:r w:rsidR="007E13CD" w:rsidRPr="00AF71D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>deliberado</w:t>
      </w:r>
      <w:r w:rsidR="007E13CD" w:rsidRPr="00AF71D4">
        <w:rPr>
          <w:rFonts w:ascii="Verdana" w:hAnsi="Verdana" w:cs="Tahoma"/>
          <w:sz w:val="24"/>
          <w:szCs w:val="24"/>
          <w:lang w:val="pt-BR" w:eastAsia="en-US"/>
        </w:rPr>
        <w:t xml:space="preserve"> pela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unanimidade dos </w:t>
      </w:r>
      <w:r w:rsidR="00796749" w:rsidRPr="00AF71D4">
        <w:rPr>
          <w:rFonts w:ascii="Verdana" w:hAnsi="Verdana" w:cs="Tahoma"/>
          <w:sz w:val="24"/>
          <w:szCs w:val="24"/>
          <w:lang w:val="pt-BR" w:eastAsia="en-US"/>
        </w:rPr>
        <w:t>Titulares de CRI</w:t>
      </w:r>
      <w:r w:rsidR="003210AF">
        <w:rPr>
          <w:rFonts w:ascii="Verdana" w:hAnsi="Verdana" w:cs="Tahoma"/>
          <w:sz w:val="24"/>
          <w:szCs w:val="24"/>
          <w:lang w:val="pt-BR" w:eastAsia="en-US"/>
        </w:rPr>
        <w:t xml:space="preserve"> presentes:</w:t>
      </w:r>
      <w:r w:rsidR="006E0954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Default="007225E8" w:rsidP="006E095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3D0F5E23" w:rsidR="00C2277B" w:rsidRPr="00AF71D4" w:rsidRDefault="00C2277B" w:rsidP="00146904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RPr="00C2277B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Pr="007E552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>
        <w:rPr>
          <w:rFonts w:ascii="Verdana" w:hAnsi="Verdana" w:cs="Tahoma"/>
          <w:sz w:val="24"/>
          <w:szCs w:val="24"/>
          <w:lang w:val="pt-BR"/>
        </w:rPr>
        <w:t xml:space="preserve">o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pagamento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do valor referente ao evento de A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mortização dos CRI, inadimplid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o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em 1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3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 xml:space="preserve"> de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novembro </w:t>
      </w:r>
      <w:r w:rsidR="00146904" w:rsidRPr="008A1C4F">
        <w:rPr>
          <w:rFonts w:ascii="Verdana" w:hAnsi="Verdana" w:cs="Tahoma"/>
          <w:sz w:val="24"/>
          <w:szCs w:val="24"/>
          <w:lang w:val="pt-BR" w:eastAsia="en-US"/>
        </w:rPr>
        <w:t>de 2019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, bem como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do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 valor referente ao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 xml:space="preserve">s eventos </w:t>
      </w:r>
      <w:r w:rsidRPr="008D3DEE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A</w:t>
      </w:r>
      <w:r w:rsidRPr="008D3DEE">
        <w:rPr>
          <w:rFonts w:ascii="Verdana" w:hAnsi="Verdana" w:cs="Tahoma"/>
          <w:sz w:val="24"/>
          <w:szCs w:val="24"/>
          <w:lang w:val="pt-BR" w:eastAsia="en-US"/>
        </w:rPr>
        <w:t xml:space="preserve">mortização 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e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J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uros 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R</w:t>
      </w:r>
      <w:r>
        <w:rPr>
          <w:rFonts w:ascii="Verdana" w:hAnsi="Verdana" w:cs="Tahoma"/>
          <w:sz w:val="24"/>
          <w:szCs w:val="24"/>
          <w:lang w:val="pt-BR" w:eastAsia="en-US"/>
        </w:rPr>
        <w:t>emuneratórios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>, inadimplidos em 12 de dezembro de 2019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,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aos Titulares de CRI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, uma vez </w:t>
      </w:r>
      <w:r w:rsidR="00D926C0">
        <w:rPr>
          <w:rFonts w:ascii="Verdana" w:hAnsi="Verdana" w:cs="Tahoma"/>
          <w:sz w:val="24"/>
          <w:szCs w:val="24"/>
          <w:lang w:val="pt-BR" w:eastAsia="en-US"/>
        </w:rPr>
        <w:t>regularizad</w:t>
      </w:r>
      <w:r>
        <w:rPr>
          <w:rFonts w:ascii="Verdana" w:hAnsi="Verdana" w:cs="Tahoma"/>
          <w:sz w:val="24"/>
          <w:szCs w:val="24"/>
          <w:lang w:val="pt-BR" w:eastAsia="en-US"/>
        </w:rPr>
        <w:t>o</w:t>
      </w:r>
      <w:r w:rsidR="00BF55B2">
        <w:rPr>
          <w:rFonts w:ascii="Verdana" w:hAnsi="Verdana" w:cs="Tahoma"/>
          <w:sz w:val="24"/>
          <w:szCs w:val="24"/>
          <w:lang w:val="pt-BR" w:eastAsia="en-US"/>
        </w:rPr>
        <w:t>s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os pagamentos d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 xml:space="preserve">os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C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 xml:space="preserve">réditos 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I</w:t>
      </w:r>
      <w:r w:rsidR="00146904" w:rsidRPr="00AF71D4">
        <w:rPr>
          <w:rFonts w:ascii="Verdana" w:hAnsi="Verdana" w:cs="Tahoma"/>
          <w:sz w:val="24"/>
          <w:szCs w:val="24"/>
          <w:lang w:val="pt-BR" w:eastAsia="en-US"/>
        </w:rPr>
        <w:t>mobiliários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 xml:space="preserve"> pela Locatária </w:t>
      </w:r>
      <w:r>
        <w:rPr>
          <w:rFonts w:ascii="Verdana" w:hAnsi="Verdana" w:cs="Tahoma"/>
          <w:sz w:val="24"/>
          <w:szCs w:val="24"/>
          <w:lang w:val="pt-BR" w:eastAsia="en-US"/>
        </w:rPr>
        <w:t>em 23 de dezembro de 2019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 xml:space="preserve">. Os </w:t>
      </w:r>
      <w:r w:rsidR="00365955">
        <w:rPr>
          <w:rFonts w:ascii="Verdana" w:hAnsi="Verdana" w:cs="Tahoma"/>
          <w:sz w:val="24"/>
          <w:szCs w:val="24"/>
          <w:lang w:val="pt-BR" w:eastAsia="en-US"/>
        </w:rPr>
        <w:t xml:space="preserve">valores referentes </w:t>
      </w:r>
      <w:r w:rsidR="00144F3D">
        <w:rPr>
          <w:rFonts w:ascii="Verdana" w:hAnsi="Verdana" w:cs="Tahoma"/>
          <w:sz w:val="24"/>
          <w:szCs w:val="24"/>
          <w:lang w:val="pt-BR" w:eastAsia="en-US"/>
        </w:rPr>
        <w:t xml:space="preserve">aos pagamentos dos 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 xml:space="preserve">eventos de Amortização e Juros Remuneratórios deverão ser 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acrescidos </w:t>
      </w:r>
      <w:r w:rsidR="001669AD">
        <w:rPr>
          <w:rFonts w:ascii="Verdana" w:hAnsi="Verdana" w:cs="Tahoma"/>
          <w:sz w:val="24"/>
          <w:szCs w:val="24"/>
          <w:lang w:val="pt-BR" w:eastAsia="en-US"/>
        </w:rPr>
        <w:t>dos encargos moratórios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 xml:space="preserve">, totalizando, respectivamente, os </w:t>
      </w:r>
      <w:r w:rsidR="00144F3D">
        <w:rPr>
          <w:rFonts w:ascii="Verdana" w:hAnsi="Verdana" w:cs="Tahoma"/>
          <w:sz w:val="24"/>
          <w:szCs w:val="24"/>
          <w:lang w:val="pt-BR" w:eastAsia="en-US"/>
        </w:rPr>
        <w:t xml:space="preserve">montantes 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de R$ [</w:t>
      </w:r>
      <w:r w:rsidR="008247F0" w:rsidRPr="002F3C54">
        <w:rPr>
          <w:rFonts w:ascii="Verdana" w:hAnsi="Verdana" w:cs="Tahoma"/>
          <w:sz w:val="24"/>
          <w:szCs w:val="24"/>
          <w:highlight w:val="yellow"/>
          <w:lang w:val="pt-BR" w:eastAsia="en-US"/>
        </w:rPr>
        <w:t>...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] ([</w:t>
      </w:r>
      <w:r w:rsidR="008247F0" w:rsidRPr="002F3C54">
        <w:rPr>
          <w:rFonts w:ascii="Verdana" w:hAnsi="Verdana" w:cs="Tahoma"/>
          <w:sz w:val="24"/>
          <w:szCs w:val="24"/>
          <w:highlight w:val="yellow"/>
          <w:lang w:val="pt-BR" w:eastAsia="en-US"/>
        </w:rPr>
        <w:t>...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]) e R$ [</w:t>
      </w:r>
      <w:r w:rsidR="008247F0" w:rsidRPr="002F3C54">
        <w:rPr>
          <w:rFonts w:ascii="Verdana" w:hAnsi="Verdana" w:cs="Tahoma"/>
          <w:sz w:val="24"/>
          <w:szCs w:val="24"/>
          <w:highlight w:val="yellow"/>
          <w:lang w:val="pt-BR" w:eastAsia="en-US"/>
        </w:rPr>
        <w:t>...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] ([</w:t>
      </w:r>
      <w:r w:rsidR="008247F0" w:rsidRPr="002F3C54">
        <w:rPr>
          <w:rFonts w:ascii="Verdana" w:hAnsi="Verdana" w:cs="Tahoma"/>
          <w:sz w:val="24"/>
          <w:szCs w:val="24"/>
          <w:highlight w:val="yellow"/>
          <w:lang w:val="pt-BR" w:eastAsia="en-US"/>
        </w:rPr>
        <w:t>...</w:t>
      </w:r>
      <w:r w:rsidR="008247F0">
        <w:rPr>
          <w:rFonts w:ascii="Verdana" w:hAnsi="Verdana" w:cs="Tahoma"/>
          <w:sz w:val="24"/>
          <w:szCs w:val="24"/>
          <w:lang w:val="pt-BR" w:eastAsia="en-US"/>
        </w:rPr>
        <w:t>])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, a serem pagos em </w:t>
      </w:r>
      <w:r w:rsidR="00145796">
        <w:rPr>
          <w:rFonts w:ascii="Verdana" w:hAnsi="Verdana" w:cs="Tahoma"/>
          <w:sz w:val="24"/>
          <w:szCs w:val="24"/>
          <w:lang w:val="pt-BR" w:eastAsia="en-US"/>
        </w:rPr>
        <w:t>11</w:t>
      </w:r>
      <w:r w:rsidR="00ED5933">
        <w:rPr>
          <w:rFonts w:ascii="Verdana" w:hAnsi="Verdana" w:cs="Tahoma"/>
          <w:sz w:val="24"/>
          <w:szCs w:val="24"/>
          <w:lang w:val="pt-BR" w:eastAsia="en-US"/>
        </w:rPr>
        <w:t xml:space="preserve"> de janeiro de 2020.</w:t>
      </w:r>
    </w:p>
    <w:p w14:paraId="567C9D4A" w14:textId="77777777" w:rsidR="00455CAE" w:rsidRDefault="00455CAE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0AC98A9" w14:textId="3073AA07" w:rsidR="005B7C0E" w:rsidRDefault="00740A2D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>
        <w:rPr>
          <w:rFonts w:ascii="Verdana" w:hAnsi="Verdana" w:cs="Tahoma"/>
          <w:sz w:val="24"/>
          <w:szCs w:val="24"/>
          <w:lang w:val="pt-BR" w:eastAsia="en-US"/>
        </w:rPr>
        <w:t>Os Titulares de CRI ressaltam que a deliberação acima não implica na sustação dos efeitos do Vencimento Antecipado da Emissão declarado em 1</w:t>
      </w:r>
      <w:r w:rsidR="00455CAE">
        <w:rPr>
          <w:rFonts w:ascii="Verdana" w:hAnsi="Verdana" w:cs="Tahoma"/>
          <w:sz w:val="24"/>
          <w:szCs w:val="24"/>
          <w:lang w:val="pt-BR" w:eastAsia="en-US"/>
        </w:rPr>
        <w:t>8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 de novembro de 2019 pela </w:t>
      </w:r>
      <w:r w:rsidR="00455CAE" w:rsidRPr="00AF71D4">
        <w:rPr>
          <w:rFonts w:ascii="Verdana" w:hAnsi="Verdana" w:cs="Tahoma"/>
          <w:sz w:val="24"/>
          <w:szCs w:val="24"/>
          <w:lang w:val="pt-BR"/>
        </w:rPr>
        <w:t>TRX SECURITIZADORA</w:t>
      </w:r>
      <w:r>
        <w:rPr>
          <w:rFonts w:ascii="Verdana" w:hAnsi="Verdana" w:cs="Tahoma"/>
          <w:sz w:val="24"/>
          <w:szCs w:val="24"/>
          <w:lang w:val="pt-BR" w:eastAsia="en-US"/>
        </w:rPr>
        <w:t xml:space="preserve">. Os efeitos do Vencimento Antecipado da Emissão serão devidamente abordados e deliberados, oportunamente, em sede de </w:t>
      </w:r>
      <w:r w:rsidR="00455CAE">
        <w:rPr>
          <w:rFonts w:ascii="Verdana" w:hAnsi="Verdana" w:cs="Tahoma"/>
          <w:sz w:val="24"/>
          <w:szCs w:val="24"/>
          <w:lang w:val="pt-BR" w:eastAsia="en-US"/>
        </w:rPr>
        <w:t>assembleia geral de Titulares dos CRI</w:t>
      </w:r>
      <w:r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38696024" w14:textId="47629DD5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AF71D4">
        <w:rPr>
          <w:rFonts w:ascii="Verdana" w:hAnsi="Verdana" w:cs="Tahoma"/>
          <w:sz w:val="24"/>
          <w:szCs w:val="24"/>
          <w:lang w:val="pt-BR" w:eastAsia="en-US"/>
        </w:rPr>
        <w:t xml:space="preserve">Titulares de CRI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AF71D4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TRX </w:t>
      </w:r>
      <w:r w:rsidR="00A77CCD" w:rsidRPr="00AF71D4">
        <w:rPr>
          <w:rFonts w:ascii="Verdana" w:hAnsi="Verdana" w:cs="Tahoma"/>
          <w:sz w:val="24"/>
          <w:szCs w:val="24"/>
          <w:lang w:val="pt-BR"/>
        </w:rPr>
        <w:t xml:space="preserve">SECURITIZADORA 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>S.A</w:t>
      </w:r>
      <w:r w:rsidR="00B213C7" w:rsidRPr="00AF71D4">
        <w:rPr>
          <w:rFonts w:ascii="Verdana" w:hAnsi="Verdana" w:cs="Tahoma"/>
          <w:sz w:val="24"/>
          <w:szCs w:val="24"/>
          <w:lang w:val="pt-BR"/>
        </w:rPr>
        <w:t>.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>
        <w:rPr>
          <w:rFonts w:ascii="Verdana" w:hAnsi="Verdana" w:cs="Tahoma"/>
          <w:sz w:val="24"/>
          <w:szCs w:val="24"/>
          <w:lang w:val="pt-BR"/>
        </w:rPr>
        <w:t>a</w:t>
      </w:r>
      <w:r w:rsidR="00DB70BE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AF71D4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Pr="00AF71D4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AF71D4" w:rsidRDefault="00DB70BE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Default="00DB70BE" w:rsidP="00DB70BE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AF71D4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AF71D4" w:rsidRDefault="00146904" w:rsidP="00DB70BE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604E9007" w:rsidR="000F187F" w:rsidRPr="00AF71D4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sz w:val="24"/>
          <w:szCs w:val="24"/>
          <w:lang w:val="pt-BR"/>
        </w:rPr>
      </w:pPr>
      <w:r w:rsidRPr="00AF71D4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Nada mais a ser deliberado, a </w:t>
      </w:r>
      <w:r w:rsidR="00455CAE">
        <w:rPr>
          <w:rFonts w:ascii="Verdana" w:hAnsi="Verdana" w:cs="Tahoma"/>
          <w:sz w:val="24"/>
          <w:szCs w:val="24"/>
          <w:lang w:val="pt-BR"/>
        </w:rPr>
        <w:t>reunião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teve seu encerramento</w:t>
      </w:r>
      <w:r w:rsidR="00CC024B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AF71D4">
        <w:rPr>
          <w:rFonts w:ascii="Verdana" w:hAnsi="Verdana" w:cs="Tahoma"/>
          <w:sz w:val="24"/>
          <w:szCs w:val="24"/>
          <w:lang w:val="pt-BR"/>
        </w:rPr>
        <w:t>tendo sido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AF71D4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AF71D4">
        <w:rPr>
          <w:rFonts w:ascii="Verdana" w:hAnsi="Verdana" w:cs="Tahoma"/>
          <w:sz w:val="24"/>
          <w:szCs w:val="24"/>
          <w:lang w:val="pt-BR"/>
        </w:rPr>
        <w:t>assinada por</w:t>
      </w:r>
      <w:r w:rsidRPr="00AF71D4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Default="000F187F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Default="00EC06ED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1A0AD5B" w:rsidR="00B213C7" w:rsidRDefault="00567A46" w:rsidP="00AF71D4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455CAE">
        <w:rPr>
          <w:rFonts w:ascii="Verdana" w:hAnsi="Verdana" w:cs="Tahoma"/>
          <w:color w:val="000000"/>
          <w:sz w:val="24"/>
          <w:szCs w:val="24"/>
          <w:lang w:val="pt-BR"/>
        </w:rPr>
        <w:t>09</w:t>
      </w: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DC1C64">
        <w:rPr>
          <w:rFonts w:ascii="Verdana" w:hAnsi="Verdana" w:cs="Tahoma"/>
          <w:color w:val="000000"/>
          <w:sz w:val="24"/>
          <w:szCs w:val="24"/>
          <w:lang w:val="pt-BR"/>
        </w:rPr>
        <w:t>janeiro</w:t>
      </w:r>
      <w:r w:rsidRPr="00EC06ED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455CAE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EC06ED" w:rsidRDefault="00EC06ED" w:rsidP="00AF71D4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EC06ED" w:rsidRDefault="00B213C7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Default="00B213C7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5B16DA" w14:paraId="522288AC" w14:textId="77777777" w:rsidTr="00725019">
        <w:tc>
          <w:tcPr>
            <w:tcW w:w="4927" w:type="dxa"/>
          </w:tcPr>
          <w:p w14:paraId="2DA9A5F4" w14:textId="77777777" w:rsidR="00567A46" w:rsidRPr="00266958" w:rsidRDefault="00567A46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349EDF24" w:rsidR="00EC06ED" w:rsidRPr="00266958" w:rsidRDefault="00455CAE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sz w:val="24"/>
                <w:szCs w:val="24"/>
                <w:lang w:val="pt-BR" w:eastAsia="en-US"/>
              </w:rPr>
              <w:t>Marcelo Almeida de Souza</w:t>
            </w:r>
            <w:r w:rsidR="00567A46" w:rsidRPr="00266958">
              <w:rPr>
                <w:rFonts w:ascii="Verdana" w:hAnsi="Verdana" w:cs="Tahoma"/>
                <w:sz w:val="24"/>
                <w:szCs w:val="24"/>
                <w:lang w:val="pt-BR"/>
              </w:rPr>
              <w:t xml:space="preserve"> </w:t>
            </w:r>
          </w:p>
          <w:p w14:paraId="6050423A" w14:textId="3361D9AA" w:rsidR="00567A46" w:rsidRPr="00266958" w:rsidRDefault="00567A46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266958" w:rsidRDefault="00567A46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73357370" w:rsidR="00EC06ED" w:rsidRPr="00266958" w:rsidRDefault="003B5715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 w:rsidRPr="00266958">
              <w:rPr>
                <w:rFonts w:ascii="Verdana" w:hAnsi="Verdana" w:cs="Tahoma"/>
                <w:sz w:val="24"/>
                <w:szCs w:val="24"/>
                <w:lang w:val="pt-BR" w:eastAsia="en-US"/>
              </w:rPr>
              <w:t>Carlos Alberto Bacha</w:t>
            </w:r>
          </w:p>
          <w:p w14:paraId="4589CA4B" w14:textId="197E360A" w:rsidR="00567A46" w:rsidRPr="00EC06ED" w:rsidRDefault="00567A46" w:rsidP="00725019">
            <w:pPr>
              <w:spacing w:line="320" w:lineRule="exact"/>
              <w:ind w:left="-284" w:right="-284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26695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Default="00B213C7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EC06ED" w:rsidRDefault="00B213C7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Default="008247F0">
      <w:pPr>
        <w:rPr>
          <w:rFonts w:ascii="Verdana" w:hAnsi="Verdana" w:cs="Tahoma"/>
          <w:i/>
          <w:color w:val="000000"/>
          <w:sz w:val="18"/>
          <w:szCs w:val="18"/>
          <w:lang w:val="pt-BR"/>
        </w:rPr>
      </w:pPr>
      <w:r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4CFEDEBB" w14:textId="57B79DC3" w:rsidR="00B213C7" w:rsidRPr="00A77CCD" w:rsidRDefault="00B213C7" w:rsidP="00B213C7">
      <w:pPr>
        <w:spacing w:line="320" w:lineRule="exact"/>
        <w:ind w:left="-284" w:right="-284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</w:t>
      </w:r>
      <w:r w:rsidR="00455CAE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Reunião 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dos Titulares de Certificados de Recebíveis Imobiliários da 8ª Série da 1ª Emissão da TRX SECURITIZADORA S.A., Realizada no dia </w:t>
      </w:r>
      <w:r w:rsidR="00455CAE">
        <w:rPr>
          <w:rFonts w:ascii="Verdana" w:hAnsi="Verdana" w:cs="Tahoma"/>
          <w:i/>
          <w:color w:val="000000"/>
          <w:sz w:val="18"/>
          <w:szCs w:val="18"/>
          <w:lang w:val="pt-BR"/>
        </w:rPr>
        <w:t>09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DC1C64">
        <w:rPr>
          <w:rFonts w:ascii="Verdana" w:hAnsi="Verdana" w:cs="Tahoma"/>
          <w:i/>
          <w:color w:val="000000"/>
          <w:sz w:val="18"/>
          <w:szCs w:val="18"/>
          <w:lang w:val="pt-BR"/>
        </w:rPr>
        <w:t>janeiro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20</w:t>
      </w:r>
      <w:r w:rsidR="00455CAE">
        <w:rPr>
          <w:rFonts w:ascii="Verdana" w:hAnsi="Verdana" w:cs="Tahoma"/>
          <w:i/>
          <w:color w:val="000000"/>
          <w:sz w:val="18"/>
          <w:szCs w:val="18"/>
          <w:lang w:val="pt-BR"/>
        </w:rPr>
        <w:t>20</w:t>
      </w:r>
      <w:r w:rsidRPr="00A77CCD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5B16DA" w:rsidRDefault="00B213C7" w:rsidP="005B16DA">
      <w:pPr>
        <w:spacing w:line="320" w:lineRule="exact"/>
        <w:ind w:left="-284" w:right="-284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Default="000F187F" w:rsidP="005B16DA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5B16DA" w:rsidRDefault="00B213C7" w:rsidP="005B16DA">
      <w:pPr>
        <w:spacing w:line="320" w:lineRule="exact"/>
        <w:ind w:left="-284" w:right="-284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Default="000F187F" w:rsidP="005B16DA">
      <w:pPr>
        <w:spacing w:line="320" w:lineRule="exact"/>
        <w:ind w:left="-284" w:right="-284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5B16DA" w:rsidRDefault="00B213C7" w:rsidP="005B16DA">
      <w:pPr>
        <w:spacing w:line="320" w:lineRule="exact"/>
        <w:ind w:left="-284" w:right="-284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5B16DA" w:rsidRDefault="00552801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5B16DA" w:rsidRDefault="00DB70BE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5B16DA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Default="00B213C7" w:rsidP="005B16DA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  <w:r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Default="00B213C7" w:rsidP="005B16DA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5185494D" w:rsidR="00B213C7" w:rsidRDefault="00B213C7" w:rsidP="005B16DA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5B16DA" w:rsidRDefault="00567A46" w:rsidP="005B16DA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5B16DA" w:rsidRDefault="00DB70BE" w:rsidP="00DB70BE">
      <w:pPr>
        <w:spacing w:line="320" w:lineRule="exact"/>
        <w:ind w:left="-284" w:right="-284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Default="00DB70BE" w:rsidP="00DB70BE">
      <w:pPr>
        <w:spacing w:line="320" w:lineRule="exact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14CE44DC" w14:textId="3A4AF3E9" w:rsidR="00B213C7" w:rsidRDefault="00B213C7" w:rsidP="00DB70BE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  <w:r w:rsidRPr="00B213C7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Default="00B213C7" w:rsidP="00DB70BE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DB70BE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DB70BE">
      <w:pPr>
        <w:spacing w:line="320" w:lineRule="exact"/>
        <w:ind w:left="-284" w:right="-284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>
      <w:pPr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2ED8D495" w14:textId="0CEE02AD" w:rsidR="003210AF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Reunião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</w:p>
    <w:p w14:paraId="0FBD47ED" w14:textId="678C5C11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>a T</w:t>
      </w:r>
      <w:r w:rsidR="003210AF">
        <w:rPr>
          <w:rFonts w:ascii="Verdana" w:hAnsi="Verdana" w:cs="Tahoma"/>
          <w:b/>
          <w:sz w:val="19"/>
          <w:szCs w:val="19"/>
          <w:lang w:val="pt-BR"/>
        </w:rPr>
        <w:t>RX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09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</w:t>
      </w:r>
      <w:r w:rsidR="00DC1C64">
        <w:rPr>
          <w:rFonts w:ascii="Verdana" w:hAnsi="Verdana" w:cs="Tahoma"/>
          <w:b/>
          <w:sz w:val="19"/>
          <w:szCs w:val="19"/>
          <w:lang w:val="pt-BR"/>
        </w:rPr>
        <w:t>janeiro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20</w:t>
      </w:r>
      <w:r w:rsidR="00455CAE">
        <w:rPr>
          <w:rFonts w:ascii="Verdana" w:hAnsi="Verdana" w:cs="Tahoma"/>
          <w:b/>
          <w:sz w:val="19"/>
          <w:szCs w:val="19"/>
          <w:lang w:val="pt-BR"/>
        </w:rPr>
        <w:t>20</w:t>
      </w:r>
    </w:p>
    <w:p w14:paraId="2DDE7431" w14:textId="52077B0C" w:rsidR="001E08C8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04086131" w14:textId="77777777" w:rsidR="00266958" w:rsidRPr="001669AD" w:rsidRDefault="0026695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983"/>
        <w:gridCol w:w="1467"/>
        <w:gridCol w:w="154"/>
        <w:gridCol w:w="1784"/>
      </w:tblGrid>
      <w:tr w:rsidR="001E08C8" w:rsidRPr="00765D06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823F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0EB4DCF5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0CCA7F" w14:textId="50854282" w:rsidR="009039C3" w:rsidRDefault="009039C3" w:rsidP="009039C3">
      <w:pPr>
        <w:rPr>
          <w:sz w:val="16"/>
          <w:szCs w:val="16"/>
        </w:rPr>
      </w:pPr>
    </w:p>
    <w:p w14:paraId="2355476D" w14:textId="77777777" w:rsidR="00266958" w:rsidRPr="00C91F88" w:rsidRDefault="00266958" w:rsidP="009039C3">
      <w:pPr>
        <w:rPr>
          <w:sz w:val="16"/>
          <w:szCs w:val="16"/>
        </w:rPr>
      </w:pPr>
      <w:bookmarkStart w:id="2" w:name="_GoBack"/>
      <w:bookmarkEnd w:id="2"/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630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1021"/>
        <w:gridCol w:w="2041"/>
        <w:gridCol w:w="506"/>
      </w:tblGrid>
      <w:tr w:rsidR="009039C3" w:rsidRPr="00CE77FA" w14:paraId="3FF673C2" w14:textId="77777777" w:rsidTr="001E08C8">
        <w:tc>
          <w:tcPr>
            <w:tcW w:w="33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95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0E7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1012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04A1BE3" w14:textId="77777777" w:rsidTr="001E08C8">
        <w:trPr>
          <w:gridAfter w:val="1"/>
          <w:wAfter w:w="233" w:type="pct"/>
        </w:trPr>
        <w:tc>
          <w:tcPr>
            <w:tcW w:w="33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39E8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6BFE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90D5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5C440941" w14:textId="77777777" w:rsidTr="001E08C8">
        <w:trPr>
          <w:gridAfter w:val="1"/>
          <w:wAfter w:w="233" w:type="pct"/>
        </w:trPr>
        <w:tc>
          <w:tcPr>
            <w:tcW w:w="3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AB8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 LEONIDAS MAZZOCCHI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E1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55631.20-4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7BD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208.045.470-68</w:t>
            </w:r>
          </w:p>
        </w:tc>
      </w:tr>
      <w:tr w:rsidR="009039C3" w:rsidRPr="00CE77FA" w14:paraId="07C35D18" w14:textId="77777777" w:rsidTr="001E08C8">
        <w:trPr>
          <w:gridAfter w:val="1"/>
          <w:wAfter w:w="233" w:type="pct"/>
        </w:trPr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3FC8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PAULO OTAVIO VIZOTTO GOMES</w:t>
            </w:r>
          </w:p>
          <w:p w14:paraId="349B687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FLAVIO GOMES</w:t>
            </w:r>
          </w:p>
          <w:p w14:paraId="49035128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LEONARDO KOSSOY</w:t>
            </w:r>
          </w:p>
          <w:p w14:paraId="1F4D40A7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FILIPE VIZOTTO GOMES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60754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55631.20-4</w:t>
            </w:r>
          </w:p>
          <w:p w14:paraId="6F441859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55631.20-4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55631.20-4</w:t>
            </w:r>
          </w:p>
          <w:p w14:paraId="226711D5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55631.20-4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3E9D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311.635.078-73</w:t>
            </w:r>
          </w:p>
          <w:p w14:paraId="67CE2E7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706.412.188-34</w:t>
            </w:r>
          </w:p>
          <w:p w14:paraId="6BDABF16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308.012.738-20</w:t>
            </w:r>
          </w:p>
          <w:p w14:paraId="41E19FF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310.899.728-90</w:t>
            </w:r>
          </w:p>
        </w:tc>
      </w:tr>
      <w:tr w:rsidR="009039C3" w:rsidRPr="00CE77FA" w14:paraId="74DBB027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FC891" w14:textId="77777777" w:rsidR="009039C3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D70D53" w14:textId="01AAB3C9" w:rsidR="003210AF" w:rsidRPr="00CE77FA" w:rsidRDefault="003210AF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1E6B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6ACB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2F5E1888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CE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B6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12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1326AEA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84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81D" w14:textId="4B8D623E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3B3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765D06" w14:paraId="0C2E4BCF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412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RELIANCE ASSET MANAGEMENT ADMINISTRAÇÃO DE RECURSOS LTDA.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BDE7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D7F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26414C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04A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AA6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E2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1738FC2" w14:textId="77777777" w:rsidTr="001E08C8">
        <w:tc>
          <w:tcPr>
            <w:tcW w:w="3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D5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5A6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19E7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p w14:paraId="574B820B" w14:textId="77777777" w:rsidR="009039C3" w:rsidRPr="001669AD" w:rsidRDefault="009039C3" w:rsidP="009039C3"/>
    <w:p w14:paraId="06C8CA8C" w14:textId="77777777" w:rsidR="009039C3" w:rsidRPr="001669AD" w:rsidRDefault="009039C3" w:rsidP="009039C3"/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2"/>
        <w:gridCol w:w="1071"/>
        <w:gridCol w:w="1704"/>
      </w:tblGrid>
      <w:tr w:rsidR="009039C3" w:rsidRPr="00CE77FA" w14:paraId="68D4BBB1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4B09757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B2F39" w14:textId="4F6013C5" w:rsidR="003210AF" w:rsidRPr="001669AD" w:rsidRDefault="003210AF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899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C85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05CC5A2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7234" w14:textId="77777777" w:rsidR="009039C3" w:rsidRPr="001669A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BED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E10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5894A22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A83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87D" w14:textId="09FECA0E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664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765D06" w14:paraId="2FA4EBD7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AC9" w14:textId="0D45B49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  <w:r w:rsidR="009039C3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06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2F8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4310EE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656" w14:textId="5F5AF111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C4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D0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494C1B9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9D89E0F" w14:textId="1A8E27B6" w:rsidR="009039C3" w:rsidRPr="00EC06ED" w:rsidRDefault="009039C3" w:rsidP="009039C3">
      <w:pPr>
        <w:rPr>
          <w:sz w:val="16"/>
          <w:szCs w:val="16"/>
        </w:rPr>
      </w:pPr>
    </w:p>
    <w:p w14:paraId="5A9627AA" w14:textId="346F2EA8" w:rsidR="00EC06ED" w:rsidRDefault="00EC06ED" w:rsidP="009039C3">
      <w:pPr>
        <w:rPr>
          <w:sz w:val="16"/>
          <w:szCs w:val="16"/>
        </w:rPr>
      </w:pPr>
    </w:p>
    <w:p w14:paraId="285DB3BB" w14:textId="77777777" w:rsidR="003210AF" w:rsidRPr="00EC06ED" w:rsidRDefault="003210AF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2"/>
        <w:gridCol w:w="1071"/>
        <w:gridCol w:w="1704"/>
      </w:tblGrid>
      <w:tr w:rsidR="009039C3" w:rsidRPr="00EC06ED" w14:paraId="1653C7B8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AD13" w14:textId="77777777" w:rsidR="009039C3" w:rsidRPr="00EC06ED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5CB0" w14:textId="77777777" w:rsidR="009039C3" w:rsidRPr="00EC06ED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9AEA" w14:textId="77777777" w:rsidR="009039C3" w:rsidRPr="00EC06ED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B19ACCE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A6FA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F8316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4BAA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733B9DE8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192DD6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5C491" w14:textId="0B468157" w:rsidR="00EC06ED" w:rsidRPr="00EC06ED" w:rsidRDefault="00EC06ED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CF1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036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65763AEE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3A31A7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4D7" w14:textId="77777777" w:rsidR="009039C3" w:rsidRPr="00EC06ED" w:rsidRDefault="009039C3" w:rsidP="00DE3362">
            <w:pPr>
              <w:rPr>
                <w:rFonts w:ascii="Calibri" w:hAnsi="Calibri"/>
                <w:color w:val="000000"/>
              </w:rPr>
            </w:pPr>
            <w:r w:rsidRPr="00EC06ED">
              <w:rPr>
                <w:rFonts w:ascii="Calibri" w:hAnsi="Calibri"/>
                <w:color w:val="000000"/>
              </w:rPr>
              <w:t>__________________________________________________________________________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808E" w14:textId="0E9A3349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A71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765D06" w14:paraId="2C08AFF4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344B" w14:textId="3AAEAC0E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19E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B7A9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7F4C72AF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EA25" w14:textId="7CD2BB9F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8AB8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A9A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3B1044D" w14:textId="2C0A07DD" w:rsidR="003210AF" w:rsidRDefault="003210AF" w:rsidP="009039C3">
      <w:pPr>
        <w:rPr>
          <w:sz w:val="16"/>
          <w:szCs w:val="16"/>
        </w:rPr>
      </w:pPr>
    </w:p>
    <w:p w14:paraId="17DC836D" w14:textId="77777777" w:rsidR="003210AF" w:rsidRPr="00EC06ED" w:rsidRDefault="003210AF" w:rsidP="009039C3">
      <w:pPr>
        <w:rPr>
          <w:sz w:val="16"/>
          <w:szCs w:val="16"/>
        </w:rPr>
      </w:pPr>
    </w:p>
    <w:p w14:paraId="2BA9577D" w14:textId="77777777" w:rsidR="00EC06ED" w:rsidRPr="00EC06ED" w:rsidRDefault="00EC06ED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1"/>
        <w:gridCol w:w="1022"/>
        <w:gridCol w:w="1654"/>
      </w:tblGrid>
      <w:tr w:rsidR="009039C3" w:rsidRPr="00CE77FA" w14:paraId="7181C4D2" w14:textId="77777777" w:rsidTr="00206884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E67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929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36E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56CFAAC3" w14:textId="77777777" w:rsidTr="00206884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89F8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E5F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3275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7E9F2A8E" w14:textId="77777777" w:rsidTr="00206884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DANIELA MARIA SCHINCARIOL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06884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075DC" w14:textId="6598660E" w:rsidR="00EC06ED" w:rsidRPr="001669AD" w:rsidRDefault="00EC06ED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06884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4CAE33D6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765D06" w14:paraId="08B6D658" w14:textId="77777777" w:rsidTr="00206884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06884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B39761D" w14:textId="667524FA" w:rsidR="001669AD" w:rsidRDefault="001669AD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37188122" w14:textId="421EC7EC" w:rsidR="001669AD" w:rsidRDefault="001669AD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sectPr w:rsidR="001669AD" w:rsidSect="005B16DA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1644" w:footer="680" w:gutter="0"/>
      <w:paperSrc w:first="1" w:other="1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4773" w14:textId="77777777" w:rsidR="009D31A4" w:rsidRDefault="009D31A4">
      <w:r>
        <w:separator/>
      </w:r>
    </w:p>
  </w:endnote>
  <w:endnote w:type="continuationSeparator" w:id="0">
    <w:p w14:paraId="3B9746F7" w14:textId="77777777" w:rsidR="009D31A4" w:rsidRDefault="009D31A4">
      <w:r>
        <w:continuationSeparator/>
      </w:r>
    </w:p>
  </w:endnote>
  <w:endnote w:type="continuationNotice" w:id="1">
    <w:p w14:paraId="13572AAD" w14:textId="77777777" w:rsidR="009D31A4" w:rsidRDefault="009D3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98D8" w14:textId="77777777" w:rsidR="009D31A4" w:rsidRDefault="009D31A4">
      <w:r>
        <w:separator/>
      </w:r>
    </w:p>
  </w:footnote>
  <w:footnote w:type="continuationSeparator" w:id="0">
    <w:p w14:paraId="676F1F4C" w14:textId="77777777" w:rsidR="009D31A4" w:rsidRDefault="009D31A4">
      <w:r>
        <w:continuationSeparator/>
      </w:r>
    </w:p>
  </w:footnote>
  <w:footnote w:type="continuationNotice" w:id="1">
    <w:p w14:paraId="6EF6D81C" w14:textId="77777777" w:rsidR="009D31A4" w:rsidRDefault="009D3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2"/>
  </w:num>
  <w:num w:numId="5">
    <w:abstractNumId w:val="26"/>
  </w:num>
  <w:num w:numId="6">
    <w:abstractNumId w:val="25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21"/>
  </w:num>
  <w:num w:numId="14">
    <w:abstractNumId w:val="5"/>
  </w:num>
  <w:num w:numId="15">
    <w:abstractNumId w:val="23"/>
  </w:num>
  <w:num w:numId="16">
    <w:abstractNumId w:val="6"/>
  </w:num>
  <w:num w:numId="17">
    <w:abstractNumId w:val="22"/>
  </w:num>
  <w:num w:numId="18">
    <w:abstractNumId w:val="9"/>
  </w:num>
  <w:num w:numId="19">
    <w:abstractNumId w:val="20"/>
  </w:num>
  <w:num w:numId="20">
    <w:abstractNumId w:val="15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19"/>
  </w:num>
  <w:num w:numId="26">
    <w:abstractNumId w:val="3"/>
  </w:num>
  <w:num w:numId="27">
    <w:abstractNumId w:val="7"/>
  </w:num>
  <w:num w:numId="28">
    <w:abstractNumId w:val="27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4C52"/>
    <w:rsid w:val="00023BAE"/>
    <w:rsid w:val="0002660D"/>
    <w:rsid w:val="000275A8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A0D21"/>
    <w:rsid w:val="000A6EDD"/>
    <w:rsid w:val="000B6606"/>
    <w:rsid w:val="000C3CA5"/>
    <w:rsid w:val="000C552D"/>
    <w:rsid w:val="000E5191"/>
    <w:rsid w:val="000F0082"/>
    <w:rsid w:val="000F187F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5796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4D5E"/>
    <w:rsid w:val="0019632D"/>
    <w:rsid w:val="00196D5F"/>
    <w:rsid w:val="00196E1E"/>
    <w:rsid w:val="001A0072"/>
    <w:rsid w:val="001A139F"/>
    <w:rsid w:val="001A3D1B"/>
    <w:rsid w:val="001A461A"/>
    <w:rsid w:val="001B05DA"/>
    <w:rsid w:val="001B0FE2"/>
    <w:rsid w:val="001B6422"/>
    <w:rsid w:val="001B7314"/>
    <w:rsid w:val="001C3938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4603"/>
    <w:rsid w:val="00224871"/>
    <w:rsid w:val="0022599E"/>
    <w:rsid w:val="0023524E"/>
    <w:rsid w:val="00236857"/>
    <w:rsid w:val="002602B4"/>
    <w:rsid w:val="002666D8"/>
    <w:rsid w:val="0026695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54A0"/>
    <w:rsid w:val="0031388A"/>
    <w:rsid w:val="003210AF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55CAE"/>
    <w:rsid w:val="00460E15"/>
    <w:rsid w:val="004672AE"/>
    <w:rsid w:val="00467618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C098B"/>
    <w:rsid w:val="006C3975"/>
    <w:rsid w:val="006D45B2"/>
    <w:rsid w:val="006D6D58"/>
    <w:rsid w:val="006E0954"/>
    <w:rsid w:val="006E5142"/>
    <w:rsid w:val="006E61B5"/>
    <w:rsid w:val="006E73B7"/>
    <w:rsid w:val="006F7C0D"/>
    <w:rsid w:val="00705BEF"/>
    <w:rsid w:val="00717FD4"/>
    <w:rsid w:val="007225E8"/>
    <w:rsid w:val="007314DB"/>
    <w:rsid w:val="00740A2D"/>
    <w:rsid w:val="0075049A"/>
    <w:rsid w:val="0075292A"/>
    <w:rsid w:val="00765D06"/>
    <w:rsid w:val="00765FA6"/>
    <w:rsid w:val="00766455"/>
    <w:rsid w:val="007736D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31E97"/>
    <w:rsid w:val="008537C5"/>
    <w:rsid w:val="00855722"/>
    <w:rsid w:val="00865E12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D31A4"/>
    <w:rsid w:val="009D460E"/>
    <w:rsid w:val="009E2691"/>
    <w:rsid w:val="009E2C87"/>
    <w:rsid w:val="009F6F61"/>
    <w:rsid w:val="00A0126A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92150"/>
    <w:rsid w:val="00A97530"/>
    <w:rsid w:val="00AA3B1F"/>
    <w:rsid w:val="00AA5D66"/>
    <w:rsid w:val="00AB00A1"/>
    <w:rsid w:val="00AB031D"/>
    <w:rsid w:val="00AB4C67"/>
    <w:rsid w:val="00AB5DD5"/>
    <w:rsid w:val="00AC6BDE"/>
    <w:rsid w:val="00AD663C"/>
    <w:rsid w:val="00AE3743"/>
    <w:rsid w:val="00AF2A08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A0FF9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imples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60CD-8CB2-4A24-AAC0-8E5B9062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4354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2015-03-13T19:11:00Z</cp:lastPrinted>
  <dcterms:created xsi:type="dcterms:W3CDTF">2020-01-09T16:03:00Z</dcterms:created>
  <dcterms:modified xsi:type="dcterms:W3CDTF">2020-01-09T16:03:00Z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