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6E98F814"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 xml:space="preserve">desde </w:t>
      </w:r>
      <w:r w:rsidR="004D0A0F">
        <w:rPr>
          <w:rFonts w:asciiTheme="minorHAnsi" w:hAnsiTheme="minorHAnsi" w:cstheme="minorHAnsi"/>
          <w:sz w:val="22"/>
          <w:szCs w:val="22"/>
          <w:lang w:bidi="he-IL"/>
        </w:rPr>
        <w:t>março de 2022</w:t>
      </w:r>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1ECE6F0D"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r w:rsidR="00675759">
        <w:rPr>
          <w:rFonts w:asciiTheme="minorHAnsi" w:hAnsiTheme="minorHAnsi" w:cstheme="minorHAnsi"/>
          <w:sz w:val="22"/>
          <w:szCs w:val="22"/>
          <w:lang w:bidi="he-IL"/>
        </w:rPr>
        <w:t xml:space="preserve"> (inclusive)</w:t>
      </w:r>
      <w:r w:rsidR="000A338A">
        <w:rPr>
          <w:rFonts w:asciiTheme="minorHAnsi" w:hAnsiTheme="minorHAnsi" w:cstheme="minorHAnsi"/>
          <w:sz w:val="22"/>
          <w:szCs w:val="22"/>
          <w:lang w:bidi="he-IL"/>
        </w:rPr>
        <w:t xml:space="preserve"> até </w:t>
      </w:r>
      <w:r w:rsidR="00EA29B7">
        <w:rPr>
          <w:rFonts w:asciiTheme="minorHAnsi" w:hAnsiTheme="minorHAnsi" w:cstheme="minorHAnsi"/>
          <w:sz w:val="22"/>
          <w:szCs w:val="22"/>
          <w:lang w:bidi="he-IL"/>
        </w:rPr>
        <w:t xml:space="preserve">15 </w:t>
      </w:r>
      <w:r w:rsidR="000A338A">
        <w:rPr>
          <w:rFonts w:asciiTheme="minorHAnsi" w:hAnsiTheme="minorHAnsi" w:cstheme="minorHAnsi"/>
          <w:sz w:val="22"/>
          <w:szCs w:val="22"/>
          <w:lang w:bidi="he-IL"/>
        </w:rPr>
        <w:t>de novembro de 2022</w:t>
      </w:r>
      <w:r w:rsidR="00675759">
        <w:rPr>
          <w:rFonts w:asciiTheme="minorHAnsi" w:hAnsiTheme="minorHAnsi" w:cstheme="minorHAnsi"/>
          <w:sz w:val="22"/>
          <w:szCs w:val="22"/>
          <w:lang w:bidi="he-IL"/>
        </w:rPr>
        <w:t xml:space="preserve"> (exclusive)</w:t>
      </w:r>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273414B8"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A0183D">
        <w:rPr>
          <w:rFonts w:asciiTheme="minorHAnsi" w:hAnsiTheme="minorHAnsi" w:cstheme="minorHAnsi"/>
          <w:sz w:val="22"/>
          <w:szCs w:val="22"/>
          <w:lang w:bidi="he-IL"/>
        </w:rPr>
        <w:t>0</w:t>
      </w:r>
      <w:r w:rsidR="009832CC">
        <w:rPr>
          <w:rFonts w:asciiTheme="minorHAnsi" w:hAnsiTheme="minorHAnsi" w:cstheme="minorHAnsi"/>
          <w:sz w:val="22"/>
          <w:szCs w:val="22"/>
          <w:lang w:bidi="he-IL"/>
        </w:rPr>
        <w:t>9</w:t>
      </w:r>
      <w:r w:rsidR="00A0183D">
        <w:rPr>
          <w:rFonts w:asciiTheme="minorHAnsi" w:hAnsiTheme="minorHAnsi" w:cstheme="minorHAnsi"/>
          <w:sz w:val="22"/>
          <w:szCs w:val="22"/>
          <w:lang w:bidi="he-IL"/>
        </w:rPr>
        <w:t xml:space="preserve"> de maio de 2022</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proofErr w:type="gramStart"/>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w:t>
      </w:r>
      <w:proofErr w:type="gramEnd"/>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 xml:space="preserve">Instrumento Particular de Alienação Fiduciária de Quotas e Outras Avenças, </w:t>
      </w:r>
      <w:r w:rsidR="00AF7CAA" w:rsidRPr="000C199E">
        <w:rPr>
          <w:rFonts w:asciiTheme="minorHAnsi" w:hAnsiTheme="minorHAnsi" w:cstheme="minorHAnsi"/>
          <w:sz w:val="22"/>
          <w:szCs w:val="22"/>
        </w:rPr>
        <w:lastRenderedPageBreak/>
        <w:t>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14952B56"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r w:rsidR="00D01F20" w:rsidRPr="00960DCC">
        <w:rPr>
          <w:rFonts w:asciiTheme="minorHAnsi" w:hAnsiTheme="minorHAnsi" w:cstheme="minorHAnsi"/>
          <w:bCs/>
          <w:i/>
          <w:sz w:val="22"/>
          <w:szCs w:val="22"/>
        </w:rPr>
        <w:t>1</w:t>
      </w:r>
      <w:r w:rsidR="003B4BCE">
        <w:rPr>
          <w:rFonts w:asciiTheme="minorHAnsi" w:hAnsiTheme="minorHAnsi" w:cstheme="minorHAnsi"/>
          <w:bCs/>
          <w:i/>
          <w:sz w:val="22"/>
          <w:szCs w:val="22"/>
        </w:rPr>
        <w:t>5</w:t>
      </w:r>
      <w:r w:rsidRPr="00960DCC">
        <w:rPr>
          <w:rFonts w:asciiTheme="minorHAnsi" w:hAnsiTheme="minorHAnsi" w:cstheme="minorHAnsi"/>
          <w:bCs/>
          <w:i/>
          <w:sz w:val="22"/>
          <w:szCs w:val="22"/>
        </w:rPr>
        <w:t>/11/2022</w:t>
      </w:r>
      <w:r w:rsidR="00A633D0">
        <w:rPr>
          <w:rFonts w:asciiTheme="minorHAnsi" w:hAnsiTheme="minorHAnsi" w:cstheme="minorHAnsi"/>
          <w:bCs/>
          <w:i/>
          <w:sz w:val="22"/>
          <w:szCs w:val="22"/>
        </w:rPr>
        <w:t xml:space="preserve"> (exclusive)</w:t>
      </w:r>
      <w:r w:rsidRPr="00960DCC">
        <w:rPr>
          <w:rFonts w:asciiTheme="minorHAnsi" w:hAnsiTheme="minorHAnsi" w:cstheme="minorHAnsi"/>
          <w:bCs/>
          <w:i/>
          <w:sz w:val="22"/>
          <w:szCs w:val="22"/>
        </w:rPr>
        <w:t>,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A partir de 15/11/2022</w:t>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36F7CE12"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A633D0">
        <w:rPr>
          <w:rFonts w:asciiTheme="minorHAnsi" w:hAnsiTheme="minorHAnsi" w:cstheme="minorHAnsi"/>
          <w:bCs/>
          <w:i/>
          <w:sz w:val="22"/>
          <w:szCs w:val="22"/>
        </w:rPr>
        <w:t>0</w:t>
      </w:r>
      <w:r w:rsidR="0037028D">
        <w:rPr>
          <w:rFonts w:asciiTheme="minorHAnsi" w:hAnsiTheme="minorHAnsi" w:cstheme="minorHAnsi"/>
          <w:bCs/>
          <w:i/>
          <w:sz w:val="22"/>
          <w:szCs w:val="22"/>
        </w:rPr>
        <w:t>9</w:t>
      </w:r>
      <w:r w:rsidR="00A633D0">
        <w:rPr>
          <w:rFonts w:asciiTheme="minorHAnsi" w:hAnsiTheme="minorHAnsi" w:cstheme="minorHAnsi"/>
          <w:bCs/>
          <w:i/>
          <w:sz w:val="22"/>
          <w:szCs w:val="22"/>
        </w:rPr>
        <w:t xml:space="preserve"> de maio</w:t>
      </w:r>
      <w:r w:rsidR="00F13E25">
        <w:rPr>
          <w:rFonts w:asciiTheme="minorHAnsi" w:hAnsiTheme="minorHAnsi" w:cstheme="minorHAnsi"/>
          <w:bCs/>
          <w:i/>
          <w:sz w:val="22"/>
          <w:szCs w:val="22"/>
        </w:rPr>
        <w:t xml:space="preserve">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37028D" w:rsidRPr="00753EAC">
        <w:rPr>
          <w:rFonts w:asciiTheme="minorHAnsi" w:hAnsiTheme="minorHAnsi" w:cstheme="minorHAnsi"/>
          <w:i/>
          <w:iCs/>
          <w:sz w:val="22"/>
          <w:szCs w:val="22"/>
          <w:lang w:bidi="he-IL"/>
        </w:rPr>
        <w:t>27.590.133,68 (vinte e sete milhões, quinhentos e noventa mil, cento e trinta e três reais e sessenta e oito centavos</w:t>
      </w:r>
      <w:r w:rsidR="0037028D" w:rsidRPr="00753EAC">
        <w:rPr>
          <w:rFonts w:asciiTheme="minorHAnsi" w:hAnsiTheme="minorHAnsi" w:cstheme="minorHAnsi"/>
          <w:sz w:val="22"/>
          <w:szCs w:val="22"/>
          <w:lang w:bidi="he-IL"/>
        </w:rPr>
        <w:t>)</w:t>
      </w:r>
      <w:r w:rsidR="007F5F42" w:rsidRPr="007F5F42">
        <w:rPr>
          <w:rFonts w:asciiTheme="minorHAnsi" w:hAnsiTheme="minorHAnsi" w:cstheme="minorHAnsi"/>
          <w:bCs/>
          <w:i/>
          <w:iCs/>
          <w:sz w:val="22"/>
          <w:szCs w:val="22"/>
        </w:rPr>
        <w:t xml:space="preserve">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0CF1D280"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0C69FC">
        <w:rPr>
          <w:rFonts w:asciiTheme="minorHAnsi" w:hAnsiTheme="minorHAnsi" w:cstheme="minorHAnsi"/>
          <w:bCs/>
          <w:i/>
          <w:sz w:val="22"/>
          <w:szCs w:val="22"/>
        </w:rPr>
        <w:t>09</w:t>
      </w:r>
      <w:r w:rsidR="008E1413">
        <w:rPr>
          <w:rFonts w:asciiTheme="minorHAnsi" w:hAnsiTheme="minorHAnsi" w:cstheme="minorHAnsi"/>
          <w:bCs/>
          <w:i/>
          <w:sz w:val="22"/>
          <w:szCs w:val="22"/>
        </w:rPr>
        <w:t xml:space="preserve"> de maio</w:t>
      </w:r>
      <w:r w:rsidR="00F13E25">
        <w:rPr>
          <w:rFonts w:asciiTheme="minorHAnsi" w:hAnsiTheme="minorHAnsi" w:cstheme="minorHAnsi"/>
          <w:bCs/>
          <w:i/>
          <w:sz w:val="22"/>
          <w:szCs w:val="22"/>
        </w:rPr>
        <w:t xml:space="preserve">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500236C9"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 xml:space="preserve">Em </w:t>
            </w:r>
            <w:r w:rsidR="00F14ACB">
              <w:rPr>
                <w:rFonts w:asciiTheme="minorHAnsi" w:hAnsiTheme="minorHAnsi" w:cstheme="minorHAnsi"/>
                <w:b/>
                <w:i/>
                <w:iCs/>
                <w:lang w:val="pt-BR"/>
              </w:rPr>
              <w:t>0</w:t>
            </w:r>
            <w:r w:rsidR="00F14ACB">
              <w:rPr>
                <w:rFonts w:asciiTheme="minorHAnsi" w:hAnsiTheme="minorHAnsi" w:cstheme="minorHAnsi"/>
                <w:b/>
                <w:i/>
                <w:iCs/>
                <w:lang w:val="pt-BR"/>
              </w:rPr>
              <w:t>9</w:t>
            </w:r>
            <w:r w:rsidR="00F14ACB">
              <w:rPr>
                <w:rFonts w:asciiTheme="minorHAnsi" w:hAnsiTheme="minorHAnsi" w:cstheme="minorHAnsi"/>
                <w:b/>
                <w:i/>
                <w:iCs/>
                <w:lang w:val="pt-BR"/>
              </w:rPr>
              <w:t xml:space="preserve"> </w:t>
            </w:r>
            <w:r w:rsidR="00286DAD">
              <w:rPr>
                <w:rFonts w:asciiTheme="minorHAnsi" w:hAnsiTheme="minorHAnsi" w:cstheme="minorHAnsi"/>
                <w:b/>
                <w:i/>
                <w:iCs/>
                <w:lang w:val="pt-BR"/>
              </w:rPr>
              <w:t>de maio</w:t>
            </w:r>
            <w:r w:rsidR="00F13E25">
              <w:rPr>
                <w:rFonts w:asciiTheme="minorHAnsi" w:hAnsiTheme="minorHAnsi" w:cstheme="minorHAnsi"/>
                <w:b/>
                <w:i/>
                <w:iCs/>
                <w:lang w:val="pt-BR"/>
              </w:rPr>
              <w:t xml:space="preserve"> de 2022</w:t>
            </w:r>
          </w:p>
        </w:tc>
      </w:tr>
      <w:tr w:rsidR="00C81FC2" w:rsidRPr="00621478" w14:paraId="61BA6E2D" w14:textId="77777777" w:rsidTr="00FE1B13">
        <w:trPr>
          <w:trHeight w:val="474"/>
        </w:trPr>
        <w:tc>
          <w:tcPr>
            <w:tcW w:w="10206" w:type="dxa"/>
            <w:gridSpan w:val="2"/>
          </w:tcPr>
          <w:p w14:paraId="186E7CE7" w14:textId="5CBBA016"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t>R$</w:t>
            </w:r>
            <w:r w:rsidR="00F14ACB" w:rsidRPr="00F26EDB">
              <w:rPr>
                <w:rFonts w:asciiTheme="minorHAnsi" w:hAnsiTheme="minorHAnsi" w:cstheme="minorHAnsi"/>
                <w:i/>
                <w:iCs/>
                <w:lang w:bidi="he-IL"/>
              </w:rPr>
              <w:t>27.590.133,68 (vinte e sete milhões, quinhentos e noventa mil, cento e trinta e três reais e sessenta e oito centavos</w:t>
            </w:r>
            <w:r w:rsidRPr="007F5F42">
              <w:rPr>
                <w:rFonts w:asciiTheme="minorHAnsi" w:hAnsiTheme="minorHAnsi" w:cstheme="minorHAnsi"/>
                <w:bCs/>
                <w:i/>
                <w:iCs/>
              </w:rPr>
              <w:t>)</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5D77366F"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BE7F5A" w:rsidRPr="000C199E">
              <w:rPr>
                <w:rFonts w:asciiTheme="minorHAnsi" w:hAnsiTheme="minorHAnsi" w:cstheme="minorHAnsi"/>
                <w:i/>
                <w:iCs/>
                <w:lang w:bidi="he-IL"/>
              </w:rPr>
              <w:t>1</w:t>
            </w:r>
            <w:r w:rsidR="00BE7F5A">
              <w:rPr>
                <w:rFonts w:asciiTheme="minorHAnsi" w:hAnsiTheme="minorHAnsi" w:cstheme="minorHAnsi"/>
                <w:i/>
                <w:iCs/>
                <w:lang w:bidi="he-IL"/>
              </w:rPr>
              <w:t>5</w:t>
            </w:r>
            <w:r w:rsidR="00BE7F5A" w:rsidRPr="000C199E">
              <w:rPr>
                <w:rFonts w:asciiTheme="minorHAnsi" w:hAnsiTheme="minorHAnsi" w:cstheme="minorHAnsi"/>
                <w:i/>
                <w:iCs/>
                <w:lang w:bidi="he-IL"/>
              </w:rPr>
              <w:t xml:space="preserve"> </w:t>
            </w:r>
            <w:r w:rsidRPr="000C199E">
              <w:rPr>
                <w:rFonts w:asciiTheme="minorHAnsi" w:hAnsiTheme="minorHAnsi" w:cstheme="minorHAnsi"/>
                <w:i/>
                <w:iCs/>
                <w:lang w:bidi="he-IL"/>
              </w:rPr>
              <w:t>de novembro de 2022</w:t>
            </w:r>
            <w:r w:rsidR="00F008B1">
              <w:rPr>
                <w:rFonts w:asciiTheme="minorHAnsi" w:hAnsiTheme="minorHAnsi" w:cstheme="minorHAnsi"/>
                <w:i/>
                <w:iCs/>
                <w:lang w:bidi="he-IL"/>
              </w:rPr>
              <w:t xml:space="preserve"> (</w:t>
            </w:r>
            <w:r w:rsidR="00B666DC">
              <w:rPr>
                <w:rFonts w:asciiTheme="minorHAnsi" w:hAnsiTheme="minorHAnsi" w:cstheme="minorHAnsi"/>
                <w:i/>
                <w:iCs/>
                <w:lang w:bidi="he-IL"/>
              </w:rPr>
              <w:t>ex</w:t>
            </w:r>
            <w:r w:rsidR="00F008B1">
              <w:rPr>
                <w:rFonts w:asciiTheme="minorHAnsi" w:hAnsiTheme="minorHAnsi" w:cstheme="minorHAnsi"/>
                <w:i/>
                <w:iCs/>
                <w:lang w:bidi="he-IL"/>
              </w:rPr>
              <w:t>clusive)</w:t>
            </w:r>
            <w:r w:rsidRPr="000C199E">
              <w:rPr>
                <w:rFonts w:asciiTheme="minorHAnsi" w:hAnsiTheme="minorHAnsi" w:cstheme="minorHAnsi"/>
                <w:i/>
                <w:iCs/>
                <w:lang w:bidi="he-IL"/>
              </w:rPr>
              <w:t xml:space="preserve">, </w:t>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r w:rsidR="00A5321E">
              <w:rPr>
                <w:rFonts w:asciiTheme="minorHAnsi" w:hAnsiTheme="minorHAnsi" w:cstheme="minorHAnsi"/>
                <w:i/>
                <w:iCs/>
                <w:lang w:bidi="he-IL"/>
              </w:rPr>
              <w:t xml:space="preserve"> 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DF0110F"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9125CD">
              <w:rPr>
                <w:rFonts w:asciiTheme="minorHAnsi" w:hAnsiTheme="minorHAnsi" w:cstheme="minorHAnsi"/>
                <w:i/>
                <w:iCs/>
                <w:lang w:val="pt-BR"/>
              </w:rPr>
              <w:t xml:space="preserve"> e pagamento de custos e despesas</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12F9CD8E"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8537CA">
              <w:rPr>
                <w:rFonts w:asciiTheme="minorHAnsi" w:hAnsiTheme="minorHAnsi" w:cstheme="minorHAnsi"/>
                <w:i/>
                <w:iCs/>
                <w:lang w:val="pt-BR"/>
              </w:rPr>
              <w:t xml:space="preserve"> e </w:t>
            </w:r>
            <w:r w:rsidR="00702683">
              <w:rPr>
                <w:rFonts w:asciiTheme="minorHAnsi" w:hAnsiTheme="minorHAnsi" w:cstheme="minorHAnsi"/>
                <w:i/>
                <w:iCs/>
                <w:lang w:val="pt-BR"/>
              </w:rPr>
              <w:t xml:space="preserve">pagamento de </w:t>
            </w:r>
            <w:r w:rsidR="008537CA">
              <w:rPr>
                <w:rFonts w:asciiTheme="minorHAnsi" w:hAnsiTheme="minorHAnsi" w:cstheme="minorHAnsi"/>
                <w:i/>
                <w:iCs/>
                <w:lang w:val="pt-BR"/>
              </w:rPr>
              <w:t>des</w:t>
            </w:r>
            <w:r w:rsidR="00D14514">
              <w:rPr>
                <w:rFonts w:asciiTheme="minorHAnsi" w:hAnsiTheme="minorHAnsi" w:cstheme="minorHAnsi"/>
                <w:i/>
                <w:iCs/>
                <w:lang w:val="pt-BR"/>
              </w:rPr>
              <w:t>pesas</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4" w:name="_bookmark2"/>
      <w:bookmarkEnd w:id="4"/>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6C48E801"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r w:rsidR="00C20239" w:rsidRPr="006D5F8A">
        <w:rPr>
          <w:rFonts w:asciiTheme="minorHAnsi" w:hAnsiTheme="minorHAnsi" w:cstheme="minorHAnsi"/>
          <w:bCs/>
          <w:i/>
          <w:iCs/>
          <w:sz w:val="22"/>
          <w:szCs w:val="22"/>
          <w:lang w:eastAsia="x-none"/>
        </w:rPr>
        <w:t>1</w:t>
      </w:r>
      <w:r w:rsidR="00C20239">
        <w:rPr>
          <w:rFonts w:asciiTheme="minorHAnsi" w:hAnsiTheme="minorHAnsi" w:cstheme="minorHAnsi"/>
          <w:bCs/>
          <w:i/>
          <w:iCs/>
          <w:sz w:val="22"/>
          <w:szCs w:val="22"/>
          <w:lang w:eastAsia="x-none"/>
        </w:rPr>
        <w:t>5</w:t>
      </w:r>
      <w:r w:rsidR="00C20239"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r w:rsidR="00775E47">
        <w:rPr>
          <w:rFonts w:asciiTheme="minorHAnsi" w:hAnsiTheme="minorHAnsi"/>
          <w:i/>
          <w:sz w:val="22"/>
        </w:rPr>
        <w:t xml:space="preserve"> (</w:t>
      </w:r>
      <w:r w:rsidR="009D1311">
        <w:rPr>
          <w:rFonts w:asciiTheme="minorHAnsi" w:hAnsiTheme="minorHAnsi"/>
          <w:i/>
          <w:sz w:val="22"/>
        </w:rPr>
        <w:t>ex</w:t>
      </w:r>
      <w:r w:rsidR="00775E47">
        <w:rPr>
          <w:rFonts w:asciiTheme="minorHAnsi" w:hAnsiTheme="minorHAnsi"/>
          <w:i/>
          <w:sz w:val="22"/>
        </w:rPr>
        <w:t>clusive)</w:t>
      </w:r>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753EAC"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195698E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9D1311" w:rsidRPr="000C199E">
        <w:rPr>
          <w:rFonts w:asciiTheme="minorHAnsi" w:hAnsiTheme="minorHAnsi" w:cstheme="minorHAnsi"/>
          <w:bCs/>
          <w:i/>
          <w:iCs/>
          <w:color w:val="000000"/>
          <w:sz w:val="22"/>
          <w:szCs w:val="22"/>
          <w:lang w:eastAsia="x-none"/>
        </w:rPr>
        <w:t>1</w:t>
      </w:r>
      <w:r w:rsidR="009D1311">
        <w:rPr>
          <w:rFonts w:asciiTheme="minorHAnsi" w:hAnsiTheme="minorHAnsi" w:cstheme="minorHAnsi"/>
          <w:bCs/>
          <w:i/>
          <w:iCs/>
          <w:color w:val="000000"/>
          <w:sz w:val="22"/>
          <w:szCs w:val="22"/>
          <w:lang w:eastAsia="x-none"/>
        </w:rPr>
        <w:t xml:space="preserve">5 </w:t>
      </w:r>
      <w:r w:rsidRPr="000C199E">
        <w:rPr>
          <w:rFonts w:asciiTheme="minorHAnsi" w:hAnsiTheme="minorHAnsi" w:cstheme="minorHAnsi"/>
          <w:bCs/>
          <w:i/>
          <w:iCs/>
          <w:color w:val="000000"/>
          <w:sz w:val="22"/>
          <w:szCs w:val="22"/>
          <w:lang w:eastAsia="x-none"/>
        </w:rPr>
        <w:t>de novembro de 2022</w:t>
      </w:r>
      <w:r w:rsidR="009D1311">
        <w:rPr>
          <w:rFonts w:asciiTheme="minorHAnsi" w:hAnsiTheme="minorHAnsi" w:cstheme="minorHAnsi"/>
          <w:bCs/>
          <w:i/>
          <w:iCs/>
          <w:color w:val="000000"/>
          <w:sz w:val="22"/>
          <w:szCs w:val="22"/>
          <w:lang w:eastAsia="x-none"/>
        </w:rPr>
        <w:t xml:space="preserve"> (exclusive)</w:t>
      </w:r>
      <w:r w:rsidRPr="000C199E">
        <w:rPr>
          <w:rFonts w:asciiTheme="minorHAnsi" w:hAnsiTheme="minorHAnsi" w:cstheme="minorHAnsi"/>
          <w:bCs/>
          <w:i/>
          <w:iCs/>
          <w:color w:val="000000"/>
          <w:sz w:val="22"/>
          <w:szCs w:val="22"/>
          <w:lang w:eastAsia="x-none"/>
        </w:rPr>
        <w:t>,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val="x-none" w:eastAsia="x-none"/>
        </w:rPr>
        <w:lastRenderedPageBreak/>
        <w:t>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28711445"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sidR="005C0D33">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até a Data de Vencimento ou a data de seu efetivo pagamento (“</w:t>
      </w:r>
      <w:r w:rsidRPr="00753EAC">
        <w:rPr>
          <w:rFonts w:asciiTheme="minorHAnsi" w:hAnsiTheme="minorHAnsi" w:cstheme="minorHAnsi"/>
          <w:i/>
          <w:iCs/>
          <w:sz w:val="22"/>
          <w:szCs w:val="22"/>
          <w:u w:val="single"/>
        </w:rPr>
        <w:t>Atualização Monetária</w:t>
      </w:r>
      <w:r w:rsidRPr="00513ED2">
        <w:rPr>
          <w:rFonts w:asciiTheme="minorHAnsi" w:hAnsiTheme="minorHAnsi" w:cstheme="minorHAnsi"/>
          <w:i/>
          <w:iCs/>
          <w:sz w:val="22"/>
          <w:szCs w:val="22"/>
        </w:rPr>
        <w:t xml:space="preserve">”),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44711AF9"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da CCB em </w:t>
      </w:r>
      <w:r w:rsidR="005C0D33">
        <w:rPr>
          <w:rFonts w:asciiTheme="minorHAnsi" w:hAnsiTheme="minorHAnsi" w:cstheme="minorHAnsi"/>
          <w:i/>
          <w:iCs/>
          <w:sz w:val="22"/>
          <w:szCs w:val="22"/>
        </w:rPr>
        <w:t xml:space="preserve">15 </w:t>
      </w:r>
      <w:r w:rsidR="007454CD">
        <w:rPr>
          <w:rFonts w:asciiTheme="minorHAnsi" w:hAnsiTheme="minorHAnsi" w:cstheme="minorHAnsi"/>
          <w:i/>
          <w:iCs/>
          <w:sz w:val="22"/>
          <w:szCs w:val="22"/>
        </w:rPr>
        <w:t>de novembro de 2022</w:t>
      </w:r>
      <w:r w:rsidR="00486E7C" w:rsidRPr="00513ED2">
        <w:rPr>
          <w:rFonts w:asciiTheme="minorHAnsi" w:hAnsiTheme="minorHAnsi" w:cstheme="minorHAnsi"/>
          <w:bCs/>
          <w:i/>
          <w:iCs/>
          <w:sz w:val="22"/>
          <w:szCs w:val="22"/>
        </w:rPr>
        <w:t xml:space="preserve">, informado/calculado com 8 (oito) casas </w:t>
      </w:r>
      <w:r w:rsidR="00486E7C" w:rsidRPr="00513ED2">
        <w:rPr>
          <w:rFonts w:asciiTheme="minorHAnsi" w:hAnsiTheme="minorHAnsi" w:cstheme="minorHAnsi"/>
          <w:bCs/>
          <w:i/>
          <w:iCs/>
          <w:sz w:val="22"/>
          <w:szCs w:val="22"/>
        </w:rPr>
        <w:lastRenderedPageBreak/>
        <w:t>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w:t>
      </w:r>
      <w:r w:rsidRPr="00513ED2">
        <w:rPr>
          <w:rFonts w:asciiTheme="minorHAnsi" w:hAnsiTheme="minorHAnsi" w:cstheme="minorHAnsi"/>
          <w:bCs/>
          <w:i/>
          <w:iCs/>
          <w:sz w:val="22"/>
          <w:szCs w:val="22"/>
        </w:rPr>
        <w:lastRenderedPageBreak/>
        <w:t>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4F83E435" w:rsidR="00486E7C" w:rsidRPr="00513ED2" w:rsidRDefault="00486E7C" w:rsidP="00495744">
      <w:pPr>
        <w:widowControl w:val="0"/>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Para efeito desta Cláusula </w:t>
      </w:r>
      <w:r w:rsidR="007454CD">
        <w:rPr>
          <w:rFonts w:asciiTheme="minorHAnsi" w:hAnsiTheme="minorHAnsi" w:cstheme="minorHAnsi"/>
          <w:i/>
          <w:iCs/>
          <w:sz w:val="22"/>
          <w:szCs w:val="22"/>
        </w:rPr>
        <w:t>1.2.3</w:t>
      </w:r>
      <w:r w:rsidRPr="00513ED2">
        <w:rPr>
          <w:rFonts w:asciiTheme="minorHAnsi" w:hAnsiTheme="minorHAnsi" w:cstheme="minorHAnsi"/>
          <w:i/>
          <w:iCs/>
          <w:sz w:val="22"/>
          <w:szCs w:val="22"/>
        </w:rPr>
        <w:t xml:space="preserve">, e apenas neste caso, os Juros Remuneratórios serão devidos desde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p>
    <w:p w14:paraId="0347564F" w14:textId="77777777" w:rsidR="00486E7C" w:rsidRPr="00513ED2" w:rsidRDefault="00486E7C" w:rsidP="00495744">
      <w:pPr>
        <w:widowControl w:val="0"/>
        <w:spacing w:line="320" w:lineRule="exact"/>
        <w:rPr>
          <w:rFonts w:asciiTheme="minorHAnsi" w:hAnsiTheme="minorHAnsi" w:cstheme="minorHAnsi"/>
          <w:i/>
          <w:iCs/>
          <w:noProof/>
          <w:sz w:val="22"/>
          <w:szCs w:val="22"/>
        </w:rPr>
      </w:pPr>
    </w:p>
    <w:p w14:paraId="62C6D3DD" w14:textId="27C0108E"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w:t>
      </w:r>
      <w:r w:rsidRPr="000C199E">
        <w:rPr>
          <w:rFonts w:asciiTheme="minorHAnsi" w:hAnsiTheme="minorHAnsi" w:cstheme="minorHAnsi"/>
          <w:sz w:val="22"/>
          <w:szCs w:val="22"/>
        </w:rPr>
        <w:lastRenderedPageBreak/>
        <w:t xml:space="preserve">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4C4F7185"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r w:rsidR="000A417A">
        <w:rPr>
          <w:rFonts w:asciiTheme="minorHAnsi" w:hAnsiTheme="minorHAnsi" w:cstheme="minorHAnsi"/>
          <w:b w:val="0"/>
          <w:bCs/>
          <w:sz w:val="22"/>
          <w:szCs w:val="22"/>
        </w:rPr>
        <w:t xml:space="preserve">09 </w:t>
      </w:r>
      <w:r w:rsidR="000A417A" w:rsidRPr="000C199E">
        <w:rPr>
          <w:rFonts w:asciiTheme="minorHAnsi" w:hAnsiTheme="minorHAnsi" w:cstheme="minorHAnsi"/>
          <w:b w:val="0"/>
          <w:bCs/>
          <w:sz w:val="22"/>
          <w:szCs w:val="22"/>
        </w:rPr>
        <w:t xml:space="preserve">de </w:t>
      </w:r>
      <w:r w:rsidR="00B87EF5">
        <w:rPr>
          <w:rFonts w:asciiTheme="minorHAnsi" w:hAnsiTheme="minorHAnsi" w:cstheme="minorHAnsi"/>
          <w:b w:val="0"/>
          <w:bCs/>
          <w:sz w:val="22"/>
          <w:szCs w:val="22"/>
        </w:rPr>
        <w:t>maio</w:t>
      </w:r>
      <w:r w:rsidR="00B87EF5"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5"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08BE0D92"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5"/>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0A417A">
        <w:rPr>
          <w:rFonts w:asciiTheme="minorHAnsi" w:hAnsiTheme="minorHAnsi" w:cstheme="minorHAnsi"/>
          <w:i/>
          <w:iCs/>
          <w:sz w:val="22"/>
          <w:szCs w:val="22"/>
        </w:rPr>
        <w:t xml:space="preserve">09 </w:t>
      </w:r>
      <w:r w:rsidR="003C61B2" w:rsidRPr="000C199E">
        <w:rPr>
          <w:rFonts w:asciiTheme="minorHAnsi" w:hAnsiTheme="minorHAnsi" w:cstheme="minorHAnsi"/>
          <w:i/>
          <w:iCs/>
          <w:sz w:val="22"/>
          <w:szCs w:val="22"/>
        </w:rPr>
        <w:t xml:space="preserve">de </w:t>
      </w:r>
      <w:r w:rsidR="00533E4E">
        <w:rPr>
          <w:rFonts w:asciiTheme="minorHAnsi" w:hAnsiTheme="minorHAnsi" w:cstheme="minorHAnsi"/>
          <w:i/>
          <w:iCs/>
          <w:sz w:val="22"/>
          <w:szCs w:val="22"/>
        </w:rPr>
        <w:t>maio</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3B9332EA"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0</w:t>
      </w:r>
      <w:r w:rsidR="000A417A">
        <w:rPr>
          <w:rFonts w:asciiTheme="minorHAnsi" w:hAnsiTheme="minorHAnsi" w:cstheme="minorHAnsi"/>
          <w:i/>
          <w:iCs/>
          <w:sz w:val="22"/>
          <w:szCs w:val="22"/>
        </w:rPr>
        <w:t>9</w:t>
      </w:r>
      <w:r w:rsidR="00533E4E">
        <w:rPr>
          <w:rFonts w:asciiTheme="minorHAnsi" w:hAnsiTheme="minorHAnsi" w:cstheme="minorHAnsi"/>
          <w:i/>
          <w:iCs/>
          <w:sz w:val="22"/>
          <w:szCs w:val="22"/>
        </w:rPr>
        <w:t xml:space="preserve"> de maio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191519CB"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6"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0A417A">
        <w:rPr>
          <w:rFonts w:asciiTheme="minorHAnsi" w:hAnsiTheme="minorHAnsi" w:cstheme="minorHAnsi"/>
          <w:i/>
          <w:iCs/>
          <w:sz w:val="22"/>
          <w:szCs w:val="22"/>
        </w:rPr>
        <w:t xml:space="preserve">09 </w:t>
      </w:r>
      <w:r w:rsidR="00533E4E">
        <w:rPr>
          <w:rFonts w:asciiTheme="minorHAnsi" w:hAnsiTheme="minorHAnsi" w:cstheme="minorHAnsi"/>
          <w:i/>
          <w:iCs/>
          <w:sz w:val="22"/>
          <w:szCs w:val="22"/>
        </w:rPr>
        <w:t>de maio</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6"/>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73CC564D"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0A417A">
        <w:rPr>
          <w:rFonts w:asciiTheme="minorHAnsi" w:hAnsiTheme="minorHAnsi" w:cstheme="minorHAnsi"/>
          <w:i/>
          <w:iCs/>
          <w:sz w:val="22"/>
          <w:szCs w:val="22"/>
        </w:rPr>
        <w:t xml:space="preserve">09 </w:t>
      </w:r>
      <w:r w:rsidR="00533E4E">
        <w:rPr>
          <w:rFonts w:asciiTheme="minorHAnsi" w:hAnsiTheme="minorHAnsi" w:cstheme="minorHAnsi"/>
          <w:i/>
          <w:iCs/>
          <w:sz w:val="22"/>
          <w:szCs w:val="22"/>
        </w:rPr>
        <w:t>de maio de 2022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7" w:name="_bookmark3"/>
      <w:bookmarkStart w:id="8" w:name="_bookmark4"/>
      <w:bookmarkStart w:id="9" w:name="_bookmark5"/>
      <w:bookmarkStart w:id="10" w:name="_bookmark6"/>
      <w:bookmarkStart w:id="11" w:name="_bookmark7"/>
      <w:bookmarkStart w:id="12" w:name="_bookmark9"/>
      <w:bookmarkStart w:id="13" w:name="_bookmark12"/>
      <w:bookmarkStart w:id="14" w:name="_bookmark13"/>
      <w:bookmarkStart w:id="15" w:name="_bookmark14"/>
      <w:bookmarkStart w:id="16" w:name="_bookmark15"/>
      <w:bookmarkStart w:id="17" w:name="_bookmark16"/>
      <w:bookmarkStart w:id="18" w:name="_bookmark17"/>
      <w:bookmarkStart w:id="19" w:name="_bookmark18"/>
      <w:bookmarkStart w:id="20" w:name="_bookmark19"/>
      <w:bookmarkStart w:id="21" w:name="_bookmark20"/>
      <w:bookmarkStart w:id="22" w:name="_bookmark21"/>
      <w:bookmarkStart w:id="23" w:name="_bookmark22"/>
      <w:bookmarkStart w:id="24" w:name="_bookmark23"/>
      <w:bookmarkStart w:id="25" w:name="_bookmark2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sectPr w:rsidR="00456A11" w:rsidRPr="000C199E" w:rsidSect="002D5B35">
      <w:headerReference w:type="default" r:id="rId11"/>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33FF" w14:textId="77777777" w:rsidR="009E439E" w:rsidRDefault="009E439E">
      <w:r>
        <w:separator/>
      </w:r>
    </w:p>
  </w:endnote>
  <w:endnote w:type="continuationSeparator" w:id="0">
    <w:p w14:paraId="132D5459" w14:textId="77777777" w:rsidR="009E439E" w:rsidRDefault="009E439E">
      <w:r>
        <w:continuationSeparator/>
      </w:r>
    </w:p>
  </w:endnote>
  <w:endnote w:type="continuationNotice" w:id="1">
    <w:p w14:paraId="052A1200" w14:textId="77777777" w:rsidR="009E439E" w:rsidRDefault="009E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EE8E" w14:textId="77777777" w:rsidR="009E439E" w:rsidRDefault="009E439E">
      <w:r>
        <w:separator/>
      </w:r>
    </w:p>
  </w:footnote>
  <w:footnote w:type="continuationSeparator" w:id="0">
    <w:p w14:paraId="189C2AAE" w14:textId="77777777" w:rsidR="009E439E" w:rsidRDefault="009E439E">
      <w:r>
        <w:continuationSeparator/>
      </w:r>
    </w:p>
  </w:footnote>
  <w:footnote w:type="continuationNotice" w:id="1">
    <w:p w14:paraId="2D14FB8D" w14:textId="77777777" w:rsidR="009E439E" w:rsidRDefault="009E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5067221">
    <w:abstractNumId w:val="1"/>
  </w:num>
  <w:num w:numId="2" w16cid:durableId="1201742578">
    <w:abstractNumId w:val="6"/>
  </w:num>
  <w:num w:numId="3" w16cid:durableId="1807817435">
    <w:abstractNumId w:val="32"/>
  </w:num>
  <w:num w:numId="4" w16cid:durableId="1696927441">
    <w:abstractNumId w:val="23"/>
  </w:num>
  <w:num w:numId="5" w16cid:durableId="230846530">
    <w:abstractNumId w:val="29"/>
  </w:num>
  <w:num w:numId="6" w16cid:durableId="1399666634">
    <w:abstractNumId w:val="33"/>
  </w:num>
  <w:num w:numId="7" w16cid:durableId="280501549">
    <w:abstractNumId w:val="26"/>
  </w:num>
  <w:num w:numId="8" w16cid:durableId="2060127880">
    <w:abstractNumId w:val="40"/>
  </w:num>
  <w:num w:numId="9" w16cid:durableId="157431148">
    <w:abstractNumId w:val="16"/>
  </w:num>
  <w:num w:numId="10" w16cid:durableId="366830022">
    <w:abstractNumId w:val="25"/>
  </w:num>
  <w:num w:numId="11" w16cid:durableId="512426990">
    <w:abstractNumId w:val="42"/>
  </w:num>
  <w:num w:numId="12" w16cid:durableId="1462075085">
    <w:abstractNumId w:val="21"/>
  </w:num>
  <w:num w:numId="13" w16cid:durableId="1102604628">
    <w:abstractNumId w:val="5"/>
  </w:num>
  <w:num w:numId="14" w16cid:durableId="777288698">
    <w:abstractNumId w:val="10"/>
  </w:num>
  <w:num w:numId="15" w16cid:durableId="619531476">
    <w:abstractNumId w:val="22"/>
  </w:num>
  <w:num w:numId="16" w16cid:durableId="1262487829">
    <w:abstractNumId w:val="43"/>
  </w:num>
  <w:num w:numId="17" w16cid:durableId="431896044">
    <w:abstractNumId w:val="8"/>
  </w:num>
  <w:num w:numId="18" w16cid:durableId="400107111">
    <w:abstractNumId w:val="20"/>
  </w:num>
  <w:num w:numId="19" w16cid:durableId="1659766654">
    <w:abstractNumId w:val="34"/>
  </w:num>
  <w:num w:numId="20" w16cid:durableId="1194264338">
    <w:abstractNumId w:val="35"/>
  </w:num>
  <w:num w:numId="21" w16cid:durableId="1280065584">
    <w:abstractNumId w:val="19"/>
  </w:num>
  <w:num w:numId="22" w16cid:durableId="995570344">
    <w:abstractNumId w:val="11"/>
  </w:num>
  <w:num w:numId="23" w16cid:durableId="1194150407">
    <w:abstractNumId w:val="14"/>
  </w:num>
  <w:num w:numId="24" w16cid:durableId="1021975250">
    <w:abstractNumId w:val="17"/>
  </w:num>
  <w:num w:numId="25" w16cid:durableId="90053963">
    <w:abstractNumId w:val="28"/>
  </w:num>
  <w:num w:numId="26" w16cid:durableId="2001689174">
    <w:abstractNumId w:val="27"/>
  </w:num>
  <w:num w:numId="27" w16cid:durableId="1311641572">
    <w:abstractNumId w:val="4"/>
  </w:num>
  <w:num w:numId="28" w16cid:durableId="1394353173">
    <w:abstractNumId w:val="9"/>
  </w:num>
  <w:num w:numId="29" w16cid:durableId="67044802">
    <w:abstractNumId w:val="38"/>
  </w:num>
  <w:num w:numId="30" w16cid:durableId="11497852">
    <w:abstractNumId w:val="7"/>
  </w:num>
  <w:num w:numId="31" w16cid:durableId="1670406949">
    <w:abstractNumId w:val="12"/>
  </w:num>
  <w:num w:numId="32" w16cid:durableId="1746494952">
    <w:abstractNumId w:val="31"/>
  </w:num>
  <w:num w:numId="33" w16cid:durableId="846748560">
    <w:abstractNumId w:val="37"/>
  </w:num>
  <w:num w:numId="34" w16cid:durableId="1308047758">
    <w:abstractNumId w:val="18"/>
  </w:num>
  <w:num w:numId="35" w16cid:durableId="1986934098">
    <w:abstractNumId w:val="39"/>
  </w:num>
  <w:num w:numId="36" w16cid:durableId="1665431406">
    <w:abstractNumId w:val="15"/>
  </w:num>
  <w:num w:numId="37" w16cid:durableId="1091851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4209">
    <w:abstractNumId w:val="13"/>
  </w:num>
  <w:num w:numId="39" w16cid:durableId="1610815516">
    <w:abstractNumId w:val="36"/>
  </w:num>
  <w:num w:numId="40" w16cid:durableId="1999117336">
    <w:abstractNumId w:val="24"/>
  </w:num>
  <w:num w:numId="41" w16cid:durableId="635599026">
    <w:abstractNumId w:val="41"/>
  </w:num>
  <w:num w:numId="42" w16cid:durableId="1685788454">
    <w:abstractNumId w:val="3"/>
  </w:num>
  <w:num w:numId="43" w16cid:durableId="1755711242">
    <w:abstractNumId w:val="30"/>
  </w:num>
  <w:num w:numId="44" w16cid:durableId="314796827">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5714"/>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17A"/>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C69FC"/>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3E0C"/>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4E8F"/>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6DAD"/>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66CD"/>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28D"/>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BCE"/>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2699"/>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0A0F"/>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3E4E"/>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86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0D33"/>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1FDA"/>
    <w:rsid w:val="00612264"/>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759"/>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2B"/>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2683"/>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3EAC"/>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5E47"/>
    <w:rsid w:val="00776D67"/>
    <w:rsid w:val="00777300"/>
    <w:rsid w:val="0078009C"/>
    <w:rsid w:val="007801DA"/>
    <w:rsid w:val="007819B5"/>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7CA"/>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84A"/>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C67E9"/>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413"/>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5CD"/>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2CC"/>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3FC"/>
    <w:rsid w:val="009A77F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311"/>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39E"/>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83D"/>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3D0"/>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7DC"/>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290"/>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66DC"/>
    <w:rsid w:val="00B67BD9"/>
    <w:rsid w:val="00B70E03"/>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87EF5"/>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5A"/>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239"/>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514"/>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46C1"/>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7E1"/>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9B7"/>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08B1"/>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4ACB"/>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630E"/>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5205</Words>
  <Characters>28673</Characters>
  <Application>Microsoft Office Word</Application>
  <DocSecurity>0</DocSecurity>
  <Lines>238</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3</cp:revision>
  <cp:lastPrinted>2017-04-17T22:56:00Z</cp:lastPrinted>
  <dcterms:created xsi:type="dcterms:W3CDTF">2022-05-09T16:34:00Z</dcterms:created>
  <dcterms:modified xsi:type="dcterms:W3CDTF">2022-05-09T16:35:00Z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