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3500E72"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F0ED7" w:rsidRPr="00AC3CF4">
        <w:rPr>
          <w:b/>
          <w:bCs/>
          <w:color w:val="000000" w:themeColor="text1"/>
          <w:sz w:val="22"/>
          <w:szCs w:val="22"/>
          <w:highlight w:val="yellow"/>
        </w:rPr>
        <w:t>27</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6ACB5B1E"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F0ED7" w:rsidRPr="00AC3CF4">
        <w:rPr>
          <w:rFonts w:ascii="Times New Roman" w:hAnsi="Times New Roman" w:cs="Times New Roman"/>
          <w:color w:val="000000" w:themeColor="text1"/>
          <w:sz w:val="22"/>
          <w:szCs w:val="22"/>
          <w:highlight w:val="yellow"/>
        </w:rPr>
        <w:t>27</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202</w:t>
      </w:r>
      <w:r w:rsidR="001E64A9"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 xml:space="preserve"> (“</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 xml:space="preserve">Microsoft </w:t>
      </w:r>
      <w:proofErr w:type="spellStart"/>
      <w:r w:rsidR="00243F0E" w:rsidRPr="00243F0E">
        <w:rPr>
          <w:rFonts w:ascii="Times New Roman" w:hAnsi="Times New Roman" w:cs="Times New Roman"/>
          <w:i/>
          <w:iCs/>
          <w:color w:val="000000" w:themeColor="text1"/>
          <w:sz w:val="22"/>
          <w:szCs w:val="22"/>
        </w:rPr>
        <w:t>Teams</w:t>
      </w:r>
      <w:proofErr w:type="spellEnd"/>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administrada pela Opea </w:t>
      </w:r>
      <w:proofErr w:type="spellStart"/>
      <w:r w:rsidR="00711C3F" w:rsidRPr="00EF0CB9">
        <w:rPr>
          <w:rFonts w:ascii="Times New Roman" w:hAnsi="Times New Roman" w:cs="Times New Roman"/>
          <w:color w:val="000000" w:themeColor="text1"/>
          <w:sz w:val="22"/>
          <w:szCs w:val="22"/>
        </w:rPr>
        <w:t>Securitizadora</w:t>
      </w:r>
      <w:proofErr w:type="spellEnd"/>
      <w:r w:rsidR="00711C3F" w:rsidRPr="00EF0CB9">
        <w:rPr>
          <w:rFonts w:ascii="Times New Roman" w:hAnsi="Times New Roman" w:cs="Times New Roman"/>
          <w:color w:val="000000" w:themeColor="text1"/>
          <w:sz w:val="22"/>
          <w:szCs w:val="22"/>
        </w:rPr>
        <w:t xml:space="preserve">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 xml:space="preserve">Nota </w:t>
      </w:r>
      <w:proofErr w:type="spellStart"/>
      <w:r w:rsidR="00FF0ED7" w:rsidRPr="00AC3CF4">
        <w:rPr>
          <w:rFonts w:ascii="Times New Roman" w:hAnsi="Times New Roman" w:cs="Times New Roman"/>
          <w:b/>
          <w:bCs/>
          <w:color w:val="000000" w:themeColor="text1"/>
          <w:sz w:val="22"/>
          <w:szCs w:val="22"/>
          <w:highlight w:val="yellow"/>
        </w:rPr>
        <w:t>Cescon</w:t>
      </w:r>
      <w:proofErr w:type="spellEnd"/>
      <w:r w:rsidR="00FF0ED7" w:rsidRPr="00AC3CF4">
        <w:rPr>
          <w:rFonts w:ascii="Times New Roman" w:hAnsi="Times New Roman" w:cs="Times New Roman"/>
          <w:b/>
          <w:bCs/>
          <w:color w:val="000000" w:themeColor="text1"/>
          <w:sz w:val="22"/>
          <w:szCs w:val="22"/>
          <w:highlight w:val="yellow"/>
        </w:rPr>
        <w:t xml:space="preserve"> </w:t>
      </w:r>
      <w:proofErr w:type="spellStart"/>
      <w:r w:rsidR="00FF0ED7" w:rsidRPr="00AC3CF4">
        <w:rPr>
          <w:rFonts w:ascii="Times New Roman" w:hAnsi="Times New Roman" w:cs="Times New Roman"/>
          <w:b/>
          <w:bCs/>
          <w:color w:val="000000" w:themeColor="text1"/>
          <w:sz w:val="22"/>
          <w:szCs w:val="22"/>
          <w:highlight w:val="yellow"/>
        </w:rPr>
        <w:t>Barrieu</w:t>
      </w:r>
      <w:proofErr w:type="spellEnd"/>
      <w:r w:rsidR="00FF0ED7" w:rsidRPr="00AC3CF4">
        <w:rPr>
          <w:rFonts w:ascii="Times New Roman" w:hAnsi="Times New Roman" w:cs="Times New Roman"/>
          <w:b/>
          <w:bCs/>
          <w:color w:val="000000" w:themeColor="text1"/>
          <w:sz w:val="22"/>
          <w:szCs w:val="22"/>
          <w:highlight w:val="yellow"/>
        </w:rPr>
        <w:t>:</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w:t>
      </w:r>
      <w:proofErr w:type="spellEnd"/>
      <w:r w:rsidRPr="00EF0CB9">
        <w:rPr>
          <w:rFonts w:ascii="Times New Roman" w:hAnsi="Times New Roman" w:cs="Times New Roman"/>
          <w:b/>
          <w:bCs/>
          <w:color w:val="000000" w:themeColor="text1"/>
          <w:sz w:val="22"/>
          <w:szCs w:val="22"/>
        </w:rPr>
        <w:t>)</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iii</w:t>
      </w:r>
      <w:proofErr w:type="spellEnd"/>
      <w:r w:rsidRPr="00EF0CB9">
        <w:rPr>
          <w:rFonts w:ascii="Times New Roman" w:hAnsi="Times New Roman" w:cs="Times New Roman"/>
          <w:b/>
          <w:bCs/>
          <w:color w:val="000000" w:themeColor="text1"/>
          <w:sz w:val="22"/>
          <w:szCs w:val="22"/>
        </w:rPr>
        <w:t>)</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proofErr w:type="spellStart"/>
      <w:r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proofErr w:type="spellStart"/>
      <w:r w:rsidR="001476B4" w:rsidRPr="00EF0CB9">
        <w:rPr>
          <w:rFonts w:ascii="Times New Roman" w:hAnsi="Times New Roman" w:cs="Times New Roman"/>
          <w:color w:val="000000" w:themeColor="text1"/>
          <w:sz w:val="22"/>
          <w:szCs w:val="22"/>
        </w:rPr>
        <w:t>Secretári</w:t>
      </w:r>
      <w:proofErr w:type="spellEnd"/>
      <w:r w:rsidR="001476B4" w:rsidRPr="00EF0CB9">
        <w:rPr>
          <w:rFonts w:ascii="Times New Roman" w:hAnsi="Times New Roman" w:cs="Times New Roman"/>
          <w:color w:val="000000" w:themeColor="text1"/>
          <w:sz w:val="22"/>
          <w:szCs w:val="22"/>
        </w:rPr>
        <w:t xml:space="preserve">[o/a]: </w:t>
      </w:r>
      <w:proofErr w:type="spellStart"/>
      <w:r w:rsidR="00C0070A"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proofErr w:type="spellStart"/>
      <w:r w:rsidRPr="00EF0CB9">
        <w:rPr>
          <w:rFonts w:ascii="Times New Roman" w:hAnsi="Times New Roman" w:cs="Times New Roman"/>
          <w:color w:val="000000" w:themeColor="text1"/>
          <w:sz w:val="22"/>
          <w:szCs w:val="22"/>
          <w:u w:val="single"/>
        </w:rPr>
        <w:t>Secretári</w:t>
      </w:r>
      <w:proofErr w:type="spellEnd"/>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w:t>
      </w:r>
      <w:proofErr w:type="spellStart"/>
      <w:r w:rsidR="00F25813" w:rsidRPr="00AC3CF4">
        <w:rPr>
          <w:rFonts w:ascii="Times New Roman" w:hAnsi="Times New Roman" w:cs="Times New Roman"/>
          <w:b/>
          <w:bCs/>
          <w:color w:val="000000" w:themeColor="text1"/>
          <w:sz w:val="22"/>
          <w:szCs w:val="22"/>
          <w:highlight w:val="yellow"/>
        </w:rPr>
        <w:t>Cescon</w:t>
      </w:r>
      <w:proofErr w:type="spellEnd"/>
      <w:r w:rsidR="00F25813" w:rsidRPr="00AC3CF4">
        <w:rPr>
          <w:rFonts w:ascii="Times New Roman" w:hAnsi="Times New Roman" w:cs="Times New Roman"/>
          <w:b/>
          <w:bCs/>
          <w:color w:val="000000" w:themeColor="text1"/>
          <w:sz w:val="22"/>
          <w:szCs w:val="22"/>
          <w:highlight w:val="yellow"/>
        </w:rPr>
        <w:t xml:space="preserve"> </w:t>
      </w:r>
      <w:proofErr w:type="spellStart"/>
      <w:r w:rsidR="00F25813" w:rsidRPr="00AC3CF4">
        <w:rPr>
          <w:rFonts w:ascii="Times New Roman" w:hAnsi="Times New Roman" w:cs="Times New Roman"/>
          <w:b/>
          <w:bCs/>
          <w:color w:val="000000" w:themeColor="text1"/>
          <w:sz w:val="22"/>
          <w:szCs w:val="22"/>
          <w:highlight w:val="yellow"/>
        </w:rPr>
        <w:t>Barrieu</w:t>
      </w:r>
      <w:proofErr w:type="spellEnd"/>
      <w:r w:rsidR="00F25813" w:rsidRPr="00AC3CF4">
        <w:rPr>
          <w:rFonts w:ascii="Times New Roman" w:hAnsi="Times New Roman" w:cs="Times New Roman"/>
          <w:b/>
          <w:bCs/>
          <w:color w:val="000000" w:themeColor="text1"/>
          <w:sz w:val="22"/>
          <w:szCs w:val="22"/>
          <w:highlight w:val="yellow"/>
        </w:rPr>
        <w:t xml:space="preserve">: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3EF5D380" w:rsidR="0057278C" w:rsidRPr="00EF0CB9" w:rsidRDefault="0057278C"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E55920" w:rsidRPr="00EF0CB9">
        <w:rPr>
          <w:rFonts w:ascii="Times New Roman" w:hAnsi="Times New Roman" w:cs="Times New Roman"/>
          <w:bCs/>
          <w:color w:val="000000" w:themeColor="text1"/>
          <w:sz w:val="22"/>
          <w:szCs w:val="22"/>
        </w:rPr>
        <w:t>nuência prévia para:</w:t>
      </w:r>
      <w:r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w:t>
      </w:r>
      <w:proofErr w:type="spellStart"/>
      <w:r w:rsidR="00247B40" w:rsidRPr="00481264">
        <w:rPr>
          <w:rFonts w:ascii="Times New Roman" w:hAnsi="Times New Roman" w:cs="Times New Roman"/>
          <w:b/>
          <w:bCs/>
          <w:color w:val="000000" w:themeColor="text1"/>
          <w:sz w:val="22"/>
          <w:szCs w:val="22"/>
        </w:rPr>
        <w:t>i.a</w:t>
      </w:r>
      <w:proofErr w:type="spellEnd"/>
      <w:r w:rsidR="00247B40" w:rsidRPr="00481264">
        <w:rPr>
          <w:rFonts w:ascii="Times New Roman" w:hAnsi="Times New Roman" w:cs="Times New Roman"/>
          <w:b/>
          <w:bCs/>
          <w:color w:val="000000" w:themeColor="text1"/>
          <w:sz w:val="22"/>
          <w:szCs w:val="22"/>
        </w:rPr>
        <w:t>)</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w:t>
      </w:r>
      <w:proofErr w:type="spellStart"/>
      <w:r w:rsidR="00247B40" w:rsidRPr="00253B51">
        <w:rPr>
          <w:rFonts w:ascii="Times New Roman" w:hAnsi="Times New Roman" w:cs="Times New Roman"/>
          <w:color w:val="000000" w:themeColor="text1"/>
          <w:sz w:val="22"/>
          <w:szCs w:val="22"/>
        </w:rPr>
        <w:t>Moov</w:t>
      </w:r>
      <w:proofErr w:type="spellEnd"/>
      <w:r w:rsidR="00247B40" w:rsidRPr="00253B51">
        <w:rPr>
          <w:rFonts w:ascii="Times New Roman" w:hAnsi="Times New Roman" w:cs="Times New Roman"/>
          <w:color w:val="000000" w:themeColor="text1"/>
          <w:sz w:val="22"/>
          <w:szCs w:val="22"/>
        </w:rPr>
        <w:t xml:space="preserve"> Parque Maia</w:t>
      </w:r>
      <w:r w:rsidR="00247B40" w:rsidRPr="00253B51">
        <w:rPr>
          <w:rFonts w:ascii="Times New Roman" w:hAnsi="Times New Roman" w:cs="Times New Roman"/>
          <w:bCs/>
          <w:color w:val="000000" w:themeColor="text1"/>
          <w:sz w:val="22"/>
          <w:szCs w:val="22"/>
        </w:rPr>
        <w:t xml:space="preserve">, </w:t>
      </w:r>
      <w:proofErr w:type="spellStart"/>
      <w:r w:rsidR="00247B40" w:rsidRPr="00481264">
        <w:rPr>
          <w:rFonts w:ascii="Times New Roman" w:hAnsi="Times New Roman" w:cs="Times New Roman"/>
          <w:bCs/>
          <w:color w:val="000000" w:themeColor="text1"/>
          <w:sz w:val="22"/>
          <w:szCs w:val="22"/>
        </w:rPr>
        <w:t>Scena</w:t>
      </w:r>
      <w:proofErr w:type="spellEnd"/>
      <w:r w:rsidR="00247B40" w:rsidRPr="00481264">
        <w:rPr>
          <w:rFonts w:ascii="Times New Roman" w:hAnsi="Times New Roman" w:cs="Times New Roman"/>
          <w:bCs/>
          <w:color w:val="000000" w:themeColor="text1"/>
          <w:sz w:val="22"/>
          <w:szCs w:val="22"/>
        </w:rPr>
        <w:t xml:space="preserve"> Tatuapé, Gafisa </w:t>
      </w:r>
      <w:proofErr w:type="spellStart"/>
      <w:r w:rsidR="00247B40" w:rsidRPr="00481264">
        <w:rPr>
          <w:rFonts w:ascii="Times New Roman" w:hAnsi="Times New Roman" w:cs="Times New Roman"/>
          <w:bCs/>
          <w:color w:val="000000" w:themeColor="text1"/>
          <w:sz w:val="22"/>
          <w:szCs w:val="22"/>
        </w:rPr>
        <w:t>Upside</w:t>
      </w:r>
      <w:proofErr w:type="spellEnd"/>
      <w:r w:rsidR="00247B40" w:rsidRPr="00481264">
        <w:rPr>
          <w:rFonts w:ascii="Times New Roman" w:hAnsi="Times New Roman" w:cs="Times New Roman"/>
          <w:bCs/>
          <w:color w:val="000000" w:themeColor="text1"/>
          <w:sz w:val="22"/>
          <w:szCs w:val="22"/>
        </w:rPr>
        <w:t xml:space="preserve"> Paraíso,</w:t>
      </w:r>
      <w:r w:rsidR="00247B40" w:rsidRPr="00481264">
        <w:rPr>
          <w:rFonts w:ascii="Times New Roman" w:hAnsi="Times New Roman" w:cs="Times New Roman"/>
          <w:color w:val="000000" w:themeColor="text1"/>
          <w:sz w:val="22"/>
          <w:szCs w:val="22"/>
        </w:rPr>
        <w:t xml:space="preserve"> </w:t>
      </w:r>
      <w:proofErr w:type="spellStart"/>
      <w:r w:rsidR="00247B40" w:rsidRPr="00481264">
        <w:rPr>
          <w:rFonts w:ascii="Times New Roman" w:hAnsi="Times New Roman" w:cs="Times New Roman"/>
          <w:color w:val="000000" w:themeColor="text1"/>
          <w:sz w:val="22"/>
          <w:szCs w:val="22"/>
        </w:rPr>
        <w:t>Moov</w:t>
      </w:r>
      <w:proofErr w:type="spellEnd"/>
      <w:r w:rsidR="00247B40" w:rsidRPr="00481264">
        <w:rPr>
          <w:rFonts w:ascii="Times New Roman" w:hAnsi="Times New Roman" w:cs="Times New Roman"/>
          <w:color w:val="000000" w:themeColor="text1"/>
          <w:sz w:val="22"/>
          <w:szCs w:val="22"/>
        </w:rPr>
        <w:t xml:space="preserve"> Estação Brás, </w:t>
      </w:r>
      <w:proofErr w:type="spellStart"/>
      <w:r w:rsidR="00247B40" w:rsidRPr="00481264">
        <w:rPr>
          <w:rFonts w:ascii="Times New Roman" w:hAnsi="Times New Roman" w:cs="Times New Roman"/>
          <w:bCs/>
          <w:color w:val="000000" w:themeColor="text1"/>
          <w:sz w:val="22"/>
          <w:szCs w:val="22"/>
        </w:rPr>
        <w:t>Moov</w:t>
      </w:r>
      <w:proofErr w:type="spellEnd"/>
      <w:r w:rsidR="00247B40" w:rsidRPr="00481264">
        <w:rPr>
          <w:rFonts w:ascii="Times New Roman" w:hAnsi="Times New Roman" w:cs="Times New Roman"/>
          <w:bCs/>
          <w:color w:val="000000" w:themeColor="text1"/>
          <w:sz w:val="22"/>
          <w:szCs w:val="22"/>
        </w:rPr>
        <w:t xml:space="preserve"> Belém e Parque </w:t>
      </w:r>
      <w:proofErr w:type="spellStart"/>
      <w:r w:rsidR="00247B40" w:rsidRPr="00481264">
        <w:rPr>
          <w:rFonts w:ascii="Times New Roman" w:hAnsi="Times New Roman" w:cs="Times New Roman"/>
          <w:bCs/>
          <w:color w:val="000000" w:themeColor="text1"/>
          <w:sz w:val="22"/>
          <w:szCs w:val="22"/>
        </w:rPr>
        <w:t>Ecoville</w:t>
      </w:r>
      <w:proofErr w:type="spellEnd"/>
      <w:r w:rsidR="00247B40" w:rsidRPr="00481264">
        <w:rPr>
          <w:rFonts w:ascii="Times New Roman" w:hAnsi="Times New Roman" w:cs="Times New Roman"/>
          <w:bCs/>
          <w:color w:val="000000" w:themeColor="text1"/>
          <w:sz w:val="22"/>
          <w:szCs w:val="22"/>
        </w:rPr>
        <w:t xml:space="preserve"> – Torre </w:t>
      </w:r>
      <w:proofErr w:type="spellStart"/>
      <w:r w:rsidR="00247B40" w:rsidRPr="00481264">
        <w:rPr>
          <w:rFonts w:ascii="Times New Roman" w:hAnsi="Times New Roman" w:cs="Times New Roman"/>
          <w:bCs/>
          <w:color w:val="000000" w:themeColor="text1"/>
          <w:sz w:val="22"/>
          <w:szCs w:val="22"/>
        </w:rPr>
        <w:t>Passaúna</w:t>
      </w:r>
      <w:proofErr w:type="spellEnd"/>
      <w:r w:rsidR="00247B40" w:rsidRPr="00481264">
        <w:rPr>
          <w:rFonts w:ascii="Times New Roman" w:hAnsi="Times New Roman" w:cs="Times New Roman"/>
          <w:bCs/>
          <w:color w:val="000000" w:themeColor="text1"/>
          <w:sz w:val="22"/>
          <w:szCs w:val="22"/>
        </w:rPr>
        <w:t xml:space="preserve">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w:t>
      </w:r>
      <w:proofErr w:type="spellStart"/>
      <w:r w:rsidR="00247B40" w:rsidRPr="00481264">
        <w:rPr>
          <w:rFonts w:ascii="Times New Roman" w:hAnsi="Times New Roman" w:cs="Times New Roman"/>
          <w:b/>
          <w:color w:val="000000" w:themeColor="text1"/>
          <w:sz w:val="22"/>
          <w:szCs w:val="22"/>
        </w:rPr>
        <w:t>i.b</w:t>
      </w:r>
      <w:proofErr w:type="spellEnd"/>
      <w:r w:rsidR="00247B40" w:rsidRPr="00481264">
        <w:rPr>
          <w:rFonts w:ascii="Times New Roman" w:hAnsi="Times New Roman" w:cs="Times New Roman"/>
          <w:b/>
          <w:color w:val="000000" w:themeColor="text1"/>
          <w:sz w:val="22"/>
          <w:szCs w:val="22"/>
        </w:rPr>
        <w:t>)</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em 28 de outubro de 2022</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proofErr w:type="spellStart"/>
      <w:r w:rsidR="00247B40">
        <w:rPr>
          <w:rFonts w:ascii="Times New Roman" w:hAnsi="Times New Roman" w:cs="Times New Roman"/>
          <w:b/>
          <w:color w:val="000000" w:themeColor="text1"/>
          <w:sz w:val="22"/>
          <w:szCs w:val="22"/>
        </w:rPr>
        <w:t>ii</w:t>
      </w:r>
      <w:proofErr w:type="spellEnd"/>
      <w:r w:rsidR="00247B40">
        <w:rPr>
          <w:rFonts w:ascii="Times New Roman" w:hAnsi="Times New Roman" w:cs="Times New Roman"/>
          <w:b/>
          <w:color w:val="000000" w:themeColor="text1"/>
          <w:sz w:val="22"/>
          <w:szCs w:val="22"/>
        </w:rPr>
        <w:t xml:space="preserve">)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w:t>
      </w:r>
      <w:proofErr w:type="spellStart"/>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proofErr w:type="spellEnd"/>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07C9C2DC" w:rsidR="0057278C" w:rsidRPr="004571A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Anuência prévia para a</w:t>
      </w:r>
      <w:r w:rsidR="003B001E" w:rsidRPr="00EF0CB9">
        <w:rPr>
          <w:rFonts w:ascii="Times New Roman" w:hAnsi="Times New Roman" w:cs="Times New Roman"/>
          <w:bCs/>
          <w:color w:val="000000" w:themeColor="text1"/>
          <w:sz w:val="22"/>
          <w:szCs w:val="22"/>
        </w:rPr>
        <w:t xml:space="preserve"> celebração entre a </w:t>
      </w:r>
      <w:bookmarkStart w:id="7" w:name="_Hlk116667371"/>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Directiones</w:t>
      </w:r>
      <w:proofErr w:type="spellEnd"/>
      <w:r w:rsidRPr="00EF0CB9">
        <w:rPr>
          <w:rFonts w:ascii="Times New Roman" w:hAnsi="Times New Roman" w:cs="Times New Roman"/>
          <w:bCs/>
          <w:color w:val="000000" w:themeColor="text1"/>
          <w:sz w:val="22"/>
          <w:szCs w:val="22"/>
        </w:rPr>
        <w:t xml:space="preserve"> Investimentos e Participações em Empreendimentos </w:t>
      </w:r>
      <w:r w:rsidRPr="00481264">
        <w:rPr>
          <w:rFonts w:ascii="Times New Roman" w:hAnsi="Times New Roman" w:cs="Times New Roman"/>
          <w:bCs/>
          <w:color w:val="000000" w:themeColor="text1"/>
          <w:sz w:val="22"/>
          <w:szCs w:val="22"/>
        </w:rPr>
        <w:t>Imobiliários S.A. (CNPJ/ME sob o n° 34.861.820/0001-90)</w:t>
      </w:r>
      <w:bookmarkEnd w:id="7"/>
      <w:r w:rsidRPr="00481264">
        <w:rPr>
          <w:rFonts w:ascii="Times New Roman" w:hAnsi="Times New Roman" w:cs="Times New Roman"/>
          <w:bCs/>
          <w:color w:val="000000" w:themeColor="text1"/>
          <w:sz w:val="22"/>
          <w:szCs w:val="22"/>
        </w:rPr>
        <w:t xml:space="preserve"> (“</w:t>
      </w:r>
      <w:proofErr w:type="spellStart"/>
      <w:r w:rsidRPr="00481264">
        <w:rPr>
          <w:rFonts w:ascii="Times New Roman" w:hAnsi="Times New Roman" w:cs="Times New Roman"/>
          <w:bCs/>
          <w:color w:val="000000" w:themeColor="text1"/>
          <w:sz w:val="22"/>
          <w:szCs w:val="22"/>
          <w:u w:val="single"/>
        </w:rPr>
        <w:t>Novum</w:t>
      </w:r>
      <w:proofErr w:type="spellEnd"/>
      <w:r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308D2506" w:rsidR="00E55920" w:rsidRPr="0048126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3B001E" w:rsidRPr="00EF0CB9">
        <w:rPr>
          <w:rFonts w:ascii="Times New Roman" w:hAnsi="Times New Roman" w:cs="Times New Roman"/>
          <w:bCs/>
          <w:color w:val="000000" w:themeColor="text1"/>
          <w:sz w:val="22"/>
          <w:szCs w:val="22"/>
        </w:rPr>
        <w:t xml:space="preserve">utorização à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iv</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w:t>
      </w:r>
      <w:proofErr w:type="spellStart"/>
      <w:r w:rsidR="00424E0D">
        <w:rPr>
          <w:rFonts w:ascii="Times New Roman" w:hAnsi="Times New Roman" w:cs="Times New Roman"/>
          <w:b/>
          <w:color w:val="000000" w:themeColor="text1"/>
          <w:sz w:val="22"/>
          <w:szCs w:val="22"/>
        </w:rPr>
        <w:t>vii</w:t>
      </w:r>
      <w:proofErr w:type="spellEnd"/>
      <w:r w:rsidR="00424E0D">
        <w:rPr>
          <w:rFonts w:ascii="Times New Roman" w:hAnsi="Times New Roman" w:cs="Times New Roman"/>
          <w:b/>
          <w:color w:val="000000" w:themeColor="text1"/>
          <w:sz w:val="22"/>
          <w:szCs w:val="22"/>
        </w:rPr>
        <w:t>)</w:t>
      </w:r>
      <w:r w:rsidR="00424E0D">
        <w:rPr>
          <w:rFonts w:ascii="Times New Roman" w:hAnsi="Times New Roman" w:cs="Times New Roman"/>
          <w:bCs/>
          <w:color w:val="000000" w:themeColor="text1"/>
          <w:sz w:val="22"/>
          <w:szCs w:val="22"/>
        </w:rPr>
        <w:t xml:space="preserve"> do aditamento à Escritura de Hipoteca Belvedere </w:t>
      </w:r>
      <w:proofErr w:type="spellStart"/>
      <w:r w:rsidR="00424E0D">
        <w:rPr>
          <w:rFonts w:ascii="Times New Roman" w:hAnsi="Times New Roman" w:cs="Times New Roman"/>
          <w:bCs/>
          <w:color w:val="000000" w:themeColor="text1"/>
          <w:sz w:val="22"/>
          <w:szCs w:val="22"/>
        </w:rPr>
        <w:t>Lorian</w:t>
      </w:r>
      <w:proofErr w:type="spellEnd"/>
      <w:r w:rsidR="00424E0D">
        <w:rPr>
          <w:rFonts w:ascii="Times New Roman" w:hAnsi="Times New Roman" w:cs="Times New Roman"/>
          <w:bCs/>
          <w:color w:val="000000" w:themeColor="text1"/>
          <w:sz w:val="22"/>
          <w:szCs w:val="22"/>
        </w:rPr>
        <w:t xml:space="preserve"> (conforme abaixo definido) e do aditamento à Escritura de Hipoteca SPE Parque </w:t>
      </w:r>
      <w:proofErr w:type="spellStart"/>
      <w:r w:rsidR="00424E0D">
        <w:rPr>
          <w:rFonts w:ascii="Times New Roman" w:hAnsi="Times New Roman" w:cs="Times New Roman"/>
          <w:bCs/>
          <w:color w:val="000000" w:themeColor="text1"/>
          <w:sz w:val="22"/>
          <w:szCs w:val="22"/>
        </w:rPr>
        <w:t>Ecoville</w:t>
      </w:r>
      <w:proofErr w:type="spellEnd"/>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FD69A4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lastRenderedPageBreak/>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8" w:name="_Hlk117692373"/>
      <w:bookmarkStart w:id="9"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proofErr w:type="spellStart"/>
      <w:r>
        <w:rPr>
          <w:rFonts w:ascii="Times New Roman" w:hAnsi="Times New Roman" w:cs="Times New Roman"/>
          <w:bCs/>
          <w:color w:val="000000" w:themeColor="text1"/>
          <w:sz w:val="22"/>
          <w:szCs w:val="22"/>
        </w:rPr>
        <w:t>Novum</w:t>
      </w:r>
      <w:proofErr w:type="spellEnd"/>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Parque Maia, Gafisa </w:t>
      </w:r>
      <w:proofErr w:type="spellStart"/>
      <w:r w:rsidRPr="007B2EF8">
        <w:rPr>
          <w:rFonts w:ascii="Times New Roman" w:hAnsi="Times New Roman"/>
          <w:bCs/>
          <w:sz w:val="22"/>
          <w:szCs w:val="22"/>
        </w:rPr>
        <w:t>Upside</w:t>
      </w:r>
      <w:proofErr w:type="spellEnd"/>
      <w:r w:rsidRPr="007B2EF8">
        <w:rPr>
          <w:rFonts w:ascii="Times New Roman" w:hAnsi="Times New Roman"/>
          <w:bCs/>
          <w:sz w:val="22"/>
          <w:szCs w:val="22"/>
        </w:rPr>
        <w:t xml:space="preserve"> Paraíso, </w:t>
      </w:r>
      <w:proofErr w:type="spellStart"/>
      <w:r w:rsidRPr="007B2EF8">
        <w:rPr>
          <w:rFonts w:ascii="Times New Roman" w:hAnsi="Times New Roman"/>
          <w:bCs/>
          <w:sz w:val="22"/>
          <w:szCs w:val="22"/>
        </w:rPr>
        <w:t>Scena</w:t>
      </w:r>
      <w:proofErr w:type="spellEnd"/>
      <w:r w:rsidRPr="007B2EF8">
        <w:rPr>
          <w:rFonts w:ascii="Times New Roman" w:hAnsi="Times New Roman"/>
          <w:bCs/>
          <w:sz w:val="22"/>
          <w:szCs w:val="22"/>
        </w:rPr>
        <w:t xml:space="preserve"> Tatuapé,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Estação Brás,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Belém e Parque </w:t>
      </w:r>
      <w:proofErr w:type="spellStart"/>
      <w:r w:rsidRPr="007B2EF8">
        <w:rPr>
          <w:rFonts w:ascii="Times New Roman" w:hAnsi="Times New Roman"/>
          <w:bCs/>
          <w:sz w:val="22"/>
          <w:szCs w:val="22"/>
        </w:rPr>
        <w:t>Ecoville</w:t>
      </w:r>
      <w:proofErr w:type="spellEnd"/>
      <w:r w:rsidRPr="007B2EF8">
        <w:rPr>
          <w:rFonts w:ascii="Times New Roman" w:hAnsi="Times New Roman"/>
          <w:bCs/>
          <w:sz w:val="22"/>
          <w:szCs w:val="22"/>
        </w:rPr>
        <w:t xml:space="preserve"> – Torre </w:t>
      </w:r>
      <w:proofErr w:type="spellStart"/>
      <w:r w:rsidRPr="007B2EF8">
        <w:rPr>
          <w:rFonts w:ascii="Times New Roman" w:hAnsi="Times New Roman"/>
          <w:bCs/>
          <w:sz w:val="22"/>
          <w:szCs w:val="22"/>
        </w:rPr>
        <w:t>Passaúna</w:t>
      </w:r>
      <w:proofErr w:type="spellEnd"/>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proofErr w:type="spellStart"/>
      <w:r w:rsidRPr="007E3C89">
        <w:rPr>
          <w:rFonts w:ascii="Times New Roman" w:hAnsi="Times New Roman" w:cs="Times New Roman"/>
          <w:bCs/>
          <w:color w:val="000000" w:themeColor="text1"/>
          <w:sz w:val="22"/>
          <w:szCs w:val="22"/>
        </w:rPr>
        <w:t>Novum</w:t>
      </w:r>
      <w:proofErr w:type="spellEnd"/>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proofErr w:type="spellStart"/>
      <w:r w:rsidR="001461AC">
        <w:rPr>
          <w:rFonts w:ascii="Times New Roman" w:hAnsi="Times New Roman" w:cs="Times New Roman"/>
          <w:bCs/>
          <w:color w:val="000000" w:themeColor="text1"/>
          <w:sz w:val="22"/>
          <w:szCs w:val="22"/>
        </w:rPr>
        <w:t>Novum</w:t>
      </w:r>
      <w:proofErr w:type="spellEnd"/>
      <w:r w:rsidR="001461AC">
        <w:rPr>
          <w:rFonts w:ascii="Times New Roman" w:hAnsi="Times New Roman" w:cs="Times New Roman"/>
          <w:bCs/>
          <w:color w:val="000000" w:themeColor="text1"/>
          <w:sz w:val="22"/>
          <w:szCs w:val="22"/>
        </w:rPr>
        <w:t xml:space="preserve">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nos competentes Cartórios de Registro de Imóveis de cada Contrato de Alienação 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Parque Maia, Gafisa </w:t>
      </w:r>
      <w:proofErr w:type="spellStart"/>
      <w:r w:rsidR="00AB4B67" w:rsidRPr="007B2EF8">
        <w:rPr>
          <w:rFonts w:ascii="Times New Roman" w:hAnsi="Times New Roman"/>
          <w:bCs/>
          <w:sz w:val="22"/>
          <w:szCs w:val="22"/>
        </w:rPr>
        <w:t>Upside</w:t>
      </w:r>
      <w:proofErr w:type="spellEnd"/>
      <w:r w:rsidR="00AB4B67" w:rsidRPr="007B2EF8">
        <w:rPr>
          <w:rFonts w:ascii="Times New Roman" w:hAnsi="Times New Roman"/>
          <w:bCs/>
          <w:sz w:val="22"/>
          <w:szCs w:val="22"/>
        </w:rPr>
        <w:t xml:space="preserve"> Paraíso, </w:t>
      </w:r>
      <w:proofErr w:type="spellStart"/>
      <w:r w:rsidR="00AB4B67" w:rsidRPr="007B2EF8">
        <w:rPr>
          <w:rFonts w:ascii="Times New Roman" w:hAnsi="Times New Roman"/>
          <w:bCs/>
          <w:sz w:val="22"/>
          <w:szCs w:val="22"/>
        </w:rPr>
        <w:t>Scena</w:t>
      </w:r>
      <w:proofErr w:type="spellEnd"/>
      <w:r w:rsidR="00AB4B67" w:rsidRPr="007B2EF8">
        <w:rPr>
          <w:rFonts w:ascii="Times New Roman" w:hAnsi="Times New Roman"/>
          <w:bCs/>
          <w:sz w:val="22"/>
          <w:szCs w:val="22"/>
        </w:rPr>
        <w:t xml:space="preserve"> Tatuapé,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Estação Brás,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Belém e Parque </w:t>
      </w:r>
      <w:proofErr w:type="spellStart"/>
      <w:r w:rsidR="00AB4B67" w:rsidRPr="007B2EF8">
        <w:rPr>
          <w:rFonts w:ascii="Times New Roman" w:hAnsi="Times New Roman"/>
          <w:bCs/>
          <w:sz w:val="22"/>
          <w:szCs w:val="22"/>
        </w:rPr>
        <w:t>Ecoville</w:t>
      </w:r>
      <w:proofErr w:type="spellEnd"/>
      <w:r w:rsidR="00AB4B67" w:rsidRPr="007B2EF8">
        <w:rPr>
          <w:rFonts w:ascii="Times New Roman" w:hAnsi="Times New Roman"/>
          <w:bCs/>
          <w:sz w:val="22"/>
          <w:szCs w:val="22"/>
        </w:rPr>
        <w:t xml:space="preserve"> – Torre </w:t>
      </w:r>
      <w:proofErr w:type="spellStart"/>
      <w:r w:rsidR="00AB4B67" w:rsidRPr="007B2EF8">
        <w:rPr>
          <w:rFonts w:ascii="Times New Roman" w:hAnsi="Times New Roman"/>
          <w:bCs/>
          <w:sz w:val="22"/>
          <w:szCs w:val="22"/>
        </w:rPr>
        <w:t>Passaúna</w:t>
      </w:r>
      <w:proofErr w:type="spellEnd"/>
      <w:r w:rsidR="00AB4B67" w:rsidRPr="007B2EF8">
        <w:rPr>
          <w:rFonts w:ascii="Times New Roman" w:hAnsi="Times New Roman"/>
          <w:bCs/>
          <w:sz w:val="22"/>
          <w:szCs w:val="22"/>
        </w:rPr>
        <w:t xml:space="preserve">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lastRenderedPageBreak/>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w:t>
      </w:r>
      <w:proofErr w:type="spellStart"/>
      <w:r w:rsidR="00CC35F8" w:rsidRPr="007E3C89">
        <w:rPr>
          <w:rFonts w:ascii="Times New Roman" w:hAnsi="Times New Roman" w:cs="Times New Roman"/>
          <w:bCs/>
          <w:color w:val="000000" w:themeColor="text1"/>
          <w:sz w:val="22"/>
          <w:szCs w:val="22"/>
        </w:rPr>
        <w:t>Novum</w:t>
      </w:r>
      <w:proofErr w:type="spellEnd"/>
      <w:r w:rsidR="00CC35F8" w:rsidRPr="007E3C89">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0"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0"/>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1"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1"/>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2"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2"/>
      <w:r w:rsidR="006D1B8E">
        <w:rPr>
          <w:rFonts w:ascii="Times New Roman" w:hAnsi="Times New Roman" w:cs="Times New Roman"/>
          <w:bCs/>
          <w:color w:val="000000" w:themeColor="text1"/>
          <w:sz w:val="22"/>
          <w:szCs w:val="22"/>
        </w:rPr>
        <w:t>.</w:t>
      </w:r>
      <w:bookmarkEnd w:id="8"/>
    </w:p>
    <w:bookmarkEnd w:id="9"/>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w:t>
      </w:r>
      <w:proofErr w:type="gramEnd"/>
      <w:r w:rsidRPr="00EF0CB9">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lastRenderedPageBreak/>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proofErr w:type="spellStart"/>
      <w:r w:rsidR="006510DD">
        <w:rPr>
          <w:rFonts w:ascii="Times New Roman" w:hAnsi="Times New Roman" w:cs="Times New Roman"/>
          <w:bCs/>
          <w:color w:val="000000" w:themeColor="text1"/>
          <w:sz w:val="22"/>
          <w:szCs w:val="22"/>
        </w:rPr>
        <w:t>ii</w:t>
      </w:r>
      <w:proofErr w:type="spellEnd"/>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3"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w:t>
      </w:r>
      <w:proofErr w:type="spellStart"/>
      <w:r w:rsidRPr="00D11384">
        <w:rPr>
          <w:i/>
          <w:iCs/>
          <w:color w:val="000000" w:themeColor="text1"/>
          <w:kern w:val="20"/>
          <w:sz w:val="22"/>
          <w:szCs w:val="22"/>
        </w:rPr>
        <w:t>x</w:t>
      </w:r>
      <w:r w:rsidR="00D11384">
        <w:rPr>
          <w:i/>
          <w:iCs/>
          <w:color w:val="000000" w:themeColor="text1"/>
          <w:kern w:val="20"/>
          <w:sz w:val="22"/>
          <w:szCs w:val="22"/>
        </w:rPr>
        <w:t>xv</w:t>
      </w:r>
      <w:proofErr w:type="spellEnd"/>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172433FE" w:rsidR="00D046CE" w:rsidRPr="00D11384" w:rsidRDefault="00D046CE" w:rsidP="00D046CE">
      <w:pPr>
        <w:pStyle w:val="PargrafodaLista"/>
        <w:spacing w:line="320" w:lineRule="exact"/>
        <w:ind w:left="851"/>
        <w:rPr>
          <w:color w:val="000000" w:themeColor="text1"/>
          <w:sz w:val="22"/>
          <w:szCs w:val="22"/>
        </w:rPr>
      </w:pPr>
      <w:bookmarkStart w:id="14" w:name="_Hlk115178655"/>
      <w:r w:rsidRPr="00D11384">
        <w:rPr>
          <w:i/>
          <w:iCs/>
          <w:color w:val="000000" w:themeColor="text1"/>
          <w:sz w:val="22"/>
          <w:szCs w:val="22"/>
        </w:rPr>
        <w:t>Para os fins aqui previstos no item “(</w:t>
      </w:r>
      <w:proofErr w:type="spellStart"/>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proofErr w:type="spellEnd"/>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4"/>
      <w:r w:rsidRPr="00D11384">
        <w:rPr>
          <w:i/>
          <w:iCs/>
          <w:color w:val="000000" w:themeColor="text1"/>
          <w:sz w:val="22"/>
          <w:szCs w:val="22"/>
        </w:rPr>
        <w:t xml:space="preserve">. Caso em qualquer medição seja verificado que o Índice Mínimo de Garantias não foi respeitado, 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deverá comunicar a Emissora por escrito acerca do referido descumprimento (“</w:t>
      </w:r>
      <w:r w:rsidRPr="00D11384">
        <w:rPr>
          <w:i/>
          <w:iCs/>
          <w:color w:val="000000" w:themeColor="text1"/>
          <w:sz w:val="22"/>
          <w:szCs w:val="22"/>
          <w:u w:val="single"/>
        </w:rPr>
        <w:t>Notificação Descumprimento Índice Mínimo de 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 xml:space="preserve">(i) de Amortização Extraordinária Obrigatória no valor necessário para o reenquadramento de </w:t>
      </w:r>
      <w:r w:rsidR="006510DD" w:rsidRPr="00D11384">
        <w:rPr>
          <w:i/>
          <w:iCs/>
          <w:color w:val="000000" w:themeColor="text1"/>
          <w:kern w:val="20"/>
          <w:sz w:val="22"/>
          <w:szCs w:val="22"/>
        </w:rPr>
        <w:lastRenderedPageBreak/>
        <w:t>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 xml:space="preserve">da constituição de outras garantias aceitas pela </w:t>
      </w:r>
      <w:proofErr w:type="spellStart"/>
      <w:r w:rsidRPr="00D11384">
        <w:rPr>
          <w:i/>
          <w:iCs/>
          <w:color w:val="000000" w:themeColor="text1"/>
          <w:kern w:val="20"/>
          <w:sz w:val="22"/>
          <w:szCs w:val="22"/>
        </w:rPr>
        <w:t>Securitizadora</w:t>
      </w:r>
      <w:proofErr w:type="spellEnd"/>
      <w:r w:rsidRPr="00D11384">
        <w:rPr>
          <w:i/>
          <w:iCs/>
          <w:color w:val="000000" w:themeColor="text1"/>
          <w:kern w:val="20"/>
          <w:sz w:val="22"/>
          <w:szCs w:val="22"/>
        </w:rPr>
        <w:t>, desde que aprovadas pelos Titulares dos CRI</w:t>
      </w:r>
      <w:r w:rsidR="00B35AA7" w:rsidRPr="00D11384">
        <w:rPr>
          <w:i/>
          <w:iCs/>
          <w:kern w:val="20"/>
          <w:sz w:val="22"/>
          <w:szCs w:val="22"/>
        </w:rPr>
        <w:t>, observado o disposto na Cláusula 7.12 acima</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Liberação para a Conta de Livre Movimentação nos termos da Cláusula 7.12 acima.</w:t>
      </w:r>
      <w:r w:rsidR="006D1B8E" w:rsidRPr="00D11384">
        <w:rPr>
          <w:i/>
          <w:iCs/>
          <w:color w:val="000000" w:themeColor="text1"/>
          <w:sz w:val="22"/>
          <w:szCs w:val="22"/>
        </w:rPr>
        <w:t xml:space="preserve"> Uma vez que ocorra o reenquadramento do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5"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 xml:space="preserve">Valor dos Direitos Creditórios Cedidos + </w:t>
      </w:r>
      <w:proofErr w:type="gramStart"/>
      <w:r w:rsidRPr="00D11384">
        <w:rPr>
          <w:i/>
          <w:iCs/>
          <w:color w:val="000000" w:themeColor="text1"/>
          <w:sz w:val="22"/>
          <w:szCs w:val="22"/>
          <w:u w:val="single"/>
        </w:rPr>
        <w:t>Estoque</w:t>
      </w:r>
      <w:r w:rsidRPr="00D11384">
        <w:rPr>
          <w:i/>
          <w:iCs/>
          <w:color w:val="000000" w:themeColor="text1"/>
          <w:sz w:val="22"/>
          <w:szCs w:val="22"/>
        </w:rPr>
        <w:t>  ≥</w:t>
      </w:r>
      <w:proofErr w:type="gramEnd"/>
      <w:r w:rsidRPr="00D11384">
        <w:rPr>
          <w:i/>
          <w:iCs/>
          <w:color w:val="000000" w:themeColor="text1"/>
          <w:sz w:val="22"/>
          <w:szCs w:val="22"/>
        </w:rPr>
        <w:t xml:space="preserve">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3"/>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3BEC8FCF" w:rsidR="00D046CE" w:rsidRPr="00D11384" w:rsidRDefault="00D046CE" w:rsidP="00D046CE">
      <w:pPr>
        <w:pStyle w:val="PargrafodaLista"/>
        <w:spacing w:line="320" w:lineRule="exact"/>
        <w:ind w:left="851"/>
        <w:rPr>
          <w:i/>
          <w:iCs/>
          <w:color w:val="000000" w:themeColor="text1"/>
          <w:sz w:val="22"/>
          <w:szCs w:val="22"/>
        </w:rPr>
      </w:pPr>
      <w:bookmarkStart w:id="16" w:name="_Hlk115975385"/>
      <w:r w:rsidRPr="00D11384">
        <w:rPr>
          <w:i/>
          <w:iCs/>
          <w:color w:val="000000" w:themeColor="text1"/>
          <w:sz w:val="22"/>
          <w:szCs w:val="22"/>
        </w:rPr>
        <w:t>Para os fins aqui previstos no item “(</w:t>
      </w:r>
      <w:proofErr w:type="spellStart"/>
      <w:r w:rsidRPr="00D11384">
        <w:rPr>
          <w:i/>
          <w:iCs/>
          <w:color w:val="000000" w:themeColor="text1"/>
          <w:sz w:val="22"/>
          <w:szCs w:val="22"/>
        </w:rPr>
        <w:t>x</w:t>
      </w:r>
      <w:r w:rsidR="00D11384">
        <w:rPr>
          <w:i/>
          <w:iCs/>
          <w:color w:val="000000" w:themeColor="text1"/>
          <w:sz w:val="22"/>
          <w:szCs w:val="22"/>
        </w:rPr>
        <w:t>xv</w:t>
      </w:r>
      <w:proofErr w:type="spellEnd"/>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D11384">
        <w:rPr>
          <w:i/>
          <w:iCs/>
          <w:color w:val="000000" w:themeColor="text1"/>
          <w:kern w:val="20"/>
          <w:sz w:val="22"/>
          <w:szCs w:val="22"/>
        </w:rPr>
        <w:lastRenderedPageBreak/>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 xml:space="preserve">Caso em qualquer medição seja verificado que o Novo Índice Mínimo de Garantias não foi respeitado, a </w:t>
      </w:r>
      <w:proofErr w:type="spellStart"/>
      <w:r w:rsidRPr="00D11384">
        <w:rPr>
          <w:i/>
          <w:iCs/>
          <w:color w:val="000000" w:themeColor="text1"/>
          <w:sz w:val="22"/>
          <w:szCs w:val="22"/>
        </w:rPr>
        <w:t>Securitizadora</w:t>
      </w:r>
      <w:proofErr w:type="spellEnd"/>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do Novo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 xml:space="preserve">da constituição de outras garantias aceitas pela </w:t>
      </w:r>
      <w:proofErr w:type="spellStart"/>
      <w:r w:rsidRPr="00D11384">
        <w:rPr>
          <w:i/>
          <w:iCs/>
          <w:color w:val="000000" w:themeColor="text1"/>
          <w:kern w:val="20"/>
          <w:sz w:val="22"/>
          <w:szCs w:val="22"/>
        </w:rPr>
        <w:t>Securitizadora</w:t>
      </w:r>
      <w:proofErr w:type="spellEnd"/>
      <w:r w:rsidRPr="00D11384">
        <w:rPr>
          <w:i/>
          <w:iCs/>
          <w:color w:val="000000" w:themeColor="text1"/>
          <w:kern w:val="20"/>
          <w:sz w:val="22"/>
          <w:szCs w:val="22"/>
        </w:rPr>
        <w:t>, desde que aprovadas pelos Titulares dos CRI</w:t>
      </w:r>
      <w:r w:rsidR="00B35AA7" w:rsidRPr="00D11384">
        <w:rPr>
          <w:i/>
          <w:iCs/>
          <w:kern w:val="20"/>
          <w:sz w:val="22"/>
          <w:szCs w:val="22"/>
        </w:rPr>
        <w:t>, observado o disposto na Cláusula 7.12 acima</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acima. </w:t>
      </w:r>
      <w:r w:rsidR="006D1B8E" w:rsidRPr="00D11384">
        <w:rPr>
          <w:i/>
          <w:iCs/>
          <w:color w:val="000000" w:themeColor="text1"/>
          <w:sz w:val="22"/>
          <w:szCs w:val="22"/>
        </w:rPr>
        <w:t xml:space="preserve">Uma vez que ocorra o reenquadramento do Novo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r w:rsidR="009B6FD5">
        <w:rPr>
          <w:i/>
          <w:iCs/>
          <w:color w:val="000000" w:themeColor="text1"/>
          <w:sz w:val="22"/>
          <w:szCs w:val="22"/>
        </w:rPr>
        <w:t xml:space="preserve"> </w:t>
      </w:r>
      <w:r w:rsidR="009B6FD5">
        <w:rPr>
          <w:i/>
          <w:iCs/>
          <w:sz w:val="22"/>
          <w:szCs w:val="22"/>
        </w:rPr>
        <w:t>[</w:t>
      </w:r>
      <w:r w:rsidR="009B6FD5" w:rsidRPr="008279B3">
        <w:rPr>
          <w:b/>
          <w:bCs/>
          <w:i/>
          <w:iCs/>
          <w:sz w:val="22"/>
          <w:szCs w:val="22"/>
          <w:highlight w:val="green"/>
        </w:rPr>
        <w:t xml:space="preserve">Nota </w:t>
      </w:r>
      <w:proofErr w:type="spellStart"/>
      <w:r w:rsidR="009B6FD5" w:rsidRPr="008279B3">
        <w:rPr>
          <w:b/>
          <w:bCs/>
          <w:i/>
          <w:iCs/>
          <w:sz w:val="22"/>
          <w:szCs w:val="22"/>
          <w:highlight w:val="green"/>
        </w:rPr>
        <w:t>Jur</w:t>
      </w:r>
      <w:proofErr w:type="spellEnd"/>
      <w:r w:rsidR="009B6FD5" w:rsidRPr="008279B3">
        <w:rPr>
          <w:b/>
          <w:bCs/>
          <w:i/>
          <w:iCs/>
          <w:sz w:val="22"/>
          <w:szCs w:val="22"/>
          <w:highlight w:val="green"/>
        </w:rPr>
        <w:t xml:space="preserve"> </w:t>
      </w:r>
      <w:proofErr w:type="spellStart"/>
      <w:r w:rsidR="009B6FD5" w:rsidRPr="008279B3">
        <w:rPr>
          <w:b/>
          <w:bCs/>
          <w:i/>
          <w:iCs/>
          <w:sz w:val="22"/>
          <w:szCs w:val="22"/>
          <w:highlight w:val="green"/>
        </w:rPr>
        <w:t>Trustee</w:t>
      </w:r>
      <w:proofErr w:type="spellEnd"/>
      <w:r w:rsidR="009B6FD5" w:rsidRPr="008279B3">
        <w:rPr>
          <w:b/>
          <w:bCs/>
          <w:i/>
          <w:iCs/>
          <w:sz w:val="22"/>
          <w:szCs w:val="22"/>
          <w:highlight w:val="green"/>
        </w:rPr>
        <w:t>:</w:t>
      </w:r>
      <w:r w:rsidR="009B6FD5" w:rsidRPr="008279B3">
        <w:rPr>
          <w:i/>
          <w:iCs/>
          <w:sz w:val="22"/>
          <w:szCs w:val="22"/>
          <w:highlight w:val="green"/>
        </w:rPr>
        <w:t xml:space="preserve"> necessário definir direitos elegíveis, pois estão definidos somente o valor dos direitos </w:t>
      </w:r>
      <w:proofErr w:type="gramStart"/>
      <w:r w:rsidR="009B6FD5" w:rsidRPr="008279B3">
        <w:rPr>
          <w:i/>
          <w:iCs/>
          <w:sz w:val="22"/>
          <w:szCs w:val="22"/>
          <w:highlight w:val="green"/>
        </w:rPr>
        <w:t>elegíveis</w:t>
      </w:r>
      <w:r w:rsidR="009B6FD5">
        <w:rPr>
          <w:i/>
          <w:iCs/>
          <w:sz w:val="22"/>
          <w:szCs w:val="22"/>
        </w:rPr>
        <w:t>][</w:t>
      </w:r>
      <w:proofErr w:type="gramEnd"/>
      <w:r w:rsidR="009B6FD5" w:rsidRPr="008279B3">
        <w:rPr>
          <w:b/>
          <w:bCs/>
          <w:i/>
          <w:iCs/>
          <w:sz w:val="22"/>
          <w:szCs w:val="22"/>
          <w:highlight w:val="yellow"/>
        </w:rPr>
        <w:t xml:space="preserve">Nota </w:t>
      </w:r>
      <w:proofErr w:type="spellStart"/>
      <w:r w:rsidR="009B6FD5" w:rsidRPr="008279B3">
        <w:rPr>
          <w:b/>
          <w:bCs/>
          <w:i/>
          <w:iCs/>
          <w:sz w:val="22"/>
          <w:szCs w:val="22"/>
          <w:highlight w:val="yellow"/>
        </w:rPr>
        <w:t>Cescon</w:t>
      </w:r>
      <w:proofErr w:type="spellEnd"/>
      <w:r w:rsidR="009B6FD5" w:rsidRPr="008279B3">
        <w:rPr>
          <w:b/>
          <w:bCs/>
          <w:i/>
          <w:iCs/>
          <w:sz w:val="22"/>
          <w:szCs w:val="22"/>
          <w:highlight w:val="yellow"/>
        </w:rPr>
        <w:t xml:space="preserve"> </w:t>
      </w:r>
      <w:proofErr w:type="spellStart"/>
      <w:r w:rsidR="009B6FD5" w:rsidRPr="008279B3">
        <w:rPr>
          <w:b/>
          <w:bCs/>
          <w:i/>
          <w:iCs/>
          <w:sz w:val="22"/>
          <w:szCs w:val="22"/>
          <w:highlight w:val="yellow"/>
        </w:rPr>
        <w:t>Barrieu</w:t>
      </w:r>
      <w:proofErr w:type="spellEnd"/>
      <w:r w:rsidR="009B6FD5" w:rsidRPr="008279B3">
        <w:rPr>
          <w:b/>
          <w:bCs/>
          <w:i/>
          <w:iCs/>
          <w:sz w:val="22"/>
          <w:szCs w:val="22"/>
          <w:highlight w:val="yellow"/>
        </w:rPr>
        <w:t>:</w:t>
      </w:r>
      <w:r w:rsidR="009B6FD5" w:rsidRPr="008279B3">
        <w:rPr>
          <w:i/>
          <w:iCs/>
          <w:sz w:val="22"/>
          <w:szCs w:val="22"/>
          <w:highlight w:val="yellow"/>
        </w:rPr>
        <w:t xml:space="preserve"> favor encaminhar definição</w:t>
      </w:r>
      <w:r w:rsidR="009B6FD5">
        <w:rPr>
          <w:i/>
          <w:iCs/>
          <w:sz w:val="22"/>
          <w:szCs w:val="22"/>
        </w:rPr>
        <w:t>]</w:t>
      </w:r>
    </w:p>
    <w:bookmarkEnd w:id="16"/>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75FEC9B4"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 </w:t>
      </w:r>
      <w:r w:rsidR="009B6FD5">
        <w:rPr>
          <w:i/>
          <w:iCs/>
          <w:sz w:val="22"/>
          <w:szCs w:val="22"/>
        </w:rPr>
        <w:t>[</w:t>
      </w:r>
      <w:r w:rsidR="009B6FD5" w:rsidRPr="005A1EB5">
        <w:rPr>
          <w:b/>
          <w:bCs/>
          <w:i/>
          <w:iCs/>
          <w:sz w:val="22"/>
          <w:szCs w:val="22"/>
          <w:highlight w:val="green"/>
        </w:rPr>
        <w:t xml:space="preserve">Nota </w:t>
      </w:r>
      <w:proofErr w:type="spellStart"/>
      <w:r w:rsidR="009B6FD5" w:rsidRPr="005A1EB5">
        <w:rPr>
          <w:b/>
          <w:bCs/>
          <w:i/>
          <w:iCs/>
          <w:sz w:val="22"/>
          <w:szCs w:val="22"/>
          <w:highlight w:val="green"/>
        </w:rPr>
        <w:t>Jur</w:t>
      </w:r>
      <w:proofErr w:type="spellEnd"/>
      <w:r w:rsidR="009B6FD5" w:rsidRPr="005A1EB5">
        <w:rPr>
          <w:b/>
          <w:bCs/>
          <w:i/>
          <w:iCs/>
          <w:sz w:val="22"/>
          <w:szCs w:val="22"/>
          <w:highlight w:val="green"/>
        </w:rPr>
        <w:t xml:space="preserve"> </w:t>
      </w:r>
      <w:proofErr w:type="spellStart"/>
      <w:r w:rsidR="009B6FD5" w:rsidRPr="005A1EB5">
        <w:rPr>
          <w:b/>
          <w:bCs/>
          <w:i/>
          <w:iCs/>
          <w:sz w:val="22"/>
          <w:szCs w:val="22"/>
          <w:highlight w:val="green"/>
        </w:rPr>
        <w:t>Trustee</w:t>
      </w:r>
      <w:proofErr w:type="spellEnd"/>
      <w:r w:rsidR="009B6FD5" w:rsidRPr="005A1EB5">
        <w:rPr>
          <w:b/>
          <w:bCs/>
          <w:i/>
          <w:iCs/>
          <w:sz w:val="22"/>
          <w:szCs w:val="22"/>
          <w:highlight w:val="green"/>
        </w:rPr>
        <w:t>:</w:t>
      </w:r>
      <w:r w:rsidR="009B6FD5" w:rsidRPr="005A1EB5">
        <w:rPr>
          <w:i/>
          <w:iCs/>
          <w:sz w:val="22"/>
          <w:szCs w:val="22"/>
          <w:highlight w:val="green"/>
        </w:rPr>
        <w:t xml:space="preserve"> </w:t>
      </w:r>
      <w:r w:rsidR="009B6FD5" w:rsidRPr="008279B3">
        <w:rPr>
          <w:i/>
          <w:iCs/>
          <w:sz w:val="22"/>
          <w:szCs w:val="22"/>
          <w:highlight w:val="green"/>
        </w:rPr>
        <w:t xml:space="preserve">não seria conveniente mencionar quais </w:t>
      </w:r>
      <w:proofErr w:type="gramStart"/>
      <w:r w:rsidR="009B6FD5" w:rsidRPr="008279B3">
        <w:rPr>
          <w:i/>
          <w:iCs/>
          <w:sz w:val="22"/>
          <w:szCs w:val="22"/>
          <w:highlight w:val="green"/>
        </w:rPr>
        <w:t>contratos</w:t>
      </w:r>
      <w:r w:rsidR="009B6FD5">
        <w:rPr>
          <w:i/>
          <w:iCs/>
          <w:sz w:val="22"/>
          <w:szCs w:val="22"/>
        </w:rPr>
        <w:t>][</w:t>
      </w:r>
      <w:proofErr w:type="gramEnd"/>
      <w:r w:rsidR="009B6FD5" w:rsidRPr="008279B3">
        <w:rPr>
          <w:b/>
          <w:bCs/>
          <w:i/>
          <w:iCs/>
          <w:sz w:val="22"/>
          <w:szCs w:val="22"/>
          <w:highlight w:val="yellow"/>
        </w:rPr>
        <w:t xml:space="preserve">Nota </w:t>
      </w:r>
      <w:proofErr w:type="spellStart"/>
      <w:r w:rsidR="009B6FD5" w:rsidRPr="008279B3">
        <w:rPr>
          <w:b/>
          <w:bCs/>
          <w:i/>
          <w:iCs/>
          <w:sz w:val="22"/>
          <w:szCs w:val="22"/>
          <w:highlight w:val="yellow"/>
        </w:rPr>
        <w:t>Cescon</w:t>
      </w:r>
      <w:proofErr w:type="spellEnd"/>
      <w:r w:rsidR="009B6FD5" w:rsidRPr="008279B3">
        <w:rPr>
          <w:b/>
          <w:bCs/>
          <w:i/>
          <w:iCs/>
          <w:sz w:val="22"/>
          <w:szCs w:val="22"/>
          <w:highlight w:val="yellow"/>
        </w:rPr>
        <w:t xml:space="preserve"> </w:t>
      </w:r>
      <w:proofErr w:type="spellStart"/>
      <w:r w:rsidR="009B6FD5" w:rsidRPr="008279B3">
        <w:rPr>
          <w:b/>
          <w:bCs/>
          <w:i/>
          <w:iCs/>
          <w:sz w:val="22"/>
          <w:szCs w:val="22"/>
          <w:highlight w:val="yellow"/>
        </w:rPr>
        <w:t>Barrieu</w:t>
      </w:r>
      <w:proofErr w:type="spellEnd"/>
      <w:r w:rsidR="009B6FD5" w:rsidRPr="008279B3">
        <w:rPr>
          <w:b/>
          <w:bCs/>
          <w:i/>
          <w:iCs/>
          <w:sz w:val="22"/>
          <w:szCs w:val="22"/>
          <w:highlight w:val="yellow"/>
        </w:rPr>
        <w:t>:</w:t>
      </w:r>
      <w:r w:rsidR="009B6FD5" w:rsidRPr="008279B3">
        <w:rPr>
          <w:i/>
          <w:iCs/>
          <w:sz w:val="22"/>
          <w:szCs w:val="22"/>
          <w:highlight w:val="yellow"/>
        </w:rPr>
        <w:t xml:space="preserve"> </w:t>
      </w:r>
      <w:r w:rsidR="009B6FD5">
        <w:rPr>
          <w:i/>
          <w:iCs/>
          <w:sz w:val="22"/>
          <w:szCs w:val="22"/>
          <w:highlight w:val="yellow"/>
        </w:rPr>
        <w:t>pedimos por gentileza a confirmação do grupo</w:t>
      </w:r>
      <w:r w:rsidR="009B6FD5">
        <w:rPr>
          <w:i/>
          <w:iCs/>
          <w:sz w:val="22"/>
          <w:szCs w:val="22"/>
        </w:rPr>
        <w:t>]</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77777777" w:rsidR="006510DD"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5E098947"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 xml:space="preserve">Para fins do item “(b)” acima, “em fase de repasse” significa </w:t>
      </w:r>
      <w:r w:rsidR="006A1DF4" w:rsidRPr="006A1DF4">
        <w:rPr>
          <w:i/>
          <w:iCs/>
          <w:color w:val="000000" w:themeColor="text1"/>
          <w:sz w:val="22"/>
          <w:szCs w:val="22"/>
        </w:rPr>
        <w:t xml:space="preserve">créditos com atraso acima de 120 </w:t>
      </w:r>
      <w:r w:rsidR="006A1DF4">
        <w:rPr>
          <w:i/>
          <w:iCs/>
          <w:color w:val="000000" w:themeColor="text1"/>
          <w:sz w:val="22"/>
          <w:szCs w:val="22"/>
        </w:rPr>
        <w:lastRenderedPageBreak/>
        <w:t xml:space="preserve">(cento e vinte) </w:t>
      </w:r>
      <w:r w:rsidR="006A1DF4" w:rsidRPr="006A1DF4">
        <w:rPr>
          <w:i/>
          <w:iCs/>
          <w:color w:val="000000" w:themeColor="text1"/>
          <w:sz w:val="22"/>
          <w:szCs w:val="22"/>
        </w:rPr>
        <w:t xml:space="preserve">dias que estão em fase de negociação de repasse com </w:t>
      </w:r>
      <w:r w:rsidR="006A1DF4">
        <w:rPr>
          <w:i/>
          <w:iCs/>
          <w:color w:val="000000" w:themeColor="text1"/>
          <w:sz w:val="22"/>
          <w:szCs w:val="22"/>
        </w:rPr>
        <w:t>i</w:t>
      </w:r>
      <w:r w:rsidR="006A1DF4" w:rsidRPr="006A1DF4">
        <w:rPr>
          <w:i/>
          <w:iCs/>
          <w:color w:val="000000" w:themeColor="text1"/>
          <w:sz w:val="22"/>
          <w:szCs w:val="22"/>
        </w:rPr>
        <w:t xml:space="preserve">nstituições </w:t>
      </w:r>
      <w:r w:rsidR="006A1DF4">
        <w:rPr>
          <w:i/>
          <w:iCs/>
          <w:color w:val="000000" w:themeColor="text1"/>
          <w:sz w:val="22"/>
          <w:szCs w:val="22"/>
        </w:rPr>
        <w:t>f</w:t>
      </w:r>
      <w:r w:rsidR="006A1DF4" w:rsidRPr="006A1DF4">
        <w:rPr>
          <w:i/>
          <w:iCs/>
          <w:color w:val="000000" w:themeColor="text1"/>
          <w:sz w:val="22"/>
          <w:szCs w:val="22"/>
        </w:rPr>
        <w:t>inanceiras</w:t>
      </w:r>
      <w:r w:rsidRPr="00D11384">
        <w:rPr>
          <w:i/>
          <w:iCs/>
          <w:color w:val="000000" w:themeColor="text1"/>
          <w:sz w:val="22"/>
          <w:szCs w:val="22"/>
        </w:rPr>
        <w:t xml:space="preserve">, que será comprovado através de medições dos seguintes marcos: (i) </w:t>
      </w:r>
      <w:r w:rsidR="006A1DF4">
        <w:rPr>
          <w:i/>
          <w:iCs/>
          <w:color w:val="000000" w:themeColor="text1"/>
          <w:sz w:val="22"/>
          <w:szCs w:val="22"/>
        </w:rPr>
        <w:t xml:space="preserve">em </w:t>
      </w:r>
      <w:r w:rsidRPr="00D11384">
        <w:rPr>
          <w:i/>
          <w:iCs/>
          <w:color w:val="000000" w:themeColor="text1"/>
          <w:sz w:val="22"/>
          <w:szCs w:val="22"/>
        </w:rPr>
        <w:t>avaliação e aprovação de crédito de clientes; e (</w:t>
      </w:r>
      <w:proofErr w:type="spellStart"/>
      <w:r w:rsidRPr="00D11384">
        <w:rPr>
          <w:i/>
          <w:iCs/>
          <w:color w:val="000000" w:themeColor="text1"/>
          <w:sz w:val="22"/>
          <w:szCs w:val="22"/>
        </w:rPr>
        <w:t>ii</w:t>
      </w:r>
      <w:proofErr w:type="spellEnd"/>
      <w:r w:rsidRPr="00D11384">
        <w:rPr>
          <w:i/>
          <w:iCs/>
          <w:color w:val="000000" w:themeColor="text1"/>
          <w:sz w:val="22"/>
          <w:szCs w:val="22"/>
        </w:rPr>
        <w:t xml:space="preserve">) </w:t>
      </w:r>
      <w:r w:rsidR="006A1DF4">
        <w:rPr>
          <w:i/>
          <w:iCs/>
          <w:color w:val="000000" w:themeColor="text1"/>
          <w:sz w:val="22"/>
          <w:szCs w:val="22"/>
        </w:rPr>
        <w:t xml:space="preserve">em </w:t>
      </w:r>
      <w:r w:rsidRPr="00D11384">
        <w:rPr>
          <w:i/>
          <w:iCs/>
          <w:color w:val="000000" w:themeColor="text1"/>
          <w:sz w:val="22"/>
          <w:szCs w:val="22"/>
        </w:rPr>
        <w:t>emissão dos contratos de repasse”.</w:t>
      </w:r>
      <w:bookmarkEnd w:id="15"/>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brigação prevista na Cláusula 7.2, item “(</w:t>
      </w:r>
      <w:proofErr w:type="spellStart"/>
      <w:r w:rsidR="00044C9D" w:rsidRPr="00481264">
        <w:rPr>
          <w:rFonts w:ascii="Times New Roman" w:hAnsi="Times New Roman" w:cs="Times New Roman"/>
          <w:bCs/>
          <w:color w:val="000000" w:themeColor="text1"/>
          <w:sz w:val="22"/>
          <w:szCs w:val="22"/>
        </w:rPr>
        <w:t>xvi</w:t>
      </w:r>
      <w:proofErr w:type="spellEnd"/>
      <w:r w:rsidR="00044C9D" w:rsidRPr="00481264">
        <w:rPr>
          <w:rFonts w:ascii="Times New Roman" w:hAnsi="Times New Roman" w:cs="Times New Roman"/>
          <w:bCs/>
          <w:color w:val="000000" w:themeColor="text1"/>
          <w:sz w:val="22"/>
          <w:szCs w:val="22"/>
        </w:rPr>
        <w:t xml:space="preserve">)”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3F9AABA2"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622027">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Gafisa SPE-128 Empreendimentos Imobiliários Ltda. (CNPJ/ME nº CNPJ/ME sob o nº 12.707.231/0001-19),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Belvedere </w:t>
      </w:r>
      <w:proofErr w:type="spellStart"/>
      <w:r w:rsidRPr="00082EF9">
        <w:rPr>
          <w:rFonts w:ascii="Times New Roman" w:hAnsi="Times New Roman" w:cs="Times New Roman"/>
          <w:bCs/>
          <w:color w:val="000000" w:themeColor="text1"/>
          <w:sz w:val="22"/>
          <w:szCs w:val="22"/>
          <w:u w:val="single"/>
        </w:rPr>
        <w:t>Lorian</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w:t>
      </w:r>
      <w:r w:rsidRPr="00082EF9">
        <w:rPr>
          <w:rFonts w:ascii="Times New Roman" w:hAnsi="Times New Roman" w:cs="Times New Roman"/>
          <w:bCs/>
          <w:color w:val="000000" w:themeColor="text1"/>
          <w:sz w:val="22"/>
          <w:szCs w:val="22"/>
        </w:rPr>
        <w:lastRenderedPageBreak/>
        <w:t xml:space="preserve">Emissão previstas na Escritura de Hipoteca Belvedere </w:t>
      </w:r>
      <w:proofErr w:type="spellStart"/>
      <w:r w:rsidRPr="00082EF9">
        <w:rPr>
          <w:rFonts w:ascii="Times New Roman" w:hAnsi="Times New Roman" w:cs="Times New Roman"/>
          <w:bCs/>
          <w:color w:val="000000" w:themeColor="text1"/>
          <w:sz w:val="22"/>
          <w:szCs w:val="22"/>
        </w:rPr>
        <w:t>Lorian</w:t>
      </w:r>
      <w:proofErr w:type="spellEnd"/>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0C3165BA"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w:t>
      </w:r>
      <w:r w:rsidRPr="00082EF9">
        <w:rPr>
          <w:rFonts w:ascii="Times New Roman" w:hAnsi="Times New Roman"/>
          <w:color w:val="000000" w:themeColor="text1"/>
          <w:sz w:val="22"/>
          <w:szCs w:val="22"/>
        </w:rPr>
        <w:t xml:space="preserve">SPE Parque </w:t>
      </w:r>
      <w:proofErr w:type="spellStart"/>
      <w:r w:rsidRPr="00082EF9">
        <w:rPr>
          <w:rFonts w:ascii="Times New Roman" w:hAnsi="Times New Roman"/>
          <w:color w:val="000000" w:themeColor="text1"/>
          <w:sz w:val="22"/>
          <w:szCs w:val="22"/>
        </w:rPr>
        <w:t>Ecoville</w:t>
      </w:r>
      <w:proofErr w:type="spellEnd"/>
      <w:r w:rsidRPr="00082EF9">
        <w:rPr>
          <w:rFonts w:ascii="Times New Roman" w:hAnsi="Times New Roman"/>
          <w:color w:val="000000" w:themeColor="text1"/>
          <w:sz w:val="22"/>
          <w:szCs w:val="22"/>
        </w:rPr>
        <w:t xml:space="preserve"> Empreendimentos Imobiliários Ltda. (CNPJ/ME sob o nº 09.072.524/0001-62) (“</w:t>
      </w:r>
      <w:r w:rsidRPr="00082EF9">
        <w:rPr>
          <w:rFonts w:ascii="Times New Roman" w:hAnsi="Times New Roman" w:cs="Times New Roman"/>
          <w:color w:val="000000" w:themeColor="text1"/>
          <w:sz w:val="22"/>
          <w:szCs w:val="22"/>
          <w:u w:val="single"/>
        </w:rPr>
        <w:t xml:space="preserve">SPE Parque </w:t>
      </w:r>
      <w:proofErr w:type="spellStart"/>
      <w:r w:rsidRPr="00082EF9">
        <w:rPr>
          <w:rFonts w:ascii="Times New Roman" w:hAnsi="Times New Roman" w:cs="Times New Roman"/>
          <w:color w:val="000000" w:themeColor="text1"/>
          <w:sz w:val="22"/>
          <w:szCs w:val="22"/>
          <w:u w:val="single"/>
        </w:rPr>
        <w:t>Ecoville</w:t>
      </w:r>
      <w:proofErr w:type="spellEnd"/>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xml:space="preserve">,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SPE Parque </w:t>
      </w:r>
      <w:proofErr w:type="spellStart"/>
      <w:r w:rsidRPr="00082EF9">
        <w:rPr>
          <w:rFonts w:ascii="Times New Roman" w:hAnsi="Times New Roman" w:cs="Times New Roman"/>
          <w:bCs/>
          <w:color w:val="000000" w:themeColor="text1"/>
          <w:sz w:val="22"/>
          <w:szCs w:val="22"/>
          <w:u w:val="single"/>
        </w:rPr>
        <w:t>Ecoville</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rsidP="002A27C3">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w:t>
      </w:r>
      <w:proofErr w:type="gramEnd"/>
      <w:r w:rsidRPr="008264D0">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w:t>
      </w:r>
      <w:proofErr w:type="spellStart"/>
      <w:r w:rsidRPr="008264D0">
        <w:rPr>
          <w:rFonts w:ascii="Times New Roman" w:hAnsi="Times New Roman" w:cs="Times New Roman"/>
          <w:color w:val="000000" w:themeColor="text1"/>
          <w:sz w:val="22"/>
          <w:szCs w:val="22"/>
        </w:rPr>
        <w:t>Novum</w:t>
      </w:r>
      <w:proofErr w:type="spellEnd"/>
      <w:r w:rsidRPr="008264D0">
        <w:rPr>
          <w:rFonts w:ascii="Times New Roman" w:hAnsi="Times New Roman" w:cs="Times New Roman"/>
          <w:color w:val="000000" w:themeColor="text1"/>
          <w:sz w:val="22"/>
          <w:szCs w:val="22"/>
        </w:rPr>
        <w:t xml:space="preserve">,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I240 Serra de </w:t>
      </w:r>
      <w:proofErr w:type="spellStart"/>
      <w:r w:rsidR="00AD071C" w:rsidRPr="008264D0">
        <w:rPr>
          <w:rFonts w:ascii="Times New Roman" w:hAnsi="Times New Roman"/>
          <w:color w:val="000000" w:themeColor="text1"/>
          <w:sz w:val="22"/>
          <w:szCs w:val="22"/>
        </w:rPr>
        <w:t>Jaire</w:t>
      </w:r>
      <w:proofErr w:type="spellEnd"/>
      <w:r w:rsidR="00AD071C" w:rsidRPr="008264D0">
        <w:rPr>
          <w:rFonts w:ascii="Times New Roman" w:hAnsi="Times New Roman"/>
          <w:color w:val="000000" w:themeColor="text1"/>
          <w:sz w:val="22"/>
          <w:szCs w:val="22"/>
        </w:rPr>
        <w:t xml:space="preserve"> SPE – Empreendimentos Imobiliários Ltda. (CNPJ/ME sob o nº 34.425.790/0001-79) (“</w:t>
      </w:r>
      <w:r w:rsidR="00AD071C" w:rsidRPr="008264D0">
        <w:rPr>
          <w:rFonts w:ascii="Times New Roman" w:hAnsi="Times New Roman" w:cs="Times New Roman"/>
          <w:color w:val="000000" w:themeColor="text1"/>
          <w:sz w:val="22"/>
          <w:szCs w:val="22"/>
          <w:u w:val="single"/>
        </w:rPr>
        <w:t xml:space="preserve">I240 Serra de </w:t>
      </w:r>
      <w:proofErr w:type="spellStart"/>
      <w:r w:rsidR="00AD071C" w:rsidRPr="008264D0">
        <w:rPr>
          <w:rFonts w:ascii="Times New Roman" w:hAnsi="Times New Roman" w:cs="Times New Roman"/>
          <w:color w:val="000000" w:themeColor="text1"/>
          <w:sz w:val="22"/>
          <w:szCs w:val="22"/>
          <w:u w:val="single"/>
        </w:rPr>
        <w:t>Jaire</w:t>
      </w:r>
      <w:proofErr w:type="spellEnd"/>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w:t>
      </w:r>
      <w:proofErr w:type="spellStart"/>
      <w:r w:rsidR="00AD071C" w:rsidRPr="008264D0">
        <w:rPr>
          <w:rFonts w:ascii="Times New Roman" w:hAnsi="Times New Roman"/>
          <w:color w:val="000000" w:themeColor="text1"/>
          <w:sz w:val="22"/>
          <w:szCs w:val="22"/>
        </w:rPr>
        <w:t>Ecoville</w:t>
      </w:r>
      <w:proofErr w:type="spellEnd"/>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7"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7"/>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075"/>
      <w:r w:rsidRPr="00EF0CB9">
        <w:rPr>
          <w:rFonts w:ascii="Times New Roman" w:hAnsi="Times New Roman" w:cs="Times New Roman"/>
          <w:color w:val="000000" w:themeColor="text1"/>
          <w:sz w:val="22"/>
          <w:szCs w:val="22"/>
        </w:rPr>
        <w:lastRenderedPageBreak/>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19"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42C75" w:rsidRPr="00EF0CB9">
        <w:rPr>
          <w:rFonts w:ascii="Times New Roman" w:hAnsi="Times New Roman" w:cs="Times New Roman"/>
          <w:bCs/>
          <w:i/>
          <w:iCs/>
          <w:color w:val="000000" w:themeColor="text1"/>
          <w:sz w:val="22"/>
          <w:szCs w:val="22"/>
        </w:rPr>
        <w:t>Novum</w:t>
      </w:r>
      <w:proofErr w:type="spellEnd"/>
      <w:r w:rsidR="00242C75" w:rsidRPr="00EF0CB9">
        <w:rPr>
          <w:rFonts w:ascii="Times New Roman" w:hAnsi="Times New Roman" w:cs="Times New Roman"/>
          <w:bCs/>
          <w:i/>
          <w:iCs/>
          <w:color w:val="000000" w:themeColor="text1"/>
          <w:sz w:val="22"/>
          <w:szCs w:val="22"/>
        </w:rPr>
        <w:t xml:space="preserve"> </w:t>
      </w:r>
      <w:proofErr w:type="spellStart"/>
      <w:r w:rsidR="00242C75" w:rsidRPr="00EF0CB9">
        <w:rPr>
          <w:rFonts w:ascii="Times New Roman" w:hAnsi="Times New Roman" w:cs="Times New Roman"/>
          <w:bCs/>
          <w:i/>
          <w:iCs/>
          <w:color w:val="000000" w:themeColor="text1"/>
          <w:sz w:val="22"/>
          <w:szCs w:val="22"/>
        </w:rPr>
        <w:t>Directiones</w:t>
      </w:r>
      <w:proofErr w:type="spellEnd"/>
      <w:r w:rsidR="00242C75" w:rsidRPr="00EF0CB9">
        <w:rPr>
          <w:rFonts w:ascii="Times New Roman" w:hAnsi="Times New Roman" w:cs="Times New Roman"/>
          <w:bCs/>
          <w:i/>
          <w:iCs/>
          <w:color w:val="000000" w:themeColor="text1"/>
          <w:sz w:val="22"/>
          <w:szCs w:val="22"/>
        </w:rPr>
        <w:t xml:space="preserve"> Investimentos e Participações em Empreendimentos Imobiliários S.A.”</w:t>
      </w:r>
      <w:r w:rsidR="00242C75" w:rsidRPr="00EF0CB9">
        <w:rPr>
          <w:rFonts w:ascii="Times New Roman" w:hAnsi="Times New Roman" w:cs="Times New Roman"/>
          <w:bCs/>
          <w:color w:val="000000" w:themeColor="text1"/>
          <w:sz w:val="22"/>
          <w:szCs w:val="22"/>
        </w:rPr>
        <w:t xml:space="preserve">, celebrado entre a </w:t>
      </w:r>
      <w:proofErr w:type="spellStart"/>
      <w:r w:rsidR="00242C75" w:rsidRPr="00EF0CB9">
        <w:rPr>
          <w:rFonts w:ascii="Times New Roman" w:hAnsi="Times New Roman" w:cs="Times New Roman"/>
          <w:bCs/>
          <w:color w:val="000000" w:themeColor="text1"/>
          <w:sz w:val="22"/>
          <w:szCs w:val="22"/>
        </w:rPr>
        <w:t>Novum</w:t>
      </w:r>
      <w:proofErr w:type="spellEnd"/>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19"/>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8"/>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0"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1"/>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 aditamento à Escritura de Hipoteca Belvedere </w:t>
      </w:r>
      <w:proofErr w:type="spellStart"/>
      <w:r>
        <w:rPr>
          <w:rFonts w:ascii="Times New Roman" w:hAnsi="Times New Roman" w:cs="Times New Roman"/>
          <w:color w:val="000000" w:themeColor="text1"/>
          <w:sz w:val="22"/>
          <w:szCs w:val="22"/>
        </w:rPr>
        <w:t>Lorian</w:t>
      </w:r>
      <w:proofErr w:type="spellEnd"/>
      <w:r>
        <w:rPr>
          <w:rFonts w:ascii="Times New Roman" w:hAnsi="Times New Roman" w:cs="Times New Roman"/>
          <w:color w:val="000000" w:themeColor="text1"/>
          <w:sz w:val="22"/>
          <w:szCs w:val="22"/>
        </w:rPr>
        <w:t xml:space="preserve"> e à Escritura de Hipoteca SPE Parque </w:t>
      </w:r>
      <w:proofErr w:type="spellStart"/>
      <w:r>
        <w:rPr>
          <w:rFonts w:ascii="Times New Roman" w:hAnsi="Times New Roman" w:cs="Times New Roman"/>
          <w:color w:val="000000" w:themeColor="text1"/>
          <w:sz w:val="22"/>
          <w:szCs w:val="22"/>
        </w:rPr>
        <w:t>Ecoville</w:t>
      </w:r>
      <w:proofErr w:type="spellEnd"/>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55EA1DD"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proofErr w:type="spellStart"/>
      <w:r w:rsidR="001A26B5" w:rsidRPr="00EF0CB9">
        <w:rPr>
          <w:rFonts w:ascii="Times New Roman" w:hAnsi="Times New Roman"/>
          <w:bCs/>
          <w:i/>
          <w:iCs/>
          <w:color w:val="000000" w:themeColor="text1"/>
          <w:sz w:val="22"/>
          <w:szCs w:val="22"/>
        </w:rPr>
        <w:t>Moov</w:t>
      </w:r>
      <w:proofErr w:type="spellEnd"/>
      <w:r w:rsidR="001A26B5" w:rsidRPr="00EF0CB9">
        <w:rPr>
          <w:rFonts w:ascii="Times New Roman" w:hAnsi="Times New Roman"/>
          <w:bCs/>
          <w:i/>
          <w:iCs/>
          <w:color w:val="000000" w:themeColor="text1"/>
          <w:sz w:val="22"/>
          <w:szCs w:val="22"/>
        </w:rPr>
        <w:t xml:space="preserve">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proofErr w:type="spellStart"/>
      <w:r w:rsidR="00D56AE7" w:rsidRPr="00EF0CB9">
        <w:rPr>
          <w:rFonts w:ascii="Times New Roman" w:hAnsi="Times New Roman"/>
          <w:bCs/>
          <w:color w:val="000000" w:themeColor="text1"/>
          <w:sz w:val="22"/>
          <w:szCs w:val="22"/>
          <w:u w:val="single"/>
        </w:rPr>
        <w:t>Moov</w:t>
      </w:r>
      <w:proofErr w:type="spellEnd"/>
      <w:r w:rsidR="00D56AE7" w:rsidRPr="00EF0CB9">
        <w:rPr>
          <w:rFonts w:ascii="Times New Roman" w:hAnsi="Times New Roman"/>
          <w:bCs/>
          <w:color w:val="000000" w:themeColor="text1"/>
          <w:sz w:val="22"/>
          <w:szCs w:val="22"/>
          <w:u w:val="single"/>
        </w:rPr>
        <w:t xml:space="preserve">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bookmarkStart w:id="23" w:name="_Hlk117761975"/>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w:t>
      </w:r>
      <w:bookmarkEnd w:id="23"/>
      <w:r w:rsidR="001A26B5" w:rsidRPr="00EF0CB9">
        <w:rPr>
          <w:rFonts w:ascii="Times New Roman" w:hAnsi="Times New Roman"/>
          <w:color w:val="000000" w:themeColor="text1"/>
          <w:sz w:val="22"/>
          <w:szCs w:val="22"/>
        </w:rPr>
        <w:t xml:space="preserve"> imobiliário denominado “</w:t>
      </w:r>
      <w:r w:rsidR="001A26B5" w:rsidRPr="00EF0CB9">
        <w:rPr>
          <w:rFonts w:ascii="Times New Roman" w:hAnsi="Times New Roman"/>
          <w:i/>
          <w:iCs/>
          <w:color w:val="000000" w:themeColor="text1"/>
          <w:sz w:val="22"/>
          <w:szCs w:val="22"/>
        </w:rPr>
        <w:t xml:space="preserve">Gafisa </w:t>
      </w:r>
      <w:proofErr w:type="spellStart"/>
      <w:r w:rsidR="001A26B5" w:rsidRPr="00EF0CB9">
        <w:rPr>
          <w:rFonts w:ascii="Times New Roman" w:hAnsi="Times New Roman"/>
          <w:i/>
          <w:iCs/>
          <w:color w:val="000000" w:themeColor="text1"/>
          <w:sz w:val="22"/>
          <w:szCs w:val="22"/>
        </w:rPr>
        <w:t>Upside</w:t>
      </w:r>
      <w:proofErr w:type="spellEnd"/>
      <w:r w:rsidR="001A26B5" w:rsidRPr="00EF0CB9">
        <w:rPr>
          <w:rFonts w:ascii="Times New Roman" w:hAnsi="Times New Roman"/>
          <w:i/>
          <w:iCs/>
          <w:color w:val="000000" w:themeColor="text1"/>
          <w:sz w:val="22"/>
          <w:szCs w:val="22"/>
        </w:rPr>
        <w:t xml:space="preserv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proofErr w:type="spellStart"/>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w:t>
      </w:r>
      <w:proofErr w:type="spellEnd"/>
      <w:r w:rsidR="00D56AE7" w:rsidRPr="00EF0CB9">
        <w:rPr>
          <w:rFonts w:ascii="Times New Roman" w:hAnsi="Times New Roman"/>
          <w:color w:val="000000" w:themeColor="text1"/>
          <w:sz w:val="22"/>
          <w:szCs w:val="22"/>
          <w:u w:val="single"/>
        </w:rPr>
        <w:t xml:space="preserv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61EDF">
        <w:rPr>
          <w:rFonts w:ascii="Times New Roman" w:hAnsi="Times New Roman"/>
          <w:bCs/>
          <w:color w:val="000000" w:themeColor="text1"/>
          <w:sz w:val="22"/>
          <w:szCs w:val="22"/>
        </w:rPr>
        <w:t>das</w:t>
      </w:r>
      <w:r w:rsidR="00361EDF" w:rsidRPr="00EF0CB9">
        <w:rPr>
          <w:rFonts w:ascii="Times New Roman" w:hAnsi="Times New Roman"/>
          <w:bCs/>
          <w:color w:val="000000" w:themeColor="text1"/>
          <w:sz w:val="22"/>
          <w:szCs w:val="22"/>
        </w:rPr>
        <w:t xml:space="preserve"> unidades integrantes </w:t>
      </w:r>
      <w:r w:rsidR="00C526FA" w:rsidRPr="00EF0CB9">
        <w:rPr>
          <w:rFonts w:ascii="Times New Roman" w:hAnsi="Times New Roman"/>
          <w:bCs/>
          <w:color w:val="000000" w:themeColor="text1"/>
          <w:sz w:val="22"/>
          <w:szCs w:val="22"/>
        </w:rPr>
        <w:t xml:space="preserve">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 xml:space="preserve">Parque </w:t>
      </w:r>
      <w:proofErr w:type="spellStart"/>
      <w:r w:rsidR="001A26B5" w:rsidRPr="00EF0CB9">
        <w:rPr>
          <w:rFonts w:ascii="Times New Roman" w:hAnsi="Times New Roman"/>
          <w:i/>
          <w:iCs/>
          <w:color w:val="000000" w:themeColor="text1"/>
          <w:sz w:val="22"/>
          <w:szCs w:val="22"/>
        </w:rPr>
        <w:t>Ecoville</w:t>
      </w:r>
      <w:proofErr w:type="spellEnd"/>
      <w:r w:rsidR="001A26B5" w:rsidRPr="00EF0CB9">
        <w:rPr>
          <w:rFonts w:ascii="Times New Roman" w:hAnsi="Times New Roman"/>
          <w:i/>
          <w:iCs/>
          <w:color w:val="000000" w:themeColor="text1"/>
          <w:sz w:val="22"/>
          <w:szCs w:val="22"/>
        </w:rPr>
        <w:t xml:space="preserve"> - Torre </w:t>
      </w:r>
      <w:proofErr w:type="spellStart"/>
      <w:r w:rsidR="001A26B5" w:rsidRPr="00EF0CB9">
        <w:rPr>
          <w:rFonts w:ascii="Times New Roman" w:hAnsi="Times New Roman"/>
          <w:i/>
          <w:iCs/>
          <w:color w:val="000000" w:themeColor="text1"/>
          <w:sz w:val="22"/>
          <w:szCs w:val="22"/>
        </w:rPr>
        <w:t>Passaúna</w:t>
      </w:r>
      <w:proofErr w:type="spellEnd"/>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 xml:space="preserve">Parque </w:t>
      </w:r>
      <w:proofErr w:type="spellStart"/>
      <w:r w:rsidR="00D56AE7" w:rsidRPr="00EF0CB9">
        <w:rPr>
          <w:rFonts w:ascii="Times New Roman" w:hAnsi="Times New Roman"/>
          <w:color w:val="000000" w:themeColor="text1"/>
          <w:sz w:val="22"/>
          <w:szCs w:val="22"/>
          <w:u w:val="single"/>
        </w:rPr>
        <w:t>Ecoville</w:t>
      </w:r>
      <w:proofErr w:type="spellEnd"/>
      <w:r w:rsidR="00D56AE7" w:rsidRPr="00EF0CB9">
        <w:rPr>
          <w:rFonts w:ascii="Times New Roman" w:hAnsi="Times New Roman"/>
          <w:color w:val="000000" w:themeColor="text1"/>
          <w:sz w:val="22"/>
          <w:szCs w:val="22"/>
          <w:u w:val="single"/>
        </w:rPr>
        <w:t xml:space="preserve"> – Torre </w:t>
      </w:r>
      <w:proofErr w:type="spellStart"/>
      <w:r w:rsidR="00D56AE7" w:rsidRPr="00EF0CB9">
        <w:rPr>
          <w:rFonts w:ascii="Times New Roman" w:hAnsi="Times New Roman"/>
          <w:color w:val="000000" w:themeColor="text1"/>
          <w:sz w:val="22"/>
          <w:szCs w:val="22"/>
          <w:u w:val="single"/>
        </w:rPr>
        <w:t>Passaúna</w:t>
      </w:r>
      <w:proofErr w:type="spellEnd"/>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proofErr w:type="spellStart"/>
      <w:r w:rsidR="001A26B5" w:rsidRPr="00EF0CB9">
        <w:rPr>
          <w:rFonts w:ascii="Times New Roman" w:hAnsi="Times New Roman"/>
          <w:i/>
          <w:iCs/>
          <w:color w:val="000000" w:themeColor="text1"/>
          <w:sz w:val="22"/>
          <w:szCs w:val="22"/>
        </w:rPr>
        <w:t>Scena</w:t>
      </w:r>
      <w:proofErr w:type="spellEnd"/>
      <w:r w:rsidR="001A26B5" w:rsidRPr="00EF0CB9">
        <w:rPr>
          <w:rFonts w:ascii="Times New Roman" w:hAnsi="Times New Roman"/>
          <w:i/>
          <w:iCs/>
          <w:color w:val="000000" w:themeColor="text1"/>
          <w:sz w:val="22"/>
          <w:szCs w:val="22"/>
        </w:rPr>
        <w:t xml:space="preserve">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Scena</w:t>
      </w:r>
      <w:proofErr w:type="spellEnd"/>
      <w:r w:rsidR="00D56AE7" w:rsidRPr="00EF0CB9">
        <w:rPr>
          <w:rFonts w:ascii="Times New Roman" w:hAnsi="Times New Roman"/>
          <w:color w:val="000000" w:themeColor="text1"/>
          <w:sz w:val="22"/>
          <w:szCs w:val="22"/>
          <w:u w:val="single"/>
        </w:rPr>
        <w:t xml:space="preserve">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color w:val="000000" w:themeColor="text1"/>
          <w:sz w:val="22"/>
          <w:szCs w:val="22"/>
        </w:rPr>
        <w:lastRenderedPageBreak/>
        <w:t xml:space="preserve">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2"/>
      <w:r w:rsidR="00CE32DA">
        <w:rPr>
          <w:rFonts w:ascii="Times New Roman" w:hAnsi="Times New Roman" w:cs="Times New Roman"/>
          <w:bCs/>
          <w:color w:val="000000" w:themeColor="text1"/>
          <w:sz w:val="22"/>
          <w:szCs w:val="22"/>
        </w:rPr>
        <w:t>, que 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4"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4"/>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rsidP="00BF3C46">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5"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w:t>
      </w:r>
      <w:proofErr w:type="spellStart"/>
      <w:r w:rsidR="00841F7E" w:rsidRPr="00EF0CB9">
        <w:rPr>
          <w:rFonts w:ascii="Times New Roman" w:hAnsi="Times New Roman" w:cs="Times New Roman"/>
          <w:bCs/>
          <w:color w:val="000000" w:themeColor="text1"/>
          <w:sz w:val="22"/>
          <w:szCs w:val="22"/>
        </w:rPr>
        <w:t>Novum</w:t>
      </w:r>
      <w:proofErr w:type="spellEnd"/>
      <w:r w:rsidR="00841F7E" w:rsidRPr="00EF0CB9">
        <w:rPr>
          <w:rFonts w:ascii="Times New Roman" w:hAnsi="Times New Roman" w:cs="Times New Roman"/>
          <w:bCs/>
          <w:color w:val="000000" w:themeColor="text1"/>
          <w:sz w:val="22"/>
          <w:szCs w:val="22"/>
        </w:rPr>
        <w:t xml:space="preserve">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w:t>
      </w:r>
      <w:proofErr w:type="spellStart"/>
      <w:r w:rsidR="00841F7E" w:rsidRPr="00EF0CB9">
        <w:rPr>
          <w:rFonts w:ascii="Times New Roman" w:hAnsi="Times New Roman" w:cs="Times New Roman"/>
          <w:color w:val="000000" w:themeColor="text1"/>
          <w:sz w:val="22"/>
          <w:szCs w:val="22"/>
        </w:rPr>
        <w:t>Novum</w:t>
      </w:r>
      <w:proofErr w:type="spellEnd"/>
      <w:r w:rsidR="00841F7E" w:rsidRPr="00EF0CB9">
        <w:rPr>
          <w:rFonts w:ascii="Times New Roman" w:hAnsi="Times New Roman" w:cs="Times New Roman"/>
          <w:color w:val="000000" w:themeColor="text1"/>
          <w:sz w:val="22"/>
          <w:szCs w:val="22"/>
        </w:rPr>
        <w:t xml:space="preserve">,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5"/>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lastRenderedPageBreak/>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7766BF9C"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650207" w:rsidRPr="00AC3CF4">
        <w:rPr>
          <w:rFonts w:ascii="Times New Roman" w:hAnsi="Times New Roman" w:cs="Times New Roman"/>
          <w:color w:val="000000" w:themeColor="text1"/>
          <w:sz w:val="22"/>
          <w:szCs w:val="22"/>
          <w:highlight w:val="yellow"/>
        </w:rPr>
        <w:t>27</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proofErr w:type="spellStart"/>
            <w:r w:rsidRPr="00EF0CB9">
              <w:rPr>
                <w:b/>
                <w:color w:val="000000" w:themeColor="text1"/>
                <w:sz w:val="22"/>
                <w:szCs w:val="22"/>
              </w:rPr>
              <w:t>Secretári</w:t>
            </w:r>
            <w:proofErr w:type="spellEnd"/>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w:t>
            </w:r>
            <w:proofErr w:type="spellStart"/>
            <w:r w:rsidR="00D95C07" w:rsidRPr="00EF0CB9">
              <w:rPr>
                <w:b/>
                <w:color w:val="000000" w:themeColor="text1"/>
                <w:sz w:val="22"/>
                <w:szCs w:val="22"/>
              </w:rPr>
              <w:t>Securitizadora</w:t>
            </w:r>
            <w:proofErr w:type="spellEnd"/>
            <w:r w:rsidR="00D95C07" w:rsidRPr="00EF0CB9">
              <w:rPr>
                <w:b/>
                <w:color w:val="000000" w:themeColor="text1"/>
                <w:sz w:val="22"/>
                <w:szCs w:val="22"/>
              </w:rPr>
              <w:t xml:space="preserve">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w:t>
            </w:r>
            <w:proofErr w:type="spellStart"/>
            <w:r w:rsidR="00D95C07" w:rsidRPr="00EF0CB9">
              <w:rPr>
                <w:b/>
                <w:color w:val="000000" w:themeColor="text1"/>
                <w:sz w:val="22"/>
                <w:szCs w:val="22"/>
              </w:rPr>
              <w:t>Securitizadora</w:t>
            </w:r>
            <w:proofErr w:type="spellEnd"/>
            <w:r w:rsidR="00D95C07" w:rsidRPr="00EF0CB9">
              <w:rPr>
                <w:b/>
                <w:color w:val="000000" w:themeColor="text1"/>
                <w:sz w:val="22"/>
                <w:szCs w:val="22"/>
              </w:rPr>
              <w:t xml:space="preserve">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760AF31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w:t>
      </w:r>
      <w:proofErr w:type="spellStart"/>
      <w:r w:rsidR="00D95C07" w:rsidRPr="00EF0CB9">
        <w:rPr>
          <w:b/>
          <w:bCs/>
          <w:color w:val="000000" w:themeColor="text1"/>
          <w:sz w:val="22"/>
          <w:szCs w:val="22"/>
        </w:rPr>
        <w:t>Securitizadora</w:t>
      </w:r>
      <w:proofErr w:type="spellEnd"/>
      <w:r w:rsidR="00D95C07" w:rsidRPr="00EF0CB9">
        <w:rPr>
          <w:b/>
          <w:bCs/>
          <w:color w:val="000000" w:themeColor="text1"/>
          <w:sz w:val="22"/>
          <w:szCs w:val="22"/>
        </w:rPr>
        <w:t xml:space="preserve"> </w:t>
      </w:r>
      <w:r w:rsidR="006A776B" w:rsidRPr="00EF0CB9">
        <w:rPr>
          <w:b/>
          <w:bCs/>
          <w:color w:val="000000" w:themeColor="text1"/>
          <w:sz w:val="22"/>
          <w:szCs w:val="22"/>
        </w:rPr>
        <w:t xml:space="preserve">S.A., realizada em </w:t>
      </w:r>
      <w:r w:rsidR="00FF0ED7">
        <w:rPr>
          <w:b/>
          <w:bCs/>
          <w:color w:val="000000" w:themeColor="text1"/>
          <w:sz w:val="22"/>
          <w:szCs w:val="22"/>
        </w:rPr>
        <w:t>[</w:t>
      </w:r>
      <w:r w:rsidR="00FF0ED7" w:rsidRPr="00AC3CF4">
        <w:rPr>
          <w:b/>
          <w:bCs/>
          <w:color w:val="000000" w:themeColor="text1"/>
          <w:sz w:val="22"/>
          <w:szCs w:val="22"/>
          <w:highlight w:val="yellow"/>
        </w:rPr>
        <w:t>27</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 xml:space="preserve">Nota </w:t>
      </w:r>
      <w:proofErr w:type="spellStart"/>
      <w:r w:rsidRPr="00AC3CF4">
        <w:rPr>
          <w:b/>
          <w:bCs/>
          <w:color w:val="000000" w:themeColor="text1"/>
          <w:sz w:val="22"/>
          <w:szCs w:val="22"/>
          <w:highlight w:val="yellow"/>
        </w:rPr>
        <w:t>Cescon</w:t>
      </w:r>
      <w:proofErr w:type="spellEnd"/>
      <w:r w:rsidRPr="00AC3CF4">
        <w:rPr>
          <w:b/>
          <w:bCs/>
          <w:color w:val="000000" w:themeColor="text1"/>
          <w:sz w:val="22"/>
          <w:szCs w:val="22"/>
          <w:highlight w:val="yellow"/>
        </w:rPr>
        <w:t xml:space="preserve"> </w:t>
      </w:r>
      <w:proofErr w:type="spellStart"/>
      <w:r w:rsidRPr="00AC3CF4">
        <w:rPr>
          <w:b/>
          <w:bCs/>
          <w:color w:val="000000" w:themeColor="text1"/>
          <w:sz w:val="22"/>
          <w:szCs w:val="22"/>
          <w:highlight w:val="yellow"/>
        </w:rPr>
        <w:t>Barrieu</w:t>
      </w:r>
      <w:proofErr w:type="spellEnd"/>
      <w:r w:rsidRPr="00AC3CF4">
        <w:rPr>
          <w:b/>
          <w:bCs/>
          <w:color w:val="000000" w:themeColor="text1"/>
          <w:sz w:val="22"/>
          <w:szCs w:val="22"/>
          <w:highlight w:val="yellow"/>
        </w:rPr>
        <w:t>:</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rsidTr="00434069">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rsidTr="00434069">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rsidTr="00434069">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rsidTr="00434069">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3298B8A" w14:textId="7BDB0013"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77777777"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78DBB0F"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CC2753" w14:paraId="74D3C399" w14:textId="77777777" w:rsidTr="00983396">
        <w:tc>
          <w:tcPr>
            <w:tcW w:w="4360" w:type="dxa"/>
            <w:shd w:val="clear" w:color="auto" w:fill="D0CECE" w:themeFill="background2" w:themeFillShade="E6"/>
          </w:tcPr>
          <w:p w14:paraId="234E067E"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35BD3AA" w14:textId="77777777" w:rsidR="00CC2753" w:rsidRDefault="00CC2753" w:rsidP="00983396">
            <w:pPr>
              <w:spacing w:line="320" w:lineRule="exact"/>
              <w:jc w:val="center"/>
              <w:rPr>
                <w:b/>
                <w:sz w:val="22"/>
                <w:szCs w:val="22"/>
              </w:rPr>
            </w:pPr>
            <w:r>
              <w:rPr>
                <w:b/>
                <w:sz w:val="22"/>
                <w:szCs w:val="22"/>
              </w:rPr>
              <w:t>Unidades objeto da Baixa das Hipotecas</w:t>
            </w:r>
          </w:p>
        </w:tc>
      </w:tr>
      <w:tr w:rsidR="00CC2753" w14:paraId="7D65B3D4" w14:textId="77777777" w:rsidTr="00983396">
        <w:tc>
          <w:tcPr>
            <w:tcW w:w="4360" w:type="dxa"/>
          </w:tcPr>
          <w:p w14:paraId="7B03B02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578AA841"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6DFB354" w14:textId="77777777" w:rsidTr="00983396">
        <w:tc>
          <w:tcPr>
            <w:tcW w:w="4360" w:type="dxa"/>
          </w:tcPr>
          <w:p w14:paraId="5364D08C"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5DA17A5A"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40EAB7A" w14:textId="77777777" w:rsidTr="00983396">
        <w:tc>
          <w:tcPr>
            <w:tcW w:w="4360" w:type="dxa"/>
          </w:tcPr>
          <w:p w14:paraId="1EEF4ED2"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5DAF95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772E3DE" w14:textId="77777777" w:rsidTr="00983396">
        <w:tc>
          <w:tcPr>
            <w:tcW w:w="4360" w:type="dxa"/>
          </w:tcPr>
          <w:p w14:paraId="31D52AA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59D33A5D"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76AAFC07" w14:textId="77777777" w:rsidTr="00983396">
        <w:tc>
          <w:tcPr>
            <w:tcW w:w="4360" w:type="dxa"/>
          </w:tcPr>
          <w:p w14:paraId="2D9C8C93"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69C99D78"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4589EBBB" w14:textId="77777777" w:rsidTr="00983396">
        <w:tc>
          <w:tcPr>
            <w:tcW w:w="4360" w:type="dxa"/>
          </w:tcPr>
          <w:p w14:paraId="189386EA"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6EAB87E9"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4BD57CD7" w14:textId="58231D58" w:rsidR="007C1BB4" w:rsidRPr="00EF0CB9" w:rsidRDefault="007C1BB4" w:rsidP="007C1BB4">
      <w:pPr>
        <w:widowControl/>
        <w:autoSpaceDE/>
        <w:autoSpaceDN/>
        <w:adjustRightInd/>
        <w:spacing w:line="320" w:lineRule="exact"/>
        <w:jc w:val="center"/>
        <w:rPr>
          <w:b/>
          <w:bCs/>
          <w:color w:val="000000" w:themeColor="text1"/>
          <w:sz w:val="22"/>
          <w:szCs w:val="22"/>
        </w:rPr>
      </w:pPr>
    </w:p>
    <w:p w14:paraId="66F63BC7" w14:textId="77777777"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77777777" w:rsidR="00CC2753" w:rsidRPr="003B15A6"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349EDF10"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CC2753" w14:paraId="62B472DC" w14:textId="77777777" w:rsidTr="00983396">
        <w:tc>
          <w:tcPr>
            <w:tcW w:w="4360" w:type="dxa"/>
            <w:shd w:val="clear" w:color="auto" w:fill="D0CECE" w:themeFill="background2" w:themeFillShade="E6"/>
          </w:tcPr>
          <w:p w14:paraId="4DE033AA"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2D2AEC35" w14:textId="77777777" w:rsidR="00CC2753" w:rsidRDefault="00CC2753" w:rsidP="00983396">
            <w:pPr>
              <w:spacing w:line="320" w:lineRule="exact"/>
              <w:jc w:val="center"/>
              <w:rPr>
                <w:b/>
                <w:sz w:val="22"/>
                <w:szCs w:val="22"/>
              </w:rPr>
            </w:pPr>
            <w:r>
              <w:rPr>
                <w:b/>
                <w:sz w:val="22"/>
                <w:szCs w:val="22"/>
              </w:rPr>
              <w:t>Unidades objeto de Alienação Fiduciária de Imóveis</w:t>
            </w:r>
          </w:p>
        </w:tc>
      </w:tr>
      <w:tr w:rsidR="00CC2753" w14:paraId="4B8A0852" w14:textId="77777777" w:rsidTr="00983396">
        <w:tc>
          <w:tcPr>
            <w:tcW w:w="4360" w:type="dxa"/>
          </w:tcPr>
          <w:p w14:paraId="3FA7584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11F3A83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6B6A2C7" w14:textId="77777777" w:rsidTr="00983396">
        <w:tc>
          <w:tcPr>
            <w:tcW w:w="4360" w:type="dxa"/>
          </w:tcPr>
          <w:p w14:paraId="61E74923"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00ED9D4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2CAA805E" w14:textId="77777777" w:rsidTr="00983396">
        <w:tc>
          <w:tcPr>
            <w:tcW w:w="4360" w:type="dxa"/>
          </w:tcPr>
          <w:p w14:paraId="178F6FCF"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74C10A06"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0FEEEFD2" w14:textId="77777777" w:rsidTr="00983396">
        <w:tc>
          <w:tcPr>
            <w:tcW w:w="4360" w:type="dxa"/>
          </w:tcPr>
          <w:p w14:paraId="240B571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6219B984"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887A94B" w14:textId="77777777" w:rsidTr="00983396">
        <w:tc>
          <w:tcPr>
            <w:tcW w:w="4360" w:type="dxa"/>
          </w:tcPr>
          <w:p w14:paraId="5C731039"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454238B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934A5A9" w14:textId="77777777" w:rsidTr="00983396">
        <w:tc>
          <w:tcPr>
            <w:tcW w:w="4360" w:type="dxa"/>
          </w:tcPr>
          <w:p w14:paraId="277654AD"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019B2D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7A025936" w14:textId="77777777" w:rsidR="00CC2753" w:rsidRDefault="00CC2753">
      <w:pPr>
        <w:widowControl/>
        <w:autoSpaceDE/>
        <w:autoSpaceDN/>
        <w:adjustRightInd/>
        <w:jc w:val="left"/>
        <w:rPr>
          <w:b/>
          <w:bCs/>
          <w:color w:val="000000" w:themeColor="text1"/>
          <w:sz w:val="22"/>
          <w:szCs w:val="22"/>
        </w:rPr>
      </w:pPr>
    </w:p>
    <w:p w14:paraId="781E9883" w14:textId="5D3F74BA"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050F07">
      <w:headerReference w:type="default" r:id="rId7"/>
      <w:footerReference w:type="default" r:id="rId8"/>
      <w:type w:val="continuous"/>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698B" w14:textId="77777777" w:rsidR="00AA0109" w:rsidRDefault="00AA0109">
      <w:pPr>
        <w:widowControl/>
      </w:pPr>
      <w:r>
        <w:separator/>
      </w:r>
    </w:p>
  </w:endnote>
  <w:endnote w:type="continuationSeparator" w:id="0">
    <w:p w14:paraId="50FD9C2C" w14:textId="77777777" w:rsidR="00AA0109" w:rsidRDefault="00AA0109">
      <w:pPr>
        <w:widowControl/>
      </w:pPr>
      <w:r>
        <w:continuationSeparator/>
      </w:r>
    </w:p>
  </w:endnote>
  <w:endnote w:type="continuationNotice" w:id="1">
    <w:p w14:paraId="0C78EBE1" w14:textId="77777777" w:rsidR="00AA0109" w:rsidRDefault="00AA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333B" w14:textId="77777777" w:rsidR="00AA0109" w:rsidRDefault="00AA0109">
      <w:pPr>
        <w:widowControl/>
      </w:pPr>
      <w:r>
        <w:separator/>
      </w:r>
    </w:p>
  </w:footnote>
  <w:footnote w:type="continuationSeparator" w:id="0">
    <w:p w14:paraId="3B262ADD" w14:textId="77777777" w:rsidR="00AA0109" w:rsidRDefault="00AA0109">
      <w:pPr>
        <w:widowControl/>
      </w:pPr>
      <w:r>
        <w:continuationSeparator/>
      </w:r>
    </w:p>
  </w:footnote>
  <w:footnote w:type="continuationNotice" w:id="1">
    <w:p w14:paraId="40687C7D" w14:textId="77777777" w:rsidR="00AA0109" w:rsidRDefault="00AA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1EDF"/>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2027"/>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1DF4"/>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777"/>
    <w:rsid w:val="009B339D"/>
    <w:rsid w:val="009B3B33"/>
    <w:rsid w:val="009B3CCB"/>
    <w:rsid w:val="009B4748"/>
    <w:rsid w:val="009B4D3E"/>
    <w:rsid w:val="009B52B8"/>
    <w:rsid w:val="009B5415"/>
    <w:rsid w:val="009B5A39"/>
    <w:rsid w:val="009B6A3F"/>
    <w:rsid w:val="009B6E0D"/>
    <w:rsid w:val="009B6FD5"/>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0F40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2063476377">
          <w:marLeft w:val="0"/>
          <w:marRight w:val="0"/>
          <w:marTop w:val="0"/>
          <w:marBottom w:val="0"/>
          <w:divBdr>
            <w:top w:val="none" w:sz="0" w:space="0" w:color="auto"/>
            <w:left w:val="none" w:sz="0" w:space="0" w:color="auto"/>
            <w:bottom w:val="none" w:sz="0" w:space="0" w:color="auto"/>
            <w:right w:val="none" w:sz="0" w:space="0" w:color="auto"/>
          </w:divBdr>
        </w:div>
        <w:div w:id="1445348633">
          <w:marLeft w:val="0"/>
          <w:marRight w:val="0"/>
          <w:marTop w:val="0"/>
          <w:marBottom w:val="0"/>
          <w:divBdr>
            <w:top w:val="none" w:sz="0" w:space="0" w:color="auto"/>
            <w:left w:val="none" w:sz="0" w:space="0" w:color="auto"/>
            <w:bottom w:val="none" w:sz="0" w:space="0" w:color="auto"/>
            <w:right w:val="none" w:sz="0" w:space="0" w:color="auto"/>
          </w:divBdr>
        </w:div>
      </w:divsChild>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 S C B F - S P ! 1 6 5 0 1 6 6 9 . 2 0 < / d o c u m e n t i d >  
     < s e n d e r i d > V S I M O N I < / s e n d e r i d >  
     < s e n d e r e m a i l > V I T T O R I A . S I M O N I @ C E S C O N B A R R I E U . C O M . B R < / s e n d e r e m a i l >  
     < l a s t m o d i f i e d > 2 0 2 2 - 1 0 - 2 7 T 1 2 : 1 6 : 0 0 . 0 0 0 0 0 0 0 - 0 3 : 0 0 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Template>
  <TotalTime>0</TotalTime>
  <Pages>23</Pages>
  <Words>5264</Words>
  <Characters>29407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2022-10-27T14:41:00Z</dcterms:created>
  <dcterms:modified xsi:type="dcterms:W3CDTF">2022-10-27T15:16:00Z</dcterms:modified>
</cp:coreProperties>
</file>