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8050" w14:textId="77777777" w:rsidR="00CC2753" w:rsidRDefault="00CC2753" w:rsidP="003B001E">
      <w:pPr>
        <w:spacing w:line="320" w:lineRule="exact"/>
        <w:jc w:val="center"/>
        <w:rPr>
          <w:b/>
          <w:smallCaps/>
          <w:color w:val="000000" w:themeColor="text1"/>
          <w:sz w:val="22"/>
          <w:szCs w:val="22"/>
        </w:rPr>
      </w:pPr>
      <w:bookmarkStart w:id="0" w:name="_Hlk104908521"/>
      <w:bookmarkStart w:id="1" w:name="_Hlk104906529"/>
    </w:p>
    <w:p w14:paraId="08188051" w14:textId="77777777" w:rsidR="0084194E" w:rsidRPr="00EF0CB9" w:rsidRDefault="00000000" w:rsidP="003B001E">
      <w:pPr>
        <w:spacing w:line="320" w:lineRule="exact"/>
        <w:jc w:val="center"/>
        <w:rPr>
          <w:b/>
          <w:smallCaps/>
          <w:color w:val="000000" w:themeColor="text1"/>
          <w:sz w:val="22"/>
          <w:szCs w:val="22"/>
        </w:rPr>
      </w:pPr>
      <w:r w:rsidRPr="00EF0CB9">
        <w:rPr>
          <w:b/>
          <w:smallCaps/>
          <w:color w:val="000000" w:themeColor="text1"/>
          <w:sz w:val="22"/>
          <w:szCs w:val="22"/>
        </w:rPr>
        <w:t>OPEA SECURITIZADORA S.A.</w:t>
      </w:r>
    </w:p>
    <w:bookmarkEnd w:id="0"/>
    <w:p w14:paraId="08188052" w14:textId="77777777" w:rsidR="005059E4" w:rsidRPr="00EF0CB9" w:rsidRDefault="00000000" w:rsidP="003B001E">
      <w:pPr>
        <w:spacing w:line="320" w:lineRule="exact"/>
        <w:jc w:val="center"/>
        <w:rPr>
          <w:b/>
          <w:bCs/>
          <w:color w:val="000000" w:themeColor="text1"/>
          <w:sz w:val="22"/>
          <w:szCs w:val="22"/>
        </w:rPr>
      </w:pPr>
      <w:r w:rsidRPr="00EF0CB9">
        <w:rPr>
          <w:b/>
          <w:bCs/>
          <w:color w:val="000000" w:themeColor="text1"/>
          <w:sz w:val="22"/>
          <w:szCs w:val="22"/>
        </w:rPr>
        <w:t>(atual denominação da RB Capital Companhia de Securitização)</w:t>
      </w:r>
    </w:p>
    <w:p w14:paraId="08188053" w14:textId="77777777" w:rsidR="005059E4" w:rsidRPr="00EF0CB9" w:rsidRDefault="00000000" w:rsidP="003B001E">
      <w:pPr>
        <w:spacing w:line="320" w:lineRule="exact"/>
        <w:jc w:val="center"/>
        <w:rPr>
          <w:color w:val="000000" w:themeColor="text1"/>
          <w:sz w:val="22"/>
          <w:szCs w:val="22"/>
        </w:rPr>
      </w:pPr>
      <w:bookmarkStart w:id="2" w:name="_Hlk116041900"/>
      <w:r w:rsidRPr="00EF0CB9">
        <w:rPr>
          <w:bCs/>
          <w:color w:val="000000" w:themeColor="text1"/>
          <w:sz w:val="22"/>
          <w:szCs w:val="22"/>
        </w:rPr>
        <w:t>Companhia Securitizadora -</w:t>
      </w:r>
      <w:r w:rsidR="005565E9" w:rsidRPr="00EF0CB9">
        <w:rPr>
          <w:color w:val="000000" w:themeColor="text1"/>
          <w:sz w:val="22"/>
          <w:szCs w:val="22"/>
        </w:rPr>
        <w:t xml:space="preserve"> CVM nº 477</w:t>
      </w:r>
    </w:p>
    <w:bookmarkEnd w:id="2"/>
    <w:p w14:paraId="08188054" w14:textId="77777777" w:rsidR="005059E4" w:rsidRPr="00EF0CB9" w:rsidRDefault="00000000" w:rsidP="003B001E">
      <w:pPr>
        <w:spacing w:line="320" w:lineRule="exact"/>
        <w:jc w:val="center"/>
        <w:rPr>
          <w:color w:val="000000" w:themeColor="text1"/>
          <w:sz w:val="22"/>
          <w:szCs w:val="22"/>
        </w:rPr>
      </w:pPr>
      <w:r w:rsidRPr="00EF0CB9">
        <w:rPr>
          <w:color w:val="000000" w:themeColor="text1"/>
          <w:sz w:val="22"/>
          <w:szCs w:val="22"/>
        </w:rPr>
        <w:t>CNPJ</w:t>
      </w:r>
      <w:r w:rsidR="004042A9" w:rsidRPr="00EF0CB9">
        <w:rPr>
          <w:color w:val="000000" w:themeColor="text1"/>
          <w:sz w:val="22"/>
          <w:szCs w:val="22"/>
        </w:rPr>
        <w:t>/ME</w:t>
      </w:r>
      <w:r w:rsidRPr="00EF0CB9">
        <w:rPr>
          <w:color w:val="000000" w:themeColor="text1"/>
          <w:sz w:val="22"/>
          <w:szCs w:val="22"/>
        </w:rPr>
        <w:t xml:space="preserve"> nº 02.773.542/0001-22</w:t>
      </w:r>
    </w:p>
    <w:p w14:paraId="08188055" w14:textId="77777777" w:rsidR="004042A9" w:rsidRPr="00EF0CB9" w:rsidRDefault="00000000" w:rsidP="003B001E">
      <w:pPr>
        <w:spacing w:line="320" w:lineRule="exact"/>
        <w:jc w:val="center"/>
        <w:rPr>
          <w:color w:val="000000" w:themeColor="text1"/>
          <w:sz w:val="22"/>
          <w:szCs w:val="22"/>
        </w:rPr>
      </w:pPr>
      <w:r w:rsidRPr="00EF0CB9">
        <w:rPr>
          <w:color w:val="000000" w:themeColor="text1"/>
          <w:sz w:val="22"/>
          <w:szCs w:val="22"/>
        </w:rPr>
        <w:t>NIRE 35.300.157.648</w:t>
      </w:r>
    </w:p>
    <w:bookmarkEnd w:id="1"/>
    <w:p w14:paraId="08188056" w14:textId="77777777" w:rsidR="00103456" w:rsidRPr="00EF0CB9" w:rsidRDefault="00103456" w:rsidP="003B001E">
      <w:pPr>
        <w:pStyle w:val="Corpodetexto"/>
        <w:spacing w:line="320" w:lineRule="exact"/>
        <w:jc w:val="center"/>
        <w:rPr>
          <w:b/>
          <w:color w:val="000000" w:themeColor="text1"/>
          <w:sz w:val="22"/>
          <w:szCs w:val="22"/>
        </w:rPr>
      </w:pPr>
    </w:p>
    <w:p w14:paraId="08188057" w14:textId="77777777" w:rsidR="00103456" w:rsidRPr="00EF0CB9" w:rsidRDefault="00000000" w:rsidP="003B001E">
      <w:pPr>
        <w:pStyle w:val="Corpodetexto"/>
        <w:spacing w:line="320" w:lineRule="exact"/>
        <w:rPr>
          <w:b/>
          <w:bCs/>
          <w:color w:val="000000" w:themeColor="text1"/>
          <w:sz w:val="22"/>
          <w:szCs w:val="22"/>
        </w:rPr>
      </w:pPr>
      <w:r w:rsidRPr="00EF0CB9">
        <w:rPr>
          <w:b/>
          <w:bCs/>
          <w:color w:val="000000" w:themeColor="text1"/>
          <w:sz w:val="22"/>
          <w:szCs w:val="22"/>
        </w:rPr>
        <w:t xml:space="preserve">ATA DA </w:t>
      </w:r>
      <w:bookmarkStart w:id="3" w:name="_Hlk104906543"/>
      <w:r w:rsidR="0084194E" w:rsidRPr="00EF0CB9">
        <w:rPr>
          <w:b/>
          <w:bCs/>
          <w:color w:val="000000" w:themeColor="text1"/>
          <w:sz w:val="22"/>
          <w:szCs w:val="22"/>
        </w:rPr>
        <w:t xml:space="preserve">ASSEMBLEIA ESPECIAL DE INVESTIDORES </w:t>
      </w:r>
      <w:bookmarkStart w:id="4" w:name="_Hlk104908538"/>
      <w:r w:rsidR="0084194E" w:rsidRPr="00EF0CB9">
        <w:rPr>
          <w:b/>
          <w:bCs/>
          <w:color w:val="000000" w:themeColor="text1"/>
          <w:sz w:val="22"/>
          <w:szCs w:val="22"/>
        </w:rPr>
        <w:t xml:space="preserve">DE CERTIFICADOS DE RECEBÍVEIS </w:t>
      </w:r>
      <w:r w:rsidR="005059E4" w:rsidRPr="00EF0CB9">
        <w:rPr>
          <w:b/>
          <w:bCs/>
          <w:color w:val="000000" w:themeColor="text1"/>
          <w:sz w:val="22"/>
          <w:szCs w:val="22"/>
        </w:rPr>
        <w:t>IMOBILIÁRIOS</w:t>
      </w:r>
      <w:r w:rsidR="0084194E" w:rsidRPr="00EF0CB9">
        <w:rPr>
          <w:b/>
          <w:bCs/>
          <w:color w:val="000000" w:themeColor="text1"/>
          <w:sz w:val="22"/>
          <w:szCs w:val="22"/>
        </w:rPr>
        <w:t xml:space="preserve"> DA </w:t>
      </w:r>
      <w:r w:rsidR="005059E4" w:rsidRPr="00EF0CB9">
        <w:rPr>
          <w:b/>
          <w:bCs/>
          <w:color w:val="000000" w:themeColor="text1"/>
          <w:sz w:val="22"/>
          <w:szCs w:val="22"/>
        </w:rPr>
        <w:t>275ª SÉRIE</w:t>
      </w:r>
      <w:r w:rsidR="00711C3F" w:rsidRPr="00EF0CB9">
        <w:rPr>
          <w:b/>
          <w:bCs/>
          <w:color w:val="000000" w:themeColor="text1"/>
          <w:sz w:val="22"/>
          <w:szCs w:val="22"/>
        </w:rPr>
        <w:t xml:space="preserve"> (IF: [●])</w:t>
      </w:r>
      <w:r w:rsidR="005059E4" w:rsidRPr="00EF0CB9">
        <w:rPr>
          <w:b/>
          <w:bCs/>
          <w:color w:val="000000" w:themeColor="text1"/>
          <w:sz w:val="22"/>
          <w:szCs w:val="22"/>
        </w:rPr>
        <w:t xml:space="preserve"> DA 1ª EMISSÃO DA OPEA SECURITIZADORA </w:t>
      </w:r>
      <w:r w:rsidR="0084194E" w:rsidRPr="00EF0CB9">
        <w:rPr>
          <w:b/>
          <w:bCs/>
          <w:color w:val="000000" w:themeColor="text1"/>
          <w:sz w:val="22"/>
          <w:szCs w:val="22"/>
        </w:rPr>
        <w:t>S.A.</w:t>
      </w:r>
      <w:bookmarkEnd w:id="3"/>
      <w:bookmarkEnd w:id="4"/>
      <w:r w:rsidR="00711C3F" w:rsidRPr="00EF0CB9">
        <w:rPr>
          <w:b/>
          <w:bCs/>
          <w:color w:val="000000" w:themeColor="text1"/>
          <w:sz w:val="22"/>
          <w:szCs w:val="22"/>
        </w:rPr>
        <w:t xml:space="preserve">, </w:t>
      </w:r>
      <w:r w:rsidR="007B0920" w:rsidRPr="00EF0CB9">
        <w:rPr>
          <w:b/>
          <w:bCs/>
          <w:color w:val="000000" w:themeColor="text1"/>
          <w:sz w:val="22"/>
          <w:szCs w:val="22"/>
        </w:rPr>
        <w:t xml:space="preserve">REALIZADA EM </w:t>
      </w:r>
      <w:r w:rsidR="006A776B" w:rsidRPr="00EF0CB9">
        <w:rPr>
          <w:b/>
          <w:bCs/>
          <w:color w:val="000000" w:themeColor="text1"/>
          <w:sz w:val="22"/>
          <w:szCs w:val="22"/>
        </w:rPr>
        <w:t>[●]</w:t>
      </w:r>
      <w:r w:rsidR="007B0920" w:rsidRPr="00EF0CB9">
        <w:rPr>
          <w:b/>
          <w:bCs/>
          <w:color w:val="000000" w:themeColor="text1"/>
          <w:sz w:val="22"/>
          <w:szCs w:val="22"/>
        </w:rPr>
        <w:t xml:space="preserve"> DE </w:t>
      </w:r>
      <w:r w:rsidR="006A776B" w:rsidRPr="00EF0CB9">
        <w:rPr>
          <w:b/>
          <w:bCs/>
          <w:color w:val="000000" w:themeColor="text1"/>
          <w:sz w:val="22"/>
          <w:szCs w:val="22"/>
        </w:rPr>
        <w:t>[●]</w:t>
      </w:r>
      <w:r w:rsidR="007B0920" w:rsidRPr="00EF0CB9">
        <w:rPr>
          <w:b/>
          <w:bCs/>
          <w:color w:val="000000" w:themeColor="text1"/>
          <w:sz w:val="22"/>
          <w:szCs w:val="22"/>
        </w:rPr>
        <w:t xml:space="preserve"> DE 202</w:t>
      </w:r>
      <w:r w:rsidR="001E64A9" w:rsidRPr="00EF0CB9">
        <w:rPr>
          <w:b/>
          <w:bCs/>
          <w:color w:val="000000" w:themeColor="text1"/>
          <w:sz w:val="22"/>
          <w:szCs w:val="22"/>
        </w:rPr>
        <w:t>2</w:t>
      </w:r>
    </w:p>
    <w:p w14:paraId="08188058" w14:textId="77777777" w:rsidR="00103456" w:rsidRPr="00EF0CB9" w:rsidRDefault="00103456" w:rsidP="003B001E">
      <w:pPr>
        <w:pStyle w:val="Corpodetexto"/>
        <w:spacing w:line="320" w:lineRule="exact"/>
        <w:jc w:val="center"/>
        <w:rPr>
          <w:color w:val="000000" w:themeColor="text1"/>
          <w:sz w:val="22"/>
          <w:szCs w:val="22"/>
        </w:rPr>
      </w:pPr>
    </w:p>
    <w:p w14:paraId="08188059" w14:textId="77777777" w:rsidR="00711C3F" w:rsidRPr="00EF0CB9" w:rsidRDefault="00000000"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Aos [●] dias do mês de [●] de 2022, às [●] horas, realizada exclusivamente de forma digital e remota, nos termos do </w:t>
      </w:r>
      <w:r w:rsidR="001E64A9"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0084194E" w:rsidRPr="00EF0CB9">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0084194E" w:rsidRPr="00EF0CB9">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00BE42C9" w:rsidRPr="00EF0CB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0084194E"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0084194E" w:rsidRPr="00EF0CB9">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202</w:t>
      </w:r>
      <w:r w:rsidR="001E64A9" w:rsidRPr="00EF0CB9">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 xml:space="preserve"> (“</w:t>
      </w:r>
      <w:r w:rsidR="001E64A9" w:rsidRPr="00EF0CB9">
        <w:rPr>
          <w:rFonts w:ascii="Times New Roman" w:hAnsi="Times New Roman" w:cs="Times New Roman"/>
          <w:color w:val="000000" w:themeColor="text1"/>
          <w:sz w:val="22"/>
          <w:szCs w:val="22"/>
          <w:u w:val="single"/>
        </w:rPr>
        <w:t xml:space="preserve">Resolução CVM </w:t>
      </w:r>
      <w:r w:rsidR="00D95C07" w:rsidRPr="00EF0CB9">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005059E4" w:rsidRPr="00EF0CB9">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w:t>
      </w:r>
      <w:r w:rsidR="004C522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administrada pela Opea Securitizadora S.A. (“</w:t>
      </w:r>
      <w:r w:rsidRPr="00EF0CB9">
        <w:rPr>
          <w:rFonts w:ascii="Times New Roman" w:hAnsi="Times New Roman" w:cs="Times New Roman"/>
          <w:color w:val="000000" w:themeColor="text1"/>
          <w:sz w:val="22"/>
          <w:szCs w:val="22"/>
          <w:u w:val="single"/>
        </w:rPr>
        <w:t>Emissora</w:t>
      </w:r>
      <w:r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rPr>
        <w:t xml:space="preserve">, sem prejuízo da utilização da instrução de voto a distância como instrumento para exercício do direito de voto pelos titulares de </w:t>
      </w:r>
      <w:r w:rsidR="00651D00" w:rsidRPr="00EF0CB9">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00651D00"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u w:val="single"/>
        </w:rPr>
        <w:t>CRI</w:t>
      </w:r>
      <w:r w:rsidR="00651D00" w:rsidRPr="00EF0CB9">
        <w:rPr>
          <w:rFonts w:ascii="Times New Roman" w:hAnsi="Times New Roman" w:cs="Times New Roman"/>
          <w:color w:val="000000" w:themeColor="text1"/>
          <w:sz w:val="22"/>
          <w:szCs w:val="22"/>
        </w:rPr>
        <w:t>”, “</w:t>
      </w:r>
      <w:r w:rsidR="00651D00" w:rsidRPr="00EF0CB9">
        <w:rPr>
          <w:rFonts w:ascii="Times New Roman" w:hAnsi="Times New Roman" w:cs="Times New Roman"/>
          <w:color w:val="000000" w:themeColor="text1"/>
          <w:sz w:val="22"/>
          <w:szCs w:val="22"/>
          <w:u w:val="single"/>
        </w:rPr>
        <w:t>Titulares de CRI</w:t>
      </w:r>
      <w:r w:rsidR="00651D00" w:rsidRPr="00EF0CB9">
        <w:rPr>
          <w:rFonts w:ascii="Times New Roman" w:hAnsi="Times New Roman" w:cs="Times New Roman"/>
          <w:color w:val="000000" w:themeColor="text1"/>
          <w:sz w:val="22"/>
          <w:szCs w:val="22"/>
        </w:rPr>
        <w:t>” e “</w:t>
      </w:r>
      <w:r w:rsidR="00651D00" w:rsidRPr="00EF0CB9">
        <w:rPr>
          <w:rFonts w:ascii="Times New Roman" w:hAnsi="Times New Roman" w:cs="Times New Roman"/>
          <w:color w:val="000000" w:themeColor="text1"/>
          <w:sz w:val="22"/>
          <w:szCs w:val="22"/>
          <w:u w:val="single"/>
        </w:rPr>
        <w:t>Emissão</w:t>
      </w:r>
      <w:r w:rsidR="00651D00" w:rsidRPr="00EF0CB9">
        <w:rPr>
          <w:rFonts w:ascii="Times New Roman" w:hAnsi="Times New Roman" w:cs="Times New Roman"/>
          <w:color w:val="000000" w:themeColor="text1"/>
          <w:sz w:val="22"/>
          <w:szCs w:val="22"/>
        </w:rPr>
        <w:t>”, respectivamente), conforme informado pela Emissora aos Titulares de CRI e ao mercado em geral no âmbito dos documentos referentes à convocação desta assembleia (“</w:t>
      </w:r>
      <w:r w:rsidR="00651D00" w:rsidRPr="00EF0CB9">
        <w:rPr>
          <w:rFonts w:ascii="Times New Roman" w:hAnsi="Times New Roman" w:cs="Times New Roman"/>
          <w:color w:val="000000" w:themeColor="text1"/>
          <w:sz w:val="22"/>
          <w:szCs w:val="22"/>
          <w:u w:val="single"/>
        </w:rPr>
        <w:t>Assembleia</w:t>
      </w:r>
      <w:r w:rsidR="00651D0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w:t>
      </w:r>
      <w:r w:rsidRPr="007B2EF8">
        <w:rPr>
          <w:rFonts w:ascii="Times New Roman" w:hAnsi="Times New Roman" w:cs="Times New Roman"/>
          <w:color w:val="000000" w:themeColor="text1"/>
          <w:sz w:val="22"/>
          <w:szCs w:val="22"/>
          <w:highlight w:val="lightGray"/>
        </w:rPr>
        <w:t>A Assembleia foi integralmente gravada e a respectiva gravação será mantida pela Emissora pelo prazo mínimo de 5 (cinco) anos ou por prazo superior, caso este venha a ser fixado pela CVM.</w:t>
      </w:r>
      <w:r w:rsidRPr="00EF0CB9">
        <w:rPr>
          <w:rFonts w:ascii="Times New Roman" w:hAnsi="Times New Roman" w:cs="Times New Roman"/>
          <w:color w:val="000000" w:themeColor="text1"/>
          <w:sz w:val="22"/>
          <w:szCs w:val="22"/>
        </w:rPr>
        <w:t>]</w:t>
      </w:r>
    </w:p>
    <w:p w14:paraId="0818805A"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18805B" w14:textId="77777777" w:rsidR="00103456" w:rsidRPr="00EF0CB9" w:rsidRDefault="00000000"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w:t>
      </w:r>
      <w:r w:rsidRPr="007B2EF8">
        <w:rPr>
          <w:rFonts w:ascii="Times New Roman" w:hAnsi="Times New Roman" w:cs="Times New Roman"/>
          <w:b/>
          <w:color w:val="000000" w:themeColor="text1"/>
          <w:sz w:val="22"/>
          <w:szCs w:val="22"/>
          <w:highlight w:val="lightGray"/>
        </w:rPr>
        <w:t>CONVOCAÇÃO</w:t>
      </w:r>
      <w:r w:rsidRPr="007B2EF8">
        <w:rPr>
          <w:rFonts w:ascii="Times New Roman" w:hAnsi="Times New Roman" w:cs="Times New Roman"/>
          <w:color w:val="000000" w:themeColor="text1"/>
          <w:sz w:val="22"/>
          <w:szCs w:val="22"/>
          <w:highlight w:val="lightGray"/>
        </w:rPr>
        <w:t>: Convocação regularmente realizada por meio de edital de convocação publicado</w:t>
      </w:r>
      <w:r w:rsidR="00FD435D" w:rsidRPr="007B2EF8">
        <w:rPr>
          <w:rFonts w:ascii="Times New Roman" w:hAnsi="Times New Roman" w:cs="Times New Roman"/>
          <w:color w:val="000000" w:themeColor="text1"/>
          <w:sz w:val="22"/>
          <w:szCs w:val="22"/>
          <w:highlight w:val="lightGray"/>
        </w:rPr>
        <w:t xml:space="preserve"> </w:t>
      </w:r>
      <w:r w:rsidRPr="007B2EF8">
        <w:rPr>
          <w:rFonts w:ascii="Times New Roman" w:hAnsi="Times New Roman" w:cs="Times New Roman"/>
          <w:color w:val="000000" w:themeColor="text1"/>
          <w:sz w:val="22"/>
          <w:szCs w:val="22"/>
          <w:highlight w:val="lightGray"/>
        </w:rPr>
        <w:t xml:space="preserve">no </w:t>
      </w:r>
      <w:r w:rsidR="0084194E" w:rsidRPr="007B2EF8">
        <w:rPr>
          <w:rFonts w:ascii="Times New Roman" w:hAnsi="Times New Roman" w:cs="Times New Roman"/>
          <w:color w:val="000000" w:themeColor="text1"/>
          <w:sz w:val="22"/>
          <w:szCs w:val="22"/>
          <w:highlight w:val="lightGray"/>
        </w:rPr>
        <w:t>“</w:t>
      </w:r>
      <w:r w:rsidR="00580E32" w:rsidRPr="007B2EF8">
        <w:rPr>
          <w:rFonts w:ascii="Times New Roman" w:hAnsi="Times New Roman" w:cs="Times New Roman"/>
          <w:bCs/>
          <w:i/>
          <w:iCs/>
          <w:color w:val="000000" w:themeColor="text1"/>
          <w:sz w:val="22"/>
          <w:szCs w:val="22"/>
          <w:highlight w:val="lightGray"/>
        </w:rPr>
        <w:t>Valor Econômico</w:t>
      </w:r>
      <w:r w:rsidR="0084194E" w:rsidRPr="007B2EF8">
        <w:rPr>
          <w:rFonts w:ascii="Times New Roman" w:hAnsi="Times New Roman" w:cs="Times New Roman"/>
          <w:bCs/>
          <w:color w:val="000000" w:themeColor="text1"/>
          <w:sz w:val="22"/>
          <w:szCs w:val="22"/>
          <w:highlight w:val="lightGray"/>
        </w:rPr>
        <w:t>” (“</w:t>
      </w:r>
      <w:r w:rsidR="00046119" w:rsidRPr="007B2EF8">
        <w:rPr>
          <w:rFonts w:ascii="Times New Roman" w:hAnsi="Times New Roman" w:cs="Times New Roman"/>
          <w:color w:val="000000" w:themeColor="text1"/>
          <w:sz w:val="22"/>
          <w:szCs w:val="22"/>
          <w:highlight w:val="lightGray"/>
          <w:u w:val="single"/>
        </w:rPr>
        <w:t>Jorna</w:t>
      </w:r>
      <w:r w:rsidR="00891BC9" w:rsidRPr="007B2EF8">
        <w:rPr>
          <w:rFonts w:ascii="Times New Roman" w:hAnsi="Times New Roman" w:cs="Times New Roman"/>
          <w:color w:val="000000" w:themeColor="text1"/>
          <w:sz w:val="22"/>
          <w:szCs w:val="22"/>
          <w:highlight w:val="lightGray"/>
          <w:u w:val="single"/>
        </w:rPr>
        <w:t>l</w:t>
      </w:r>
      <w:r w:rsidR="00046119" w:rsidRPr="007B2EF8">
        <w:rPr>
          <w:rFonts w:ascii="Times New Roman" w:hAnsi="Times New Roman" w:cs="Times New Roman"/>
          <w:color w:val="000000" w:themeColor="text1"/>
          <w:sz w:val="22"/>
          <w:szCs w:val="22"/>
          <w:highlight w:val="lightGray"/>
          <w:u w:val="single"/>
        </w:rPr>
        <w:t xml:space="preserve"> de Publicação</w:t>
      </w:r>
      <w:r w:rsidR="00046119" w:rsidRPr="007B2EF8">
        <w:rPr>
          <w:rFonts w:ascii="Times New Roman" w:hAnsi="Times New Roman" w:cs="Times New Roman"/>
          <w:color w:val="000000" w:themeColor="text1"/>
          <w:sz w:val="22"/>
          <w:szCs w:val="22"/>
          <w:highlight w:val="lightGray"/>
        </w:rPr>
        <w:t xml:space="preserve">”) </w:t>
      </w:r>
      <w:r w:rsidRPr="007B2EF8">
        <w:rPr>
          <w:rFonts w:ascii="Times New Roman" w:hAnsi="Times New Roman" w:cs="Times New Roman"/>
          <w:color w:val="000000" w:themeColor="text1"/>
          <w:sz w:val="22"/>
          <w:szCs w:val="22"/>
          <w:highlight w:val="lightGray"/>
        </w:rPr>
        <w:t>nas edições do</w:t>
      </w:r>
      <w:r w:rsidR="006B12ED" w:rsidRPr="007B2EF8">
        <w:rPr>
          <w:rFonts w:ascii="Times New Roman" w:hAnsi="Times New Roman" w:cs="Times New Roman"/>
          <w:color w:val="000000" w:themeColor="text1"/>
          <w:sz w:val="22"/>
          <w:szCs w:val="22"/>
          <w:highlight w:val="lightGray"/>
        </w:rPr>
        <w:t>s</w:t>
      </w:r>
      <w:r w:rsidRPr="007B2EF8">
        <w:rPr>
          <w:rFonts w:ascii="Times New Roman" w:hAnsi="Times New Roman" w:cs="Times New Roman"/>
          <w:color w:val="000000" w:themeColor="text1"/>
          <w:sz w:val="22"/>
          <w:szCs w:val="22"/>
          <w:highlight w:val="lightGray"/>
        </w:rPr>
        <w:t xml:space="preserve"> dia</w:t>
      </w:r>
      <w:r w:rsidR="006B12ED" w:rsidRPr="007B2EF8">
        <w:rPr>
          <w:rFonts w:ascii="Times New Roman" w:hAnsi="Times New Roman" w:cs="Times New Roman"/>
          <w:color w:val="000000" w:themeColor="text1"/>
          <w:sz w:val="22"/>
          <w:szCs w:val="22"/>
          <w:highlight w:val="lightGray"/>
        </w:rPr>
        <w:t>s</w:t>
      </w:r>
      <w:r w:rsidRPr="007B2EF8">
        <w:rPr>
          <w:rFonts w:ascii="Times New Roman" w:hAnsi="Times New Roman" w:cs="Times New Roman"/>
          <w:color w:val="000000" w:themeColor="text1"/>
          <w:sz w:val="22"/>
          <w:szCs w:val="22"/>
          <w:highlight w:val="lightGray"/>
        </w:rPr>
        <w:t xml:space="preserve"> </w:t>
      </w:r>
      <w:r w:rsidR="006A776B" w:rsidRPr="007B2EF8">
        <w:rPr>
          <w:rFonts w:ascii="Times New Roman" w:hAnsi="Times New Roman" w:cs="Times New Roman"/>
          <w:color w:val="000000" w:themeColor="text1"/>
          <w:sz w:val="22"/>
          <w:szCs w:val="22"/>
          <w:highlight w:val="lightGray"/>
        </w:rPr>
        <w:t>[●]</w:t>
      </w:r>
      <w:r w:rsidR="004F4A33" w:rsidRPr="007B2EF8">
        <w:rPr>
          <w:rFonts w:ascii="Times New Roman" w:hAnsi="Times New Roman" w:cs="Times New Roman"/>
          <w:color w:val="000000" w:themeColor="text1"/>
          <w:sz w:val="22"/>
          <w:szCs w:val="22"/>
          <w:highlight w:val="lightGray"/>
        </w:rPr>
        <w:t xml:space="preserve">, </w:t>
      </w:r>
      <w:r w:rsidR="006A776B" w:rsidRPr="007B2EF8">
        <w:rPr>
          <w:rFonts w:ascii="Times New Roman" w:hAnsi="Times New Roman" w:cs="Times New Roman"/>
          <w:color w:val="000000" w:themeColor="text1"/>
          <w:sz w:val="22"/>
          <w:szCs w:val="22"/>
          <w:highlight w:val="lightGray"/>
        </w:rPr>
        <w:t>[●]</w:t>
      </w:r>
      <w:r w:rsidR="007B0920" w:rsidRPr="007B2EF8">
        <w:rPr>
          <w:rFonts w:ascii="Times New Roman" w:hAnsi="Times New Roman" w:cs="Times New Roman"/>
          <w:color w:val="000000" w:themeColor="text1"/>
          <w:sz w:val="22"/>
          <w:szCs w:val="22"/>
          <w:highlight w:val="lightGray"/>
        </w:rPr>
        <w:t xml:space="preserve"> e </w:t>
      </w:r>
      <w:r w:rsidR="006A776B" w:rsidRPr="007B2EF8">
        <w:rPr>
          <w:rFonts w:ascii="Times New Roman" w:hAnsi="Times New Roman" w:cs="Times New Roman"/>
          <w:color w:val="000000" w:themeColor="text1"/>
          <w:sz w:val="22"/>
          <w:szCs w:val="22"/>
          <w:highlight w:val="lightGray"/>
        </w:rPr>
        <w:t>[●]</w:t>
      </w:r>
      <w:r w:rsidR="007B0920" w:rsidRPr="007B2EF8">
        <w:rPr>
          <w:rFonts w:ascii="Times New Roman" w:hAnsi="Times New Roman" w:cs="Times New Roman"/>
          <w:color w:val="000000" w:themeColor="text1"/>
          <w:sz w:val="22"/>
          <w:szCs w:val="22"/>
          <w:highlight w:val="lightGray"/>
        </w:rPr>
        <w:t xml:space="preserve"> </w:t>
      </w:r>
      <w:r w:rsidRPr="007B2EF8">
        <w:rPr>
          <w:rFonts w:ascii="Times New Roman" w:hAnsi="Times New Roman" w:cs="Times New Roman"/>
          <w:color w:val="000000" w:themeColor="text1"/>
          <w:sz w:val="22"/>
          <w:szCs w:val="22"/>
          <w:highlight w:val="lightGray"/>
        </w:rPr>
        <w:t xml:space="preserve">de </w:t>
      </w:r>
      <w:r w:rsidR="006A776B" w:rsidRPr="007B2EF8">
        <w:rPr>
          <w:rFonts w:ascii="Times New Roman" w:hAnsi="Times New Roman" w:cs="Times New Roman"/>
          <w:color w:val="000000" w:themeColor="text1"/>
          <w:sz w:val="22"/>
          <w:szCs w:val="22"/>
          <w:highlight w:val="lightGray"/>
        </w:rPr>
        <w:t>[●]</w:t>
      </w:r>
      <w:r w:rsidR="00BE0A23" w:rsidRPr="007B2EF8">
        <w:rPr>
          <w:rFonts w:ascii="Times New Roman" w:hAnsi="Times New Roman" w:cs="Times New Roman"/>
          <w:color w:val="000000" w:themeColor="text1"/>
          <w:sz w:val="22"/>
          <w:szCs w:val="22"/>
          <w:highlight w:val="lightGray"/>
        </w:rPr>
        <w:t xml:space="preserve"> </w:t>
      </w:r>
      <w:r w:rsidR="007B0920" w:rsidRPr="007B2EF8">
        <w:rPr>
          <w:rFonts w:ascii="Times New Roman" w:hAnsi="Times New Roman" w:cs="Times New Roman"/>
          <w:color w:val="000000" w:themeColor="text1"/>
          <w:sz w:val="22"/>
          <w:szCs w:val="22"/>
          <w:highlight w:val="lightGray"/>
        </w:rPr>
        <w:t>de 202</w:t>
      </w:r>
      <w:r w:rsidR="00C0070A" w:rsidRPr="007B2EF8">
        <w:rPr>
          <w:rFonts w:ascii="Times New Roman" w:hAnsi="Times New Roman" w:cs="Times New Roman"/>
          <w:color w:val="000000" w:themeColor="text1"/>
          <w:sz w:val="22"/>
          <w:szCs w:val="22"/>
          <w:highlight w:val="lightGray"/>
        </w:rPr>
        <w:t>2</w:t>
      </w:r>
      <w:r w:rsidRPr="007B2EF8">
        <w:rPr>
          <w:rFonts w:ascii="Times New Roman" w:hAnsi="Times New Roman" w:cs="Times New Roman"/>
          <w:color w:val="000000" w:themeColor="text1"/>
          <w:sz w:val="22"/>
          <w:szCs w:val="22"/>
          <w:highlight w:val="lightGray"/>
        </w:rPr>
        <w:t xml:space="preserve">, </w:t>
      </w:r>
      <w:r w:rsidR="00046119" w:rsidRPr="007B2EF8">
        <w:rPr>
          <w:rFonts w:ascii="Times New Roman" w:hAnsi="Times New Roman" w:cs="Times New Roman"/>
          <w:color w:val="000000" w:themeColor="text1"/>
          <w:sz w:val="22"/>
          <w:szCs w:val="22"/>
          <w:highlight w:val="lightGray"/>
        </w:rPr>
        <w:t>com divulgação simultânea na página do Jornal de Publicação na internet, nos termos do artigo 289 da Lei nº 6.404, de 15 de dezembro de 1976, conforme alterada (“</w:t>
      </w:r>
      <w:r w:rsidR="00046119" w:rsidRPr="007B2EF8">
        <w:rPr>
          <w:rFonts w:ascii="Times New Roman" w:hAnsi="Times New Roman" w:cs="Times New Roman"/>
          <w:color w:val="000000" w:themeColor="text1"/>
          <w:sz w:val="22"/>
          <w:szCs w:val="22"/>
          <w:highlight w:val="lightGray"/>
          <w:u w:val="single"/>
        </w:rPr>
        <w:t>Lei das Sociedades por Ações</w:t>
      </w:r>
      <w:r w:rsidR="00046119" w:rsidRPr="007B2EF8">
        <w:rPr>
          <w:rFonts w:ascii="Times New Roman" w:hAnsi="Times New Roman" w:cs="Times New Roman"/>
          <w:color w:val="000000" w:themeColor="text1"/>
          <w:sz w:val="22"/>
          <w:szCs w:val="22"/>
          <w:highlight w:val="lightGray"/>
        </w:rPr>
        <w:t>”)</w:t>
      </w:r>
      <w:r w:rsidR="00E46AA9" w:rsidRPr="007B2EF8">
        <w:rPr>
          <w:rFonts w:ascii="Times New Roman" w:hAnsi="Times New Roman" w:cs="Times New Roman"/>
          <w:color w:val="000000" w:themeColor="text1"/>
          <w:sz w:val="22"/>
          <w:szCs w:val="22"/>
          <w:highlight w:val="lightGray"/>
        </w:rPr>
        <w:t xml:space="preserve"> e nos termos da Cláusula 13.4 do</w:t>
      </w:r>
      <w:r w:rsidR="0050429D" w:rsidRPr="007B2EF8">
        <w:rPr>
          <w:rFonts w:ascii="Times New Roman" w:hAnsi="Times New Roman" w:cs="Times New Roman"/>
          <w:color w:val="000000" w:themeColor="text1"/>
          <w:sz w:val="22"/>
          <w:szCs w:val="22"/>
          <w:highlight w:val="lightGray"/>
        </w:rPr>
        <w:t xml:space="preserve"> </w:t>
      </w:r>
      <w:r w:rsidR="00E46AA9" w:rsidRPr="007B2EF8">
        <w:rPr>
          <w:rFonts w:ascii="Times New Roman" w:hAnsi="Times New Roman" w:cs="Times New Roman"/>
          <w:color w:val="000000" w:themeColor="text1"/>
          <w:sz w:val="22"/>
          <w:szCs w:val="22"/>
          <w:highlight w:val="lightGray"/>
        </w:rPr>
        <w:t>“</w:t>
      </w:r>
      <w:r w:rsidR="00E46AA9" w:rsidRPr="007B2EF8">
        <w:rPr>
          <w:rFonts w:ascii="Times New Roman" w:hAnsi="Times New Roman" w:cs="Times New Roman"/>
          <w:i/>
          <w:iCs/>
          <w:color w:val="000000" w:themeColor="text1"/>
          <w:sz w:val="22"/>
          <w:szCs w:val="22"/>
          <w:highlight w:val="lightGray"/>
        </w:rPr>
        <w:t>Termo de Securitização de Créditos Imobiliários da 275ª Série da 1ª Emissão de Certificados de Recebíveis Imobiliários da RB Capital Companhia de Securitização</w:t>
      </w:r>
      <w:r w:rsidR="00E46AA9" w:rsidRPr="007B2EF8">
        <w:rPr>
          <w:rFonts w:ascii="Times New Roman" w:hAnsi="Times New Roman" w:cs="Times New Roman"/>
          <w:color w:val="000000" w:themeColor="text1"/>
          <w:sz w:val="22"/>
          <w:szCs w:val="22"/>
          <w:highlight w:val="lightGray"/>
        </w:rPr>
        <w:t xml:space="preserve">”, celebrado em 15 de setembro de 2020, entre a Emissora e a Simplific Pavarini Distribuidora de Títulos e Valores Mobiliários Ltda. (CNPJ/ME sob o nº </w:t>
      </w:r>
      <w:r w:rsidR="001E225E" w:rsidRPr="007B2EF8">
        <w:rPr>
          <w:rFonts w:ascii="Times New Roman" w:hAnsi="Times New Roman" w:cs="Times New Roman"/>
          <w:color w:val="000000" w:themeColor="text1"/>
          <w:sz w:val="22"/>
          <w:szCs w:val="22"/>
          <w:highlight w:val="lightGray"/>
        </w:rPr>
        <w:t>15.227.994/0004-01)</w:t>
      </w:r>
      <w:r w:rsidR="004437A4" w:rsidRPr="007B2EF8">
        <w:rPr>
          <w:rFonts w:ascii="Times New Roman" w:hAnsi="Times New Roman" w:cs="Times New Roman"/>
          <w:color w:val="000000" w:themeColor="text1"/>
          <w:sz w:val="22"/>
          <w:szCs w:val="22"/>
          <w:highlight w:val="lightGray"/>
        </w:rPr>
        <w:t xml:space="preserve"> (“</w:t>
      </w:r>
      <w:r w:rsidR="004437A4" w:rsidRPr="007B2EF8">
        <w:rPr>
          <w:rFonts w:ascii="Times New Roman" w:hAnsi="Times New Roman" w:cs="Times New Roman"/>
          <w:color w:val="000000" w:themeColor="text1"/>
          <w:sz w:val="22"/>
          <w:szCs w:val="22"/>
          <w:highlight w:val="lightGray"/>
          <w:u w:val="single"/>
        </w:rPr>
        <w:t>Agente Fiduciário</w:t>
      </w:r>
      <w:r w:rsidR="004437A4" w:rsidRPr="007B2EF8">
        <w:rPr>
          <w:rFonts w:ascii="Times New Roman" w:hAnsi="Times New Roman" w:cs="Times New Roman"/>
          <w:color w:val="000000" w:themeColor="text1"/>
          <w:sz w:val="22"/>
          <w:szCs w:val="22"/>
          <w:highlight w:val="lightGray"/>
        </w:rPr>
        <w:t>”), conforme aditado de tempos em tempos (“</w:t>
      </w:r>
      <w:r w:rsidR="004437A4" w:rsidRPr="007B2EF8">
        <w:rPr>
          <w:rFonts w:ascii="Times New Roman" w:hAnsi="Times New Roman" w:cs="Times New Roman"/>
          <w:color w:val="000000" w:themeColor="text1"/>
          <w:sz w:val="22"/>
          <w:szCs w:val="22"/>
          <w:highlight w:val="lightGray"/>
          <w:u w:val="single"/>
        </w:rPr>
        <w:t>Termo de Securitização</w:t>
      </w:r>
      <w:r w:rsidR="004437A4" w:rsidRPr="007B2EF8">
        <w:rPr>
          <w:rFonts w:ascii="Times New Roman" w:hAnsi="Times New Roman" w:cs="Times New Roman"/>
          <w:color w:val="000000" w:themeColor="text1"/>
          <w:sz w:val="22"/>
          <w:szCs w:val="22"/>
          <w:highlight w:val="lightGray"/>
        </w:rPr>
        <w:t>”).</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b/>
          <w:bCs/>
          <w:color w:val="000000" w:themeColor="text1"/>
          <w:sz w:val="22"/>
          <w:szCs w:val="22"/>
          <w:highlight w:val="yellow"/>
        </w:rPr>
        <w:t>Nota Cescon Barrieu</w:t>
      </w:r>
      <w:r w:rsidR="001476B4" w:rsidRPr="00EF0CB9">
        <w:rPr>
          <w:rFonts w:ascii="Times New Roman" w:hAnsi="Times New Roman" w:cs="Times New Roman"/>
          <w:color w:val="000000" w:themeColor="text1"/>
          <w:sz w:val="22"/>
          <w:szCs w:val="22"/>
          <w:highlight w:val="yellow"/>
        </w:rPr>
        <w:t>: a convocação será ajustada conforme definição da estrutura</w:t>
      </w:r>
      <w:r w:rsidR="001476B4" w:rsidRPr="00EF0CB9">
        <w:rPr>
          <w:rFonts w:ascii="Times New Roman" w:hAnsi="Times New Roman" w:cs="Times New Roman"/>
          <w:color w:val="000000" w:themeColor="text1"/>
          <w:sz w:val="22"/>
          <w:szCs w:val="22"/>
        </w:rPr>
        <w:t>]</w:t>
      </w:r>
    </w:p>
    <w:p w14:paraId="0818805C" w14:textId="77777777" w:rsidR="00103456" w:rsidRPr="00EF0CB9" w:rsidRDefault="00103456" w:rsidP="003B001E">
      <w:pPr>
        <w:pStyle w:val="PargrafodaLista"/>
        <w:spacing w:line="320" w:lineRule="exact"/>
        <w:rPr>
          <w:color w:val="000000" w:themeColor="text1"/>
          <w:sz w:val="22"/>
          <w:szCs w:val="22"/>
        </w:rPr>
      </w:pPr>
    </w:p>
    <w:p w14:paraId="0818805D" w14:textId="77777777" w:rsidR="00103456" w:rsidRPr="00EF0CB9" w:rsidRDefault="00000000"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004437A4" w:rsidRPr="00EF0CB9">
        <w:rPr>
          <w:rFonts w:ascii="Times New Roman" w:hAnsi="Times New Roman" w:cs="Times New Roman"/>
          <w:color w:val="000000" w:themeColor="text1"/>
          <w:sz w:val="22"/>
          <w:szCs w:val="22"/>
        </w:rPr>
        <w:t xml:space="preserve">os </w:t>
      </w:r>
      <w:r w:rsidR="00A7274D" w:rsidRPr="00EF0CB9">
        <w:rPr>
          <w:rFonts w:ascii="Times New Roman" w:hAnsi="Times New Roman" w:cs="Times New Roman"/>
          <w:color w:val="000000" w:themeColor="text1"/>
          <w:sz w:val="22"/>
          <w:szCs w:val="22"/>
        </w:rPr>
        <w:t>Titulares de CR</w:t>
      </w:r>
      <w:r w:rsidR="00891BC9"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w:t>
      </w:r>
      <w:r w:rsidR="004947DE"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 xml:space="preserve">[●] </w:t>
      </w:r>
      <w:r w:rsidR="004947DE" w:rsidRPr="00EF0CB9">
        <w:rPr>
          <w:rFonts w:ascii="Times New Roman" w:hAnsi="Times New Roman" w:cs="Times New Roman"/>
          <w:color w:val="000000" w:themeColor="text1"/>
          <w:sz w:val="22"/>
          <w:szCs w:val="22"/>
        </w:rPr>
        <w:t>por cento</w:t>
      </w:r>
      <w:r w:rsidR="00313FD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001E2D25" w:rsidRPr="00EF0CB9">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008664F8" w:rsidRPr="00EF0CB9">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008664F8" w:rsidRPr="00EF0CB9">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(ii)</w:t>
      </w:r>
      <w:r w:rsidR="008664F8" w:rsidRPr="00EF0CB9">
        <w:rPr>
          <w:rFonts w:ascii="Times New Roman" w:hAnsi="Times New Roman" w:cs="Times New Roman"/>
          <w:b/>
          <w:bCs/>
          <w:color w:val="000000" w:themeColor="text1"/>
          <w:sz w:val="22"/>
          <w:szCs w:val="22"/>
        </w:rPr>
        <w:t xml:space="preserve"> </w:t>
      </w:r>
      <w:r w:rsidR="008664F8" w:rsidRPr="00EF0CB9">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008664F8"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 xml:space="preserve">do </w:t>
      </w:r>
      <w:r w:rsidR="006A776B" w:rsidRPr="00EF0CB9">
        <w:rPr>
          <w:rFonts w:ascii="Times New Roman" w:hAnsi="Times New Roman" w:cs="Times New Roman"/>
          <w:color w:val="000000" w:themeColor="text1"/>
          <w:sz w:val="22"/>
          <w:szCs w:val="22"/>
        </w:rPr>
        <w:lastRenderedPageBreak/>
        <w:t>Agente Fiduciário</w:t>
      </w:r>
      <w:r w:rsidRPr="00EF0CB9">
        <w:rPr>
          <w:rFonts w:ascii="Times New Roman" w:hAnsi="Times New Roman" w:cs="Times New Roman"/>
          <w:color w:val="000000" w:themeColor="text1"/>
          <w:sz w:val="22"/>
          <w:szCs w:val="22"/>
        </w:rPr>
        <w:t xml:space="preserve">; </w:t>
      </w:r>
      <w:r w:rsidR="00313FD9" w:rsidRPr="00EF0CB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(iii)</w:t>
      </w:r>
      <w:r w:rsidR="00313FD9" w:rsidRPr="00EF0CB9">
        <w:rPr>
          <w:rFonts w:ascii="Times New Roman" w:hAnsi="Times New Roman" w:cs="Times New Roman"/>
          <w:color w:val="000000" w:themeColor="text1"/>
          <w:sz w:val="22"/>
          <w:szCs w:val="22"/>
        </w:rPr>
        <w:t xml:space="preserve"> </w:t>
      </w:r>
      <w:r w:rsidR="008664F8" w:rsidRPr="00EF0CB9">
        <w:rPr>
          <w:rFonts w:ascii="Times New Roman" w:hAnsi="Times New Roman" w:cs="Times New Roman"/>
          <w:color w:val="000000" w:themeColor="text1"/>
          <w:sz w:val="22"/>
          <w:szCs w:val="22"/>
        </w:rPr>
        <w:t xml:space="preserve">os </w:t>
      </w:r>
      <w:r w:rsidR="00313FD9" w:rsidRPr="00EF0CB9">
        <w:rPr>
          <w:rFonts w:ascii="Times New Roman" w:hAnsi="Times New Roman" w:cs="Times New Roman"/>
          <w:color w:val="000000" w:themeColor="text1"/>
          <w:sz w:val="22"/>
          <w:szCs w:val="22"/>
        </w:rPr>
        <w:t xml:space="preserve">representantes da </w:t>
      </w:r>
      <w:r w:rsidR="0084194E" w:rsidRPr="00EF0CB9">
        <w:rPr>
          <w:rFonts w:ascii="Times New Roman" w:hAnsi="Times New Roman" w:cs="Times New Roman"/>
          <w:color w:val="000000" w:themeColor="text1"/>
          <w:sz w:val="22"/>
          <w:szCs w:val="22"/>
        </w:rPr>
        <w:t>Emissora</w:t>
      </w:r>
      <w:r w:rsidR="001476B4" w:rsidRPr="00EF0CB9">
        <w:rPr>
          <w:rFonts w:ascii="Times New Roman" w:hAnsi="Times New Roman" w:cs="Times New Roman"/>
          <w:color w:val="000000" w:themeColor="text1"/>
          <w:sz w:val="22"/>
          <w:szCs w:val="22"/>
        </w:rPr>
        <w:t>, conforme assinaturas constantes ao final desta ata</w:t>
      </w:r>
      <w:r w:rsidR="00A7274D"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00A7274D" w:rsidRPr="00EF0CB9">
        <w:rPr>
          <w:rFonts w:ascii="Times New Roman" w:hAnsi="Times New Roman" w:cs="Times New Roman"/>
          <w:color w:val="000000" w:themeColor="text1"/>
          <w:sz w:val="22"/>
          <w:szCs w:val="22"/>
        </w:rPr>
        <w:t>Titulares de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w:t>
      </w:r>
      <w:r w:rsidR="001476B4"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por meio de instrução de voto a distância válida, nos termos da regulamentação, ou</w:t>
      </w:r>
      <w:r w:rsidR="001476B4"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por meio do sistema eletrônico, foram considerados presentes nesta Assembleia e signatários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r w:rsidR="001476B4"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b/>
          <w:bCs/>
          <w:color w:val="000000" w:themeColor="text1"/>
          <w:sz w:val="22"/>
          <w:szCs w:val="22"/>
          <w:highlight w:val="yellow"/>
        </w:rPr>
        <w:t>Nota Cescon Barrieu</w:t>
      </w:r>
      <w:r w:rsidR="001476B4" w:rsidRPr="00EF0CB9">
        <w:rPr>
          <w:rFonts w:ascii="Times New Roman" w:hAnsi="Times New Roman" w:cs="Times New Roman"/>
          <w:color w:val="000000" w:themeColor="text1"/>
          <w:sz w:val="22"/>
          <w:szCs w:val="22"/>
          <w:highlight w:val="yellow"/>
        </w:rPr>
        <w:t>: redação a ser ajustada conforme a utilização ou não da instrução de voto a distância</w:t>
      </w:r>
      <w:r w:rsidR="001476B4" w:rsidRPr="00EF0CB9">
        <w:rPr>
          <w:rFonts w:ascii="Times New Roman" w:hAnsi="Times New Roman" w:cs="Times New Roman"/>
          <w:color w:val="000000" w:themeColor="text1"/>
          <w:sz w:val="22"/>
          <w:szCs w:val="22"/>
        </w:rPr>
        <w:t>]</w:t>
      </w:r>
    </w:p>
    <w:p w14:paraId="0818805E" w14:textId="77777777" w:rsidR="00103456" w:rsidRPr="00EF0CB9" w:rsidRDefault="00103456" w:rsidP="003B001E">
      <w:pPr>
        <w:pStyle w:val="PargrafodaLista"/>
        <w:spacing w:line="320" w:lineRule="exact"/>
        <w:rPr>
          <w:color w:val="000000" w:themeColor="text1"/>
          <w:sz w:val="22"/>
          <w:szCs w:val="22"/>
        </w:rPr>
      </w:pPr>
    </w:p>
    <w:p w14:paraId="0818805F" w14:textId="77777777" w:rsidR="00103456" w:rsidRPr="00EF0CB9" w:rsidRDefault="00000000" w:rsidP="00B75A22">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004903AF"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Presidente:</w:t>
      </w:r>
      <w:r w:rsidR="004903AF"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006A776B" w:rsidRPr="00EF0CB9">
        <w:rPr>
          <w:rFonts w:ascii="Times New Roman" w:hAnsi="Times New Roman" w:cs="Times New Roman"/>
          <w:color w:val="000000" w:themeColor="text1"/>
          <w:sz w:val="22"/>
          <w:szCs w:val="22"/>
        </w:rPr>
        <w:t>]</w:t>
      </w:r>
      <w:r w:rsidR="002A2F0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4B7E9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Secretári[o/a]: </w:t>
      </w:r>
      <w:r w:rsidR="00C0070A"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[a]</w:t>
      </w:r>
      <w:r w:rsidR="002A2F09" w:rsidRPr="00EF0CB9">
        <w:rPr>
          <w:rFonts w:ascii="Times New Roman" w:hAnsi="Times New Roman" w:cs="Times New Roman"/>
          <w:color w:val="000000" w:themeColor="text1"/>
          <w:sz w:val="22"/>
          <w:szCs w:val="22"/>
        </w:rPr>
        <w:t>.</w:t>
      </w:r>
      <w:r w:rsidR="00C0070A"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Secretári</w:t>
      </w:r>
      <w:r w:rsidR="006A776B" w:rsidRPr="00EF0CB9">
        <w:rPr>
          <w:rFonts w:ascii="Times New Roman" w:hAnsi="Times New Roman" w:cs="Times New Roman"/>
          <w:color w:val="000000" w:themeColor="text1"/>
          <w:sz w:val="22"/>
          <w:szCs w:val="22"/>
          <w:u w:val="single"/>
        </w:rPr>
        <w:t>[</w:t>
      </w:r>
      <w:r w:rsidR="00C0070A" w:rsidRPr="00EF0CB9">
        <w:rPr>
          <w:rFonts w:ascii="Times New Roman" w:hAnsi="Times New Roman" w:cs="Times New Roman"/>
          <w:color w:val="000000" w:themeColor="text1"/>
          <w:sz w:val="22"/>
          <w:szCs w:val="22"/>
          <w:u w:val="single"/>
        </w:rPr>
        <w:t>o</w:t>
      </w:r>
      <w:r w:rsidR="006A776B" w:rsidRPr="00EF0CB9">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00301D77" w:rsidRPr="00EF0CB9">
        <w:rPr>
          <w:rFonts w:ascii="Times New Roman" w:hAnsi="Times New Roman" w:cs="Times New Roman"/>
          <w:color w:val="000000" w:themeColor="text1"/>
          <w:sz w:val="22"/>
          <w:szCs w:val="22"/>
        </w:rPr>
        <w:t xml:space="preserve"> </w:t>
      </w:r>
    </w:p>
    <w:p w14:paraId="08188060" w14:textId="77777777" w:rsidR="00CF5370" w:rsidRPr="00EF0CB9" w:rsidRDefault="00CF5370" w:rsidP="003B001E">
      <w:pPr>
        <w:pStyle w:val="PargrafodaLista"/>
        <w:spacing w:line="320" w:lineRule="exact"/>
        <w:rPr>
          <w:b/>
          <w:color w:val="000000" w:themeColor="text1"/>
          <w:sz w:val="22"/>
          <w:szCs w:val="22"/>
        </w:rPr>
      </w:pPr>
      <w:bookmarkStart w:id="5" w:name="_Hlk115976561"/>
    </w:p>
    <w:p w14:paraId="08188061" w14:textId="77777777" w:rsidR="00103456" w:rsidRPr="00EF0CB9" w:rsidRDefault="00000000"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6"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14:paraId="08188062" w14:textId="77777777" w:rsidR="00103456" w:rsidRPr="00EF0CB9" w:rsidRDefault="00103456" w:rsidP="003B001E">
      <w:pPr>
        <w:pStyle w:val="Default"/>
        <w:spacing w:line="320" w:lineRule="exact"/>
        <w:jc w:val="both"/>
        <w:rPr>
          <w:rFonts w:ascii="Times New Roman" w:hAnsi="Times New Roman" w:cs="Times New Roman"/>
          <w:b/>
          <w:color w:val="000000" w:themeColor="text1"/>
          <w:sz w:val="22"/>
          <w:szCs w:val="22"/>
        </w:rPr>
      </w:pPr>
    </w:p>
    <w:p w14:paraId="08188063" w14:textId="77777777" w:rsidR="0057278C" w:rsidRPr="00EF0CB9" w:rsidRDefault="0000000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E55920" w:rsidRPr="00EF0CB9">
        <w:rPr>
          <w:rFonts w:ascii="Times New Roman" w:hAnsi="Times New Roman" w:cs="Times New Roman"/>
          <w:bCs/>
          <w:color w:val="000000" w:themeColor="text1"/>
          <w:sz w:val="22"/>
          <w:szCs w:val="22"/>
        </w:rPr>
        <w:t>nuência prévia para:</w:t>
      </w:r>
      <w:r w:rsidRPr="00EF0CB9">
        <w:rPr>
          <w:rFonts w:ascii="Times New Roman" w:hAnsi="Times New Roman" w:cs="Times New Roman"/>
          <w:bCs/>
          <w:color w:val="000000" w:themeColor="text1"/>
          <w:sz w:val="22"/>
          <w:szCs w:val="22"/>
        </w:rPr>
        <w:t xml:space="preserve"> </w:t>
      </w:r>
      <w:r w:rsidR="003B001E" w:rsidRPr="00EF0CB9">
        <w:rPr>
          <w:rFonts w:ascii="Times New Roman" w:hAnsi="Times New Roman" w:cs="Times New Roman"/>
          <w:b/>
          <w:color w:val="000000" w:themeColor="text1"/>
          <w:sz w:val="22"/>
          <w:szCs w:val="22"/>
        </w:rPr>
        <w:t>(i)</w:t>
      </w:r>
      <w:r w:rsidR="003B001E" w:rsidRPr="00EF0CB9">
        <w:rPr>
          <w:rFonts w:ascii="Times New Roman" w:hAnsi="Times New Roman" w:cs="Times New Roman"/>
          <w:bCs/>
          <w:color w:val="000000" w:themeColor="text1"/>
          <w:sz w:val="22"/>
          <w:szCs w:val="22"/>
        </w:rPr>
        <w:t xml:space="preserve"> a alteração na mecânica da Amortização Extraordinária Obrigatória </w:t>
      </w:r>
      <w:r w:rsidR="00270377" w:rsidRPr="00EF0CB9">
        <w:rPr>
          <w:rFonts w:ascii="Times New Roman" w:hAnsi="Times New Roman" w:cs="Times New Roman"/>
          <w:bCs/>
          <w:color w:val="000000" w:themeColor="text1"/>
          <w:sz w:val="22"/>
          <w:szCs w:val="22"/>
        </w:rPr>
        <w:t xml:space="preserve">prevista na Escritura de </w:t>
      </w:r>
      <w:r w:rsidR="00270377" w:rsidRPr="00481264">
        <w:rPr>
          <w:rFonts w:ascii="Times New Roman" w:hAnsi="Times New Roman" w:cs="Times New Roman"/>
          <w:bCs/>
          <w:color w:val="000000" w:themeColor="text1"/>
          <w:sz w:val="22"/>
          <w:szCs w:val="22"/>
        </w:rPr>
        <w:t>Emissão (conforme abaixo definida)</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
          <w:color w:val="000000" w:themeColor="text1"/>
          <w:sz w:val="22"/>
          <w:szCs w:val="22"/>
        </w:rPr>
        <w:t>(ii)</w:t>
      </w:r>
      <w:r w:rsidR="003B001E" w:rsidRPr="00481264">
        <w:rPr>
          <w:rFonts w:ascii="Times New Roman" w:hAnsi="Times New Roman" w:cs="Times New Roman"/>
          <w:bCs/>
          <w:color w:val="000000" w:themeColor="text1"/>
          <w:sz w:val="22"/>
          <w:szCs w:val="22"/>
        </w:rPr>
        <w:t xml:space="preserve"> a </w:t>
      </w:r>
      <w:r w:rsidR="0020524A" w:rsidRPr="00481264">
        <w:rPr>
          <w:rFonts w:ascii="Times New Roman" w:hAnsi="Times New Roman" w:cs="Times New Roman"/>
          <w:b/>
          <w:color w:val="000000" w:themeColor="text1"/>
          <w:sz w:val="22"/>
          <w:szCs w:val="22"/>
        </w:rPr>
        <w:t>(ii.a)</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alteração do Índice Mínimo de Garantias (conforme definido abaixo)</w:t>
      </w:r>
      <w:r w:rsidR="00132233" w:rsidRPr="00481264">
        <w:rPr>
          <w:rFonts w:ascii="Times New Roman" w:hAnsi="Times New Roman" w:cs="Times New Roman"/>
          <w:bCs/>
          <w:color w:val="000000" w:themeColor="text1"/>
          <w:sz w:val="22"/>
          <w:szCs w:val="22"/>
        </w:rPr>
        <w:t xml:space="preserve">, </w:t>
      </w:r>
      <w:r w:rsidR="00132233" w:rsidRPr="00481264">
        <w:rPr>
          <w:rFonts w:ascii="Times New Roman" w:hAnsi="Times New Roman"/>
          <w:bCs/>
          <w:sz w:val="22"/>
          <w:szCs w:val="22"/>
        </w:rPr>
        <w:t>bem como seu deslocamento para a Cláusula 9 (Obrigações Adicionais da Emissora) da Escritura da Emissão</w:t>
      </w:r>
      <w:r w:rsidR="0020524A" w:rsidRPr="00481264">
        <w:rPr>
          <w:rFonts w:ascii="Times New Roman" w:hAnsi="Times New Roman" w:cs="Times New Roman"/>
          <w:bCs/>
          <w:color w:val="000000" w:themeColor="text1"/>
          <w:sz w:val="22"/>
          <w:szCs w:val="22"/>
        </w:rPr>
        <w:t xml:space="preserve">; e </w:t>
      </w:r>
      <w:r w:rsidR="0020524A" w:rsidRPr="00481264">
        <w:rPr>
          <w:rFonts w:ascii="Times New Roman" w:hAnsi="Times New Roman" w:cs="Times New Roman"/>
          <w:b/>
          <w:color w:val="000000" w:themeColor="text1"/>
          <w:sz w:val="22"/>
          <w:szCs w:val="22"/>
        </w:rPr>
        <w:t>(ii.b)</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inclusão do Novo Índice Mínimo de Garantias (conforme definido abaixo); </w:t>
      </w:r>
      <w:r w:rsidR="003B001E" w:rsidRPr="00481264">
        <w:rPr>
          <w:rFonts w:ascii="Times New Roman" w:hAnsi="Times New Roman" w:cs="Times New Roman"/>
          <w:b/>
          <w:color w:val="000000" w:themeColor="text1"/>
          <w:sz w:val="22"/>
          <w:szCs w:val="22"/>
        </w:rPr>
        <w:t>(</w:t>
      </w:r>
      <w:r w:rsidR="000D6161" w:rsidRPr="00481264">
        <w:rPr>
          <w:rFonts w:ascii="Times New Roman" w:hAnsi="Times New Roman" w:cs="Times New Roman"/>
          <w:b/>
          <w:color w:val="000000" w:themeColor="text1"/>
          <w:sz w:val="22"/>
          <w:szCs w:val="22"/>
        </w:rPr>
        <w:t>iii</w:t>
      </w:r>
      <w:r w:rsidR="003B001E" w:rsidRPr="00481264">
        <w:rPr>
          <w:rFonts w:ascii="Times New Roman" w:hAnsi="Times New Roman" w:cs="Times New Roman"/>
          <w:b/>
          <w:color w:val="000000" w:themeColor="text1"/>
          <w:sz w:val="22"/>
          <w:szCs w:val="22"/>
        </w:rPr>
        <w:t>)</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color w:val="000000" w:themeColor="text1"/>
          <w:sz w:val="22"/>
          <w:szCs w:val="22"/>
        </w:rPr>
        <w:t>a alteração do rol das Garantias</w:t>
      </w:r>
      <w:r w:rsidRPr="00481264">
        <w:rPr>
          <w:rFonts w:ascii="Times New Roman" w:hAnsi="Times New Roman" w:cs="Times New Roman"/>
          <w:color w:val="000000" w:themeColor="text1"/>
          <w:sz w:val="22"/>
          <w:szCs w:val="22"/>
        </w:rPr>
        <w:t xml:space="preserve"> (conforme definidas</w:t>
      </w:r>
      <w:r w:rsidR="00171351" w:rsidRPr="00481264">
        <w:rPr>
          <w:rFonts w:ascii="Times New Roman" w:hAnsi="Times New Roman" w:cs="Times New Roman"/>
          <w:color w:val="000000" w:themeColor="text1"/>
          <w:sz w:val="22"/>
          <w:szCs w:val="22"/>
        </w:rPr>
        <w:t xml:space="preserve"> na Escritura de Emissão e </w:t>
      </w:r>
      <w:r w:rsidR="00132233" w:rsidRPr="00481264">
        <w:rPr>
          <w:rFonts w:ascii="Times New Roman" w:hAnsi="Times New Roman" w:cs="Times New Roman"/>
          <w:color w:val="000000" w:themeColor="text1"/>
          <w:sz w:val="22"/>
          <w:szCs w:val="22"/>
        </w:rPr>
        <w:t xml:space="preserve">no </w:t>
      </w:r>
      <w:r w:rsidR="00171351" w:rsidRPr="00481264">
        <w:rPr>
          <w:rFonts w:ascii="Times New Roman" w:hAnsi="Times New Roman" w:cs="Times New Roman"/>
          <w:color w:val="000000" w:themeColor="text1"/>
          <w:sz w:val="22"/>
          <w:szCs w:val="22"/>
        </w:rPr>
        <w:t>Termo de Securitização</w:t>
      </w:r>
      <w:r w:rsidRPr="00481264">
        <w:rPr>
          <w:rFonts w:ascii="Times New Roman" w:hAnsi="Times New Roman" w:cs="Times New Roman"/>
          <w:color w:val="000000" w:themeColor="text1"/>
          <w:sz w:val="22"/>
          <w:szCs w:val="22"/>
        </w:rPr>
        <w:t>)</w:t>
      </w:r>
      <w:r w:rsidR="003B001E" w:rsidRPr="00481264">
        <w:rPr>
          <w:rFonts w:ascii="Times New Roman" w:hAnsi="Times New Roman" w:cs="Times New Roman"/>
          <w:color w:val="000000" w:themeColor="text1"/>
          <w:sz w:val="22"/>
          <w:szCs w:val="22"/>
        </w:rPr>
        <w:t xml:space="preserve"> para prever a </w:t>
      </w:r>
      <w:r w:rsidR="00730757" w:rsidRPr="00481264">
        <w:rPr>
          <w:rFonts w:ascii="Times New Roman" w:hAnsi="Times New Roman" w:cs="Times New Roman"/>
          <w:b/>
          <w:bCs/>
          <w:color w:val="000000" w:themeColor="text1"/>
          <w:sz w:val="22"/>
          <w:szCs w:val="22"/>
        </w:rPr>
        <w:t>(iii.a)</w:t>
      </w:r>
      <w:r w:rsidR="00730757"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color w:val="000000" w:themeColor="text1"/>
          <w:sz w:val="22"/>
          <w:szCs w:val="22"/>
        </w:rPr>
        <w:t xml:space="preserve">baixa das Hipotecas </w:t>
      </w:r>
      <w:r w:rsidRPr="00481264">
        <w:rPr>
          <w:rFonts w:ascii="Times New Roman" w:hAnsi="Times New Roman" w:cs="Times New Roman"/>
          <w:color w:val="000000" w:themeColor="text1"/>
          <w:sz w:val="22"/>
          <w:szCs w:val="22"/>
        </w:rPr>
        <w:t xml:space="preserve">(conforme abaixo definidas) </w:t>
      </w:r>
      <w:r w:rsidR="00132233" w:rsidRPr="00481264">
        <w:rPr>
          <w:rFonts w:ascii="Times New Roman" w:hAnsi="Times New Roman"/>
          <w:sz w:val="22"/>
        </w:rPr>
        <w:t xml:space="preserve">das unidades descritas no </w:t>
      </w:r>
      <w:r w:rsidR="00132233" w:rsidRPr="00481264">
        <w:rPr>
          <w:rFonts w:ascii="Times New Roman" w:hAnsi="Times New Roman"/>
          <w:b/>
          <w:bCs/>
          <w:sz w:val="22"/>
        </w:rPr>
        <w:t>Anexo I</w:t>
      </w:r>
      <w:r w:rsidR="00481264" w:rsidRPr="00481264">
        <w:rPr>
          <w:rFonts w:ascii="Times New Roman" w:hAnsi="Times New Roman"/>
          <w:b/>
          <w:bCs/>
          <w:sz w:val="22"/>
        </w:rPr>
        <w:t>I</w:t>
      </w:r>
      <w:r w:rsidR="00132233" w:rsidRPr="00481264">
        <w:rPr>
          <w:rFonts w:ascii="Times New Roman" w:hAnsi="Times New Roman"/>
          <w:sz w:val="22"/>
        </w:rPr>
        <w:t xml:space="preserve"> à presente ata, </w:t>
      </w:r>
      <w:r w:rsidR="003B001E" w:rsidRPr="00481264">
        <w:rPr>
          <w:rFonts w:ascii="Times New Roman" w:hAnsi="Times New Roman" w:cs="Times New Roman"/>
          <w:color w:val="000000" w:themeColor="text1"/>
          <w:sz w:val="22"/>
          <w:szCs w:val="22"/>
        </w:rPr>
        <w:t xml:space="preserve">referentes aos </w:t>
      </w:r>
      <w:r w:rsidR="003B001E" w:rsidRPr="00481264">
        <w:rPr>
          <w:rFonts w:ascii="Times New Roman" w:hAnsi="Times New Roman" w:cs="Times New Roman"/>
          <w:bCs/>
          <w:color w:val="000000" w:themeColor="text1"/>
          <w:sz w:val="22"/>
          <w:szCs w:val="22"/>
        </w:rPr>
        <w:t>empreendimentos</w:t>
      </w:r>
      <w:r w:rsidR="003B001E" w:rsidRPr="00481264">
        <w:rPr>
          <w:rFonts w:ascii="Times New Roman" w:hAnsi="Times New Roman" w:cs="Times New Roman"/>
          <w:color w:val="000000" w:themeColor="text1"/>
          <w:sz w:val="22"/>
          <w:szCs w:val="22"/>
        </w:rPr>
        <w:t xml:space="preserve"> Moov Parque Maia</w:t>
      </w:r>
      <w:r w:rsidR="003B001E" w:rsidRPr="00481264">
        <w:rPr>
          <w:rFonts w:ascii="Times New Roman" w:hAnsi="Times New Roman" w:cs="Times New Roman"/>
          <w:bCs/>
          <w:color w:val="000000" w:themeColor="text1"/>
          <w:sz w:val="22"/>
          <w:szCs w:val="22"/>
        </w:rPr>
        <w:t>, Belvedere Lorian Boulevard, Scena Tatuapé, Gafisa Upside Paraíso,</w:t>
      </w:r>
      <w:r w:rsidR="003B001E" w:rsidRPr="00481264">
        <w:rPr>
          <w:rFonts w:ascii="Times New Roman" w:hAnsi="Times New Roman" w:cs="Times New Roman"/>
          <w:color w:val="000000" w:themeColor="text1"/>
          <w:sz w:val="22"/>
          <w:szCs w:val="22"/>
        </w:rPr>
        <w:t xml:space="preserve"> Moov Estação Brás, </w:t>
      </w:r>
      <w:r w:rsidR="003B001E" w:rsidRPr="00481264">
        <w:rPr>
          <w:rFonts w:ascii="Times New Roman" w:hAnsi="Times New Roman" w:cs="Times New Roman"/>
          <w:bCs/>
          <w:color w:val="000000" w:themeColor="text1"/>
          <w:sz w:val="22"/>
          <w:szCs w:val="22"/>
        </w:rPr>
        <w:t>Moov Belém e Parque Ecoville – Torre Passaúna</w:t>
      </w:r>
      <w:r w:rsidR="00D56AE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u w:val="single"/>
        </w:rPr>
        <w:t>Baixa das Hipotecas</w:t>
      </w:r>
      <w:r w:rsidR="003B001E" w:rsidRPr="00481264">
        <w:rPr>
          <w:rFonts w:ascii="Times New Roman" w:hAnsi="Times New Roman" w:cs="Times New Roman"/>
          <w:bCs/>
          <w:color w:val="000000" w:themeColor="text1"/>
          <w:sz w:val="22"/>
          <w:szCs w:val="22"/>
        </w:rPr>
        <w:t>”)</w:t>
      </w:r>
      <w:r w:rsidR="00730757" w:rsidRPr="00481264">
        <w:rPr>
          <w:rFonts w:ascii="Times New Roman" w:hAnsi="Times New Roman" w:cs="Times New Roman"/>
          <w:bCs/>
          <w:color w:val="000000" w:themeColor="text1"/>
          <w:sz w:val="22"/>
          <w:szCs w:val="22"/>
        </w:rPr>
        <w:t xml:space="preserve">; </w:t>
      </w:r>
      <w:r w:rsidR="00730757" w:rsidRPr="00481264">
        <w:rPr>
          <w:rFonts w:ascii="Times New Roman" w:hAnsi="Times New Roman" w:cs="Times New Roman"/>
          <w:b/>
          <w:color w:val="000000" w:themeColor="text1"/>
          <w:sz w:val="22"/>
          <w:szCs w:val="22"/>
        </w:rPr>
        <w:t>(iii.b)</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color w:val="000000" w:themeColor="text1"/>
          <w:sz w:val="22"/>
          <w:szCs w:val="22"/>
        </w:rPr>
        <w:t xml:space="preserve">constituição de </w:t>
      </w:r>
      <w:r w:rsidR="003B001E" w:rsidRPr="00481264">
        <w:rPr>
          <w:rFonts w:ascii="Times New Roman" w:hAnsi="Times New Roman" w:cs="Times New Roman"/>
          <w:bCs/>
          <w:color w:val="000000" w:themeColor="text1"/>
          <w:sz w:val="22"/>
          <w:szCs w:val="22"/>
        </w:rPr>
        <w:t>alienação fiduciária</w:t>
      </w:r>
      <w:r w:rsidR="003B001E" w:rsidRPr="00481264">
        <w:rPr>
          <w:rFonts w:ascii="Times New Roman" w:hAnsi="Times New Roman" w:cs="Times New Roman"/>
          <w:color w:val="000000" w:themeColor="text1"/>
          <w:sz w:val="22"/>
          <w:szCs w:val="22"/>
        </w:rPr>
        <w:t xml:space="preserve"> sobre</w:t>
      </w:r>
      <w:r w:rsidR="00132233" w:rsidRPr="00481264">
        <w:rPr>
          <w:rFonts w:ascii="Times New Roman" w:hAnsi="Times New Roman" w:cs="Times New Roman"/>
          <w:color w:val="000000" w:themeColor="text1"/>
          <w:sz w:val="22"/>
          <w:szCs w:val="22"/>
        </w:rPr>
        <w:t xml:space="preserve"> </w:t>
      </w:r>
      <w:commentRangeStart w:id="7"/>
      <w:r w:rsidR="00132233" w:rsidRPr="00481264">
        <w:rPr>
          <w:rFonts w:ascii="Times New Roman" w:hAnsi="Times New Roman" w:cs="Times New Roman"/>
          <w:color w:val="000000" w:themeColor="text1"/>
          <w:sz w:val="22"/>
          <w:szCs w:val="22"/>
        </w:rPr>
        <w:t>todas</w:t>
      </w:r>
      <w:commentRangeEnd w:id="7"/>
      <w:r w:rsidR="009B0959">
        <w:rPr>
          <w:rStyle w:val="Refdecomentrio"/>
          <w:rFonts w:ascii="Times New Roman" w:hAnsi="Times New Roman" w:cs="Times New Roman"/>
          <w:color w:val="auto"/>
          <w:lang w:eastAsia="x-none"/>
        </w:rPr>
        <w:commentReference w:id="7"/>
      </w:r>
      <w:r w:rsidR="00132233" w:rsidRPr="00481264">
        <w:rPr>
          <w:rFonts w:ascii="Times New Roman" w:hAnsi="Times New Roman" w:cs="Times New Roman"/>
          <w:color w:val="000000" w:themeColor="text1"/>
          <w:sz w:val="22"/>
          <w:szCs w:val="22"/>
        </w:rPr>
        <w:t xml:space="preserve"> as</w:t>
      </w:r>
      <w:r w:rsidR="003B001E" w:rsidRPr="00481264">
        <w:rPr>
          <w:rFonts w:ascii="Times New Roman" w:hAnsi="Times New Roman" w:cs="Times New Roman"/>
          <w:color w:val="000000" w:themeColor="text1"/>
          <w:sz w:val="22"/>
          <w:szCs w:val="22"/>
        </w:rPr>
        <w:t xml:space="preserve"> unidades</w:t>
      </w:r>
      <w:r w:rsidR="003B001E" w:rsidRPr="00EF0CB9">
        <w:rPr>
          <w:rFonts w:ascii="Times New Roman" w:hAnsi="Times New Roman" w:cs="Times New Roman"/>
          <w:color w:val="000000" w:themeColor="text1"/>
          <w:sz w:val="22"/>
          <w:szCs w:val="22"/>
        </w:rPr>
        <w:t xml:space="preserve"> autônomas prontas e acabadas dos referidos </w:t>
      </w:r>
      <w:r w:rsidR="003B001E" w:rsidRPr="00EF0CB9">
        <w:rPr>
          <w:rFonts w:ascii="Times New Roman" w:hAnsi="Times New Roman" w:cs="Times New Roman"/>
          <w:bCs/>
          <w:color w:val="000000" w:themeColor="text1"/>
          <w:sz w:val="22"/>
          <w:szCs w:val="22"/>
        </w:rPr>
        <w:t>empreendimentos</w:t>
      </w:r>
      <w:r w:rsidR="003B001E" w:rsidRPr="00EF0CB9">
        <w:rPr>
          <w:rFonts w:ascii="Times New Roman" w:hAnsi="Times New Roman" w:cs="Times New Roman"/>
          <w:color w:val="000000" w:themeColor="text1"/>
          <w:sz w:val="22"/>
          <w:szCs w:val="22"/>
        </w:rPr>
        <w:t xml:space="preserve">, de propriedade da </w:t>
      </w:r>
      <w:r w:rsidRPr="00EF0CB9">
        <w:rPr>
          <w:rFonts w:ascii="Times New Roman" w:hAnsi="Times New Roman" w:cs="Times New Roman"/>
          <w:color w:val="000000" w:themeColor="text1"/>
          <w:sz w:val="22"/>
          <w:szCs w:val="22"/>
        </w:rPr>
        <w:t>Gafisa S.A. (CNPJ/ME sob o nº 01.545.826/0001-07) (“</w:t>
      </w:r>
      <w:r w:rsidRPr="00EF0CB9">
        <w:rPr>
          <w:rFonts w:ascii="Times New Roman" w:hAnsi="Times New Roman" w:cs="Times New Roman"/>
          <w:color w:val="000000" w:themeColor="text1"/>
          <w:sz w:val="22"/>
          <w:szCs w:val="22"/>
          <w:u w:val="single"/>
        </w:rPr>
        <w:t>Fiadora</w:t>
      </w:r>
      <w:r w:rsidRPr="00EF0CB9">
        <w:rPr>
          <w:rFonts w:ascii="Times New Roman" w:hAnsi="Times New Roman" w:cs="Times New Roman"/>
          <w:color w:val="000000" w:themeColor="text1"/>
          <w:sz w:val="22"/>
          <w:szCs w:val="22"/>
        </w:rPr>
        <w:t>”</w:t>
      </w:r>
      <w:r w:rsidR="00132233">
        <w:rPr>
          <w:rFonts w:ascii="Times New Roman" w:hAnsi="Times New Roman" w:cs="Times New Roman"/>
          <w:color w:val="000000" w:themeColor="text1"/>
          <w:sz w:val="22"/>
          <w:szCs w:val="22"/>
        </w:rPr>
        <w:t>)</w:t>
      </w:r>
      <w:r w:rsidR="00132233">
        <w:rPr>
          <w:rFonts w:ascii="Times New Roman" w:hAnsi="Times New Roman"/>
          <w:sz w:val="22"/>
        </w:rPr>
        <w:t xml:space="preserve">, as quais encontram-se descritas no </w:t>
      </w:r>
      <w:r w:rsidR="00132233" w:rsidRPr="00983396">
        <w:rPr>
          <w:rFonts w:ascii="Times New Roman" w:hAnsi="Times New Roman"/>
          <w:b/>
          <w:bCs/>
          <w:sz w:val="22"/>
        </w:rPr>
        <w:t xml:space="preserve">Anexo </w:t>
      </w:r>
      <w:r w:rsidR="00132233">
        <w:rPr>
          <w:rFonts w:ascii="Times New Roman" w:hAnsi="Times New Roman"/>
          <w:b/>
          <w:bCs/>
          <w:sz w:val="22"/>
        </w:rPr>
        <w:t>I</w:t>
      </w:r>
      <w:r w:rsidR="00481264">
        <w:rPr>
          <w:rFonts w:ascii="Times New Roman" w:hAnsi="Times New Roman"/>
          <w:b/>
          <w:bCs/>
          <w:sz w:val="22"/>
        </w:rPr>
        <w:t>I</w:t>
      </w:r>
      <w:r w:rsidR="00132233">
        <w:rPr>
          <w:rFonts w:ascii="Times New Roman" w:hAnsi="Times New Roman"/>
          <w:b/>
          <w:bCs/>
          <w:sz w:val="22"/>
        </w:rPr>
        <w:t>I</w:t>
      </w:r>
      <w:r w:rsidR="00132233">
        <w:rPr>
          <w:rFonts w:ascii="Times New Roman" w:hAnsi="Times New Roman"/>
          <w:sz w:val="22"/>
        </w:rPr>
        <w:t xml:space="preserve"> à esta ata</w:t>
      </w:r>
      <w:r w:rsidR="003B001E" w:rsidRPr="00EF0CB9">
        <w:rPr>
          <w:rFonts w:ascii="Times New Roman" w:hAnsi="Times New Roman" w:cs="Times New Roman"/>
          <w:bCs/>
          <w:color w:val="000000" w:themeColor="text1"/>
          <w:sz w:val="22"/>
          <w:szCs w:val="22"/>
        </w:rPr>
        <w:t xml:space="preserve"> </w:t>
      </w:r>
      <w:r w:rsidR="00132233">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u w:val="single"/>
        </w:rPr>
        <w:t>Alienação Fiduciária de Imóveis</w:t>
      </w:r>
      <w:r w:rsidR="003B001E" w:rsidRPr="00EF0CB9">
        <w:rPr>
          <w:rFonts w:ascii="Times New Roman" w:hAnsi="Times New Roman" w:cs="Times New Roman"/>
          <w:bCs/>
          <w:color w:val="000000" w:themeColor="text1"/>
          <w:sz w:val="22"/>
          <w:szCs w:val="22"/>
        </w:rPr>
        <w:t xml:space="preserve">”); </w:t>
      </w:r>
    </w:p>
    <w:p w14:paraId="08188064" w14:textId="77777777" w:rsidR="0057278C" w:rsidRPr="00EF0CB9" w:rsidRDefault="0057278C" w:rsidP="0057278C">
      <w:pPr>
        <w:pStyle w:val="Default"/>
        <w:spacing w:line="320" w:lineRule="exact"/>
        <w:jc w:val="both"/>
        <w:rPr>
          <w:rFonts w:ascii="Times New Roman" w:hAnsi="Times New Roman" w:cs="Times New Roman"/>
          <w:color w:val="000000" w:themeColor="text1"/>
          <w:sz w:val="22"/>
          <w:szCs w:val="22"/>
          <w:highlight w:val="cyan"/>
        </w:rPr>
      </w:pPr>
    </w:p>
    <w:p w14:paraId="08188065" w14:textId="77777777" w:rsidR="0057278C" w:rsidRPr="00481264" w:rsidRDefault="0000000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Anuência prévia para a</w:t>
      </w:r>
      <w:r w:rsidR="003B001E" w:rsidRPr="00EF0CB9">
        <w:rPr>
          <w:rFonts w:ascii="Times New Roman" w:hAnsi="Times New Roman" w:cs="Times New Roman"/>
          <w:bCs/>
          <w:color w:val="000000" w:themeColor="text1"/>
          <w:sz w:val="22"/>
          <w:szCs w:val="22"/>
        </w:rPr>
        <w:t xml:space="preserve"> celebração entre a </w:t>
      </w:r>
      <w:r w:rsidRPr="00EF0CB9">
        <w:rPr>
          <w:rFonts w:ascii="Times New Roman" w:hAnsi="Times New Roman" w:cs="Times New Roman"/>
          <w:bCs/>
          <w:color w:val="000000" w:themeColor="text1"/>
          <w:sz w:val="22"/>
          <w:szCs w:val="22"/>
        </w:rPr>
        <w:t xml:space="preserve">Novum Directiones Investimentos e Participações em Empreendimentos </w:t>
      </w:r>
      <w:r w:rsidRPr="00481264">
        <w:rPr>
          <w:rFonts w:ascii="Times New Roman" w:hAnsi="Times New Roman" w:cs="Times New Roman"/>
          <w:bCs/>
          <w:color w:val="000000" w:themeColor="text1"/>
          <w:sz w:val="22"/>
          <w:szCs w:val="22"/>
        </w:rPr>
        <w:t>Imobiliários S.A. (CNPJ/ME sob o n° 34.861.820/0001-90) (“</w:t>
      </w:r>
      <w:r w:rsidRPr="00481264">
        <w:rPr>
          <w:rFonts w:ascii="Times New Roman" w:hAnsi="Times New Roman" w:cs="Times New Roman"/>
          <w:bCs/>
          <w:color w:val="000000" w:themeColor="text1"/>
          <w:sz w:val="22"/>
          <w:szCs w:val="22"/>
          <w:u w:val="single"/>
        </w:rPr>
        <w:t>Novum</w:t>
      </w:r>
      <w:r w:rsidRPr="00481264">
        <w:rPr>
          <w:rFonts w:ascii="Times New Roman" w:hAnsi="Times New Roman" w:cs="Times New Roman"/>
          <w:bCs/>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D56AE7" w:rsidRPr="00481264">
        <w:rPr>
          <w:rFonts w:ascii="Times New Roman" w:hAnsi="Times New Roman" w:cs="Times New Roman"/>
          <w:color w:val="000000" w:themeColor="text1"/>
          <w:sz w:val="22"/>
          <w:szCs w:val="22"/>
        </w:rPr>
        <w:t>Fiadora</w:t>
      </w:r>
      <w:r w:rsidR="003B001E"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a </w:t>
      </w:r>
      <w:r w:rsidRPr="00481264">
        <w:rPr>
          <w:rFonts w:ascii="Times New Roman" w:hAnsi="Times New Roman" w:cs="Times New Roman"/>
          <w:bCs/>
          <w:color w:val="000000" w:themeColor="text1"/>
          <w:sz w:val="22"/>
          <w:szCs w:val="22"/>
        </w:rPr>
        <w:t>Emissora</w:t>
      </w:r>
      <w:r w:rsidR="003B001E" w:rsidRPr="00481264">
        <w:rPr>
          <w:rFonts w:ascii="Times New Roman" w:hAnsi="Times New Roman" w:cs="Times New Roman"/>
          <w:bCs/>
          <w:color w:val="000000" w:themeColor="text1"/>
          <w:sz w:val="22"/>
          <w:szCs w:val="22"/>
        </w:rPr>
        <w:t>, as Desenvolvedoras</w:t>
      </w:r>
      <w:r w:rsidRPr="00481264">
        <w:rPr>
          <w:rFonts w:ascii="Times New Roman" w:hAnsi="Times New Roman" w:cs="Times New Roman"/>
          <w:bCs/>
          <w:color w:val="000000" w:themeColor="text1"/>
          <w:sz w:val="22"/>
          <w:szCs w:val="22"/>
        </w:rPr>
        <w:t xml:space="preserve"> (conforme abaixo definidas)</w:t>
      </w:r>
      <w:r w:rsidR="003B001E" w:rsidRPr="00481264">
        <w:rPr>
          <w:rFonts w:ascii="Times New Roman" w:hAnsi="Times New Roman" w:cs="Times New Roman"/>
          <w:color w:val="000000" w:themeColor="text1"/>
          <w:sz w:val="22"/>
          <w:szCs w:val="22"/>
        </w:rPr>
        <w:t xml:space="preserve"> e o Agente Fiduciário</w:t>
      </w:r>
      <w:r w:rsidR="003B001E" w:rsidRPr="00481264">
        <w:rPr>
          <w:rFonts w:ascii="Times New Roman" w:hAnsi="Times New Roman" w:cs="Times New Roman"/>
          <w:bCs/>
          <w:color w:val="000000" w:themeColor="text1"/>
          <w:sz w:val="22"/>
          <w:szCs w:val="22"/>
        </w:rPr>
        <w:t>, de Contratos de Alienação Fiduciária de Imóveis</w:t>
      </w:r>
      <w:r w:rsidR="00B43AA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 xml:space="preserve">; e </w:t>
      </w:r>
    </w:p>
    <w:p w14:paraId="08188066" w14:textId="77777777" w:rsidR="0057278C" w:rsidRPr="00EF0CB9" w:rsidRDefault="0057278C" w:rsidP="0057278C">
      <w:pPr>
        <w:pStyle w:val="PargrafodaLista"/>
        <w:rPr>
          <w:b/>
          <w:color w:val="000000" w:themeColor="text1"/>
          <w:sz w:val="22"/>
          <w:szCs w:val="22"/>
          <w:highlight w:val="cyan"/>
        </w:rPr>
      </w:pPr>
    </w:p>
    <w:p w14:paraId="08188067" w14:textId="77777777" w:rsidR="00E55920" w:rsidRPr="00481264" w:rsidRDefault="0000000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3B001E" w:rsidRPr="00EF0CB9">
        <w:rPr>
          <w:rFonts w:ascii="Times New Roman" w:hAnsi="Times New Roman" w:cs="Times New Roman"/>
          <w:bCs/>
          <w:color w:val="000000" w:themeColor="text1"/>
          <w:sz w:val="22"/>
          <w:szCs w:val="22"/>
        </w:rPr>
        <w:t xml:space="preserve">utorização à </w:t>
      </w:r>
      <w:r w:rsidR="001E00E0" w:rsidRPr="00EF0CB9">
        <w:rPr>
          <w:rFonts w:ascii="Times New Roman" w:hAnsi="Times New Roman" w:cs="Times New Roman"/>
          <w:bCs/>
          <w:color w:val="000000" w:themeColor="text1"/>
          <w:sz w:val="22"/>
          <w:szCs w:val="22"/>
        </w:rPr>
        <w:t>Emissora</w:t>
      </w:r>
      <w:r w:rsidR="003B001E" w:rsidRPr="00EF0CB9">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Pr="00EF0CB9">
        <w:rPr>
          <w:rFonts w:ascii="Times New Roman" w:hAnsi="Times New Roman" w:cs="Times New Roman"/>
          <w:bCs/>
          <w:color w:val="000000" w:themeColor="text1"/>
          <w:sz w:val="22"/>
          <w:szCs w:val="22"/>
        </w:rPr>
        <w:t xml:space="preserve">5.1 e 5.2 </w:t>
      </w:r>
      <w:r w:rsidR="003B001E" w:rsidRPr="00EF0CB9">
        <w:rPr>
          <w:rFonts w:ascii="Times New Roman" w:hAnsi="Times New Roman" w:cs="Times New Roman"/>
          <w:bCs/>
          <w:color w:val="000000" w:themeColor="text1"/>
          <w:sz w:val="22"/>
          <w:szCs w:val="22"/>
        </w:rPr>
        <w:t>acima, incluindo, mas não se limitando à</w:t>
      </w:r>
      <w:r w:rsidRPr="00EF0CB9">
        <w:rPr>
          <w:rFonts w:ascii="Times New Roman" w:hAnsi="Times New Roman" w:cs="Times New Roman"/>
          <w:bCs/>
          <w:color w:val="000000" w:themeColor="text1"/>
          <w:sz w:val="22"/>
          <w:szCs w:val="22"/>
        </w:rPr>
        <w:t xml:space="preserve"> celebração:</w:t>
      </w:r>
      <w:r w:rsidR="00A23681" w:rsidRPr="00EF0CB9">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(i)</w:t>
      </w:r>
      <w:r w:rsidR="00A23681" w:rsidRPr="00EF0CB9">
        <w:rPr>
          <w:rFonts w:ascii="Times New Roman" w:hAnsi="Times New Roman" w:cs="Times New Roman"/>
          <w:bCs/>
          <w:color w:val="000000" w:themeColor="text1"/>
          <w:sz w:val="22"/>
          <w:szCs w:val="22"/>
        </w:rPr>
        <w:t xml:space="preserve"> do Aditamento à Escritura de Emissão (conforme abaixo definido); </w:t>
      </w:r>
      <w:r w:rsidR="00A23681" w:rsidRPr="007B2EF8">
        <w:rPr>
          <w:rFonts w:ascii="Times New Roman" w:hAnsi="Times New Roman" w:cs="Times New Roman"/>
          <w:b/>
          <w:color w:val="000000" w:themeColor="text1"/>
          <w:sz w:val="22"/>
          <w:szCs w:val="22"/>
        </w:rPr>
        <w:t>(ii)</w:t>
      </w:r>
      <w:r w:rsidR="00A23681" w:rsidRPr="00EF0CB9">
        <w:rPr>
          <w:rFonts w:ascii="Times New Roman" w:hAnsi="Times New Roman" w:cs="Times New Roman"/>
          <w:bCs/>
          <w:color w:val="000000" w:themeColor="text1"/>
          <w:sz w:val="22"/>
          <w:szCs w:val="22"/>
        </w:rPr>
        <w:t xml:space="preserve"> do Aditamento ao Termo de Securitização (conforme abaixo definido); </w:t>
      </w:r>
      <w:r w:rsidR="00A23681" w:rsidRPr="007B2EF8">
        <w:rPr>
          <w:rFonts w:ascii="Times New Roman" w:hAnsi="Times New Roman" w:cs="Times New Roman"/>
          <w:b/>
          <w:color w:val="000000" w:themeColor="text1"/>
          <w:sz w:val="22"/>
          <w:szCs w:val="22"/>
        </w:rPr>
        <w:t>(iii)</w:t>
      </w:r>
      <w:r w:rsidR="00A23681" w:rsidRPr="00EF0CB9">
        <w:rPr>
          <w:rFonts w:ascii="Times New Roman" w:hAnsi="Times New Roman" w:cs="Times New Roman"/>
          <w:bCs/>
          <w:color w:val="000000" w:themeColor="text1"/>
          <w:sz w:val="22"/>
          <w:szCs w:val="22"/>
        </w:rPr>
        <w:t xml:space="preserve"> do Aditamento ao Instrumento de Emissão de CCI (conforme abaixo definido); </w:t>
      </w:r>
      <w:r w:rsidR="00A23681" w:rsidRPr="007B2EF8">
        <w:rPr>
          <w:rFonts w:ascii="Times New Roman" w:hAnsi="Times New Roman" w:cs="Times New Roman"/>
          <w:b/>
          <w:color w:val="000000" w:themeColor="text1"/>
          <w:sz w:val="22"/>
          <w:szCs w:val="22"/>
        </w:rPr>
        <w:t>(iv)</w:t>
      </w:r>
      <w:r w:rsidR="00A23681" w:rsidRPr="00EF0CB9">
        <w:rPr>
          <w:rFonts w:ascii="Times New Roman" w:hAnsi="Times New Roman" w:cs="Times New Roman"/>
          <w:bCs/>
          <w:color w:val="000000" w:themeColor="text1"/>
          <w:sz w:val="22"/>
          <w:szCs w:val="22"/>
        </w:rPr>
        <w:t xml:space="preserve"> dos Termos de Liberação de Hipotecas (conforme abaixo </w:t>
      </w:r>
      <w:r w:rsidR="00A23681" w:rsidRPr="00481264">
        <w:rPr>
          <w:rFonts w:ascii="Times New Roman" w:hAnsi="Times New Roman" w:cs="Times New Roman"/>
          <w:bCs/>
          <w:color w:val="000000" w:themeColor="text1"/>
          <w:sz w:val="22"/>
          <w:szCs w:val="22"/>
        </w:rPr>
        <w:t xml:space="preserve">definidos); </w:t>
      </w:r>
      <w:r w:rsidR="00481264" w:rsidRPr="00481264">
        <w:rPr>
          <w:rFonts w:ascii="Times New Roman" w:hAnsi="Times New Roman" w:cs="Times New Roman"/>
          <w:bCs/>
          <w:color w:val="000000" w:themeColor="text1"/>
          <w:sz w:val="22"/>
          <w:szCs w:val="22"/>
        </w:rPr>
        <w:t xml:space="preserve">e </w:t>
      </w:r>
      <w:r w:rsidR="00A23681" w:rsidRPr="007B2EF8">
        <w:rPr>
          <w:rFonts w:ascii="Times New Roman" w:hAnsi="Times New Roman" w:cs="Times New Roman"/>
          <w:b/>
          <w:color w:val="000000" w:themeColor="text1"/>
          <w:sz w:val="22"/>
          <w:szCs w:val="22"/>
        </w:rPr>
        <w:t>(v)</w:t>
      </w:r>
      <w:r w:rsidR="00A23681" w:rsidRPr="00481264">
        <w:rPr>
          <w:rFonts w:ascii="Times New Roman" w:hAnsi="Times New Roman" w:cs="Times New Roman"/>
          <w:bCs/>
          <w:color w:val="000000" w:themeColor="text1"/>
          <w:sz w:val="22"/>
          <w:szCs w:val="22"/>
        </w:rPr>
        <w:t xml:space="preserve"> dos </w:t>
      </w:r>
      <w:r w:rsidR="00841F7E" w:rsidRPr="00481264">
        <w:rPr>
          <w:rFonts w:ascii="Times New Roman" w:hAnsi="Times New Roman" w:cs="Times New Roman"/>
          <w:bCs/>
          <w:color w:val="000000" w:themeColor="text1"/>
          <w:sz w:val="22"/>
          <w:szCs w:val="22"/>
        </w:rPr>
        <w:t>Contratos de Alienação Fiduciária de Imóveis</w:t>
      </w:r>
      <w:r w:rsidR="00A23681"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(vi)</w:t>
      </w:r>
      <w:r w:rsidR="00A23681" w:rsidRPr="00481264">
        <w:rPr>
          <w:rFonts w:ascii="Times New Roman" w:hAnsi="Times New Roman" w:cs="Times New Roman"/>
          <w:bCs/>
          <w:color w:val="000000" w:themeColor="text1"/>
          <w:sz w:val="22"/>
          <w:szCs w:val="22"/>
        </w:rPr>
        <w:t xml:space="preserve"> dos Aditamentos aos Contratos de Garantias (conforme abaixo definidos)</w:t>
      </w:r>
      <w:r w:rsidR="00A26615" w:rsidRPr="00481264">
        <w:rPr>
          <w:rFonts w:ascii="Times New Roman" w:hAnsi="Times New Roman" w:cs="Times New Roman"/>
          <w:bCs/>
          <w:color w:val="000000" w:themeColor="text1"/>
          <w:sz w:val="22"/>
          <w:szCs w:val="22"/>
        </w:rPr>
        <w:t>.</w:t>
      </w:r>
    </w:p>
    <w:bookmarkEnd w:id="5"/>
    <w:bookmarkEnd w:id="6"/>
    <w:p w14:paraId="08188068" w14:textId="77777777" w:rsidR="00E55920" w:rsidRPr="008264D0" w:rsidRDefault="00E55920" w:rsidP="00E55920">
      <w:pPr>
        <w:pStyle w:val="PargrafodaLista"/>
        <w:rPr>
          <w:bCs/>
          <w:color w:val="000000" w:themeColor="text1"/>
          <w:sz w:val="22"/>
          <w:szCs w:val="22"/>
        </w:rPr>
      </w:pPr>
    </w:p>
    <w:p w14:paraId="08188069" w14:textId="77777777" w:rsidR="00103456" w:rsidRPr="008264D0" w:rsidRDefault="00000000"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DELIBERAÇÕES</w:t>
      </w:r>
      <w:r w:rsidRPr="008264D0">
        <w:rPr>
          <w:rFonts w:ascii="Times New Roman" w:hAnsi="Times New Roman" w:cs="Times New Roman"/>
          <w:color w:val="000000" w:themeColor="text1"/>
          <w:sz w:val="22"/>
          <w:szCs w:val="22"/>
        </w:rPr>
        <w:t xml:space="preserve">: </w:t>
      </w:r>
      <w:r w:rsidR="005049D2" w:rsidRPr="008264D0">
        <w:rPr>
          <w:rFonts w:ascii="Times New Roman" w:hAnsi="Times New Roman" w:cs="Times New Roman"/>
          <w:color w:val="000000" w:themeColor="text1"/>
          <w:sz w:val="22"/>
          <w:szCs w:val="22"/>
        </w:rPr>
        <w:t>colocadas em discussão as matérias objeto da Ordem do Dia</w:t>
      </w:r>
      <w:r w:rsidRPr="008264D0">
        <w:rPr>
          <w:rFonts w:ascii="Times New Roman" w:hAnsi="Times New Roman" w:cs="Times New Roman"/>
          <w:color w:val="000000" w:themeColor="text1"/>
          <w:sz w:val="22"/>
          <w:szCs w:val="22"/>
        </w:rPr>
        <w:t>:</w:t>
      </w:r>
    </w:p>
    <w:p w14:paraId="0818806A" w14:textId="77777777" w:rsidR="00103456" w:rsidRPr="008264D0" w:rsidRDefault="00000000" w:rsidP="003B001E">
      <w:pPr>
        <w:pStyle w:val="Corpodetexto"/>
        <w:spacing w:line="320" w:lineRule="exact"/>
        <w:rPr>
          <w:color w:val="000000" w:themeColor="text1"/>
          <w:sz w:val="22"/>
          <w:szCs w:val="22"/>
        </w:rPr>
      </w:pPr>
      <w:r w:rsidRPr="008264D0">
        <w:rPr>
          <w:b/>
          <w:bCs/>
          <w:color w:val="000000" w:themeColor="text1"/>
          <w:sz w:val="22"/>
          <w:szCs w:val="22"/>
        </w:rPr>
        <w:t xml:space="preserve"> </w:t>
      </w:r>
    </w:p>
    <w:p w14:paraId="0818806B" w14:textId="77777777" w:rsidR="00153385" w:rsidRPr="00EF0CB9" w:rsidRDefault="0000000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lastRenderedPageBreak/>
        <w:t>Os</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Titulares de CR</w:t>
      </w:r>
      <w:r w:rsidR="00A12D55" w:rsidRPr="00EF0CB9">
        <w:rPr>
          <w:rFonts w:ascii="Times New Roman" w:hAnsi="Times New Roman" w:cs="Times New Roman"/>
          <w:color w:val="000000" w:themeColor="text1"/>
          <w:sz w:val="22"/>
          <w:szCs w:val="22"/>
        </w:rPr>
        <w:t>I</w:t>
      </w:r>
      <w:r w:rsidR="00CF5370"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representando </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por cento)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 xml:space="preserve">, tendo sido registrados </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correspondente a </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34FD5A25"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votos contra representando </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34FD5A25" w:rsidRPr="00EF0CB9">
        <w:rPr>
          <w:rFonts w:ascii="Times New Roman" w:hAnsi="Times New Roman" w:cs="Times New Roman"/>
          <w:color w:val="000000" w:themeColor="text1"/>
          <w:sz w:val="22"/>
          <w:szCs w:val="22"/>
        </w:rPr>
        <w:t>e nenhuma abstenção</w:t>
      </w:r>
      <w:r w:rsidR="006C1F44" w:rsidRPr="00EF0CB9">
        <w:rPr>
          <w:rFonts w:ascii="Times New Roman" w:hAnsi="Times New Roman" w:cs="Times New Roman"/>
          <w:color w:val="000000" w:themeColor="text1"/>
          <w:sz w:val="22"/>
          <w:szCs w:val="22"/>
        </w:rPr>
        <w:t xml:space="preserve"> ao presente item</w:t>
      </w:r>
      <w:r w:rsidR="00103456" w:rsidRPr="00EF0CB9">
        <w:rPr>
          <w:rFonts w:ascii="Times New Roman" w:hAnsi="Times New Roman" w:cs="Times New Roman"/>
          <w:color w:val="000000" w:themeColor="text1"/>
          <w:sz w:val="22"/>
          <w:szCs w:val="22"/>
        </w:rPr>
        <w:t>,</w:t>
      </w:r>
      <w:r w:rsidR="006C1F44" w:rsidRPr="00EF0CB9">
        <w:rPr>
          <w:rFonts w:ascii="Times New Roman" w:hAnsi="Times New Roman" w:cs="Times New Roman"/>
          <w:color w:val="000000" w:themeColor="text1"/>
          <w:sz w:val="22"/>
          <w:szCs w:val="22"/>
        </w:rPr>
        <w:t xml:space="preserve"> aprovaram </w:t>
      </w:r>
      <w:r w:rsidR="00103456" w:rsidRPr="00EF0CB9">
        <w:rPr>
          <w:rFonts w:ascii="Times New Roman" w:hAnsi="Times New Roman" w:cs="Times New Roman"/>
          <w:color w:val="000000" w:themeColor="text1"/>
          <w:sz w:val="22"/>
          <w:szCs w:val="22"/>
        </w:rPr>
        <w:t xml:space="preserve">a </w:t>
      </w:r>
      <w:r w:rsidR="00B5426D" w:rsidRPr="00EF0CB9">
        <w:rPr>
          <w:rFonts w:ascii="Times New Roman" w:hAnsi="Times New Roman" w:cs="Times New Roman"/>
          <w:color w:val="000000" w:themeColor="text1"/>
          <w:sz w:val="22"/>
          <w:szCs w:val="22"/>
        </w:rPr>
        <w:t xml:space="preserve">anuência prévia </w:t>
      </w:r>
      <w:r w:rsidR="006A776B" w:rsidRPr="00EF0CB9">
        <w:rPr>
          <w:rFonts w:ascii="Times New Roman" w:hAnsi="Times New Roman" w:cs="Times New Roman"/>
          <w:color w:val="000000" w:themeColor="text1"/>
          <w:sz w:val="22"/>
          <w:szCs w:val="22"/>
        </w:rPr>
        <w:t>para</w:t>
      </w:r>
      <w:r w:rsidRPr="00EF0CB9">
        <w:rPr>
          <w:rFonts w:ascii="Times New Roman" w:hAnsi="Times New Roman" w:cs="Times New Roman"/>
          <w:color w:val="000000" w:themeColor="text1"/>
          <w:sz w:val="22"/>
          <w:szCs w:val="22"/>
        </w:rPr>
        <w:t>:</w:t>
      </w:r>
    </w:p>
    <w:p w14:paraId="0818806C" w14:textId="77777777"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0818806D" w14:textId="77777777" w:rsidR="00CB5CD3" w:rsidRPr="00EF0CB9" w:rsidRDefault="00000000" w:rsidP="0071626E">
      <w:pPr>
        <w:pStyle w:val="Default"/>
        <w:numPr>
          <w:ilvl w:val="0"/>
          <w:numId w:val="8"/>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 xml:space="preserve">a alteração na mecânica da Amortização Extraordinária Obrigatória </w:t>
      </w:r>
      <w:r w:rsidR="00270377" w:rsidRPr="00EF0CB9">
        <w:rPr>
          <w:rFonts w:ascii="Times New Roman" w:hAnsi="Times New Roman" w:cs="Times New Roman"/>
          <w:bCs/>
          <w:color w:val="000000" w:themeColor="text1"/>
          <w:sz w:val="22"/>
          <w:szCs w:val="22"/>
        </w:rPr>
        <w:t>atualmente prevista</w:t>
      </w:r>
      <w:r w:rsidRPr="00EF0CB9">
        <w:rPr>
          <w:rFonts w:ascii="Times New Roman" w:hAnsi="Times New Roman" w:cs="Times New Roman"/>
          <w:bCs/>
          <w:color w:val="000000" w:themeColor="text1"/>
          <w:sz w:val="22"/>
          <w:szCs w:val="22"/>
        </w:rPr>
        <w:t xml:space="preserve"> na Cláusula 7.12 da Escritura de Emissão e na Cláusula 6.5 do Termo de Securitização, para </w:t>
      </w:r>
      <w:r w:rsidR="00D56AE7" w:rsidRPr="00EF0CB9">
        <w:rPr>
          <w:rFonts w:ascii="Times New Roman" w:hAnsi="Times New Roman" w:cs="Times New Roman"/>
          <w:bCs/>
          <w:color w:val="000000" w:themeColor="text1"/>
          <w:sz w:val="22"/>
          <w:szCs w:val="22"/>
        </w:rPr>
        <w:t>prever</w:t>
      </w:r>
      <w:r w:rsidRPr="00EF0CB9">
        <w:rPr>
          <w:rFonts w:ascii="Times New Roman" w:hAnsi="Times New Roman" w:cs="Times New Roman"/>
          <w:bCs/>
          <w:color w:val="000000" w:themeColor="text1"/>
          <w:sz w:val="22"/>
          <w:szCs w:val="22"/>
        </w:rPr>
        <w:t xml:space="preserve"> que, </w:t>
      </w:r>
      <w:r w:rsidRPr="00EF0CB9">
        <w:rPr>
          <w:rFonts w:ascii="Times New Roman" w:hAnsi="Times New Roman" w:cs="Times New Roman"/>
          <w:b/>
          <w:color w:val="000000" w:themeColor="text1"/>
          <w:sz w:val="22"/>
          <w:szCs w:val="22"/>
        </w:rPr>
        <w:t>(i.a)</w:t>
      </w:r>
      <w:r w:rsidR="00CC35F8" w:rsidRPr="00EF0CB9">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pela Novum ou pela Fiadora</w:t>
      </w:r>
      <w:r w:rsidR="00CC35F8" w:rsidRPr="00EF0CB9">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00AB4B67" w:rsidRPr="001461AC">
        <w:rPr>
          <w:rFonts w:ascii="Times New Roman" w:hAnsi="Times New Roman" w:cs="Times New Roman"/>
          <w:bCs/>
          <w:color w:val="000000" w:themeColor="text1"/>
          <w:sz w:val="22"/>
          <w:szCs w:val="22"/>
        </w:rPr>
        <w:t>Emissora</w:t>
      </w:r>
      <w:r w:rsidR="007B2EF8" w:rsidRPr="001461AC">
        <w:rPr>
          <w:rFonts w:ascii="Times New Roman" w:hAnsi="Times New Roman" w:cs="Times New Roman"/>
          <w:bCs/>
          <w:color w:val="000000" w:themeColor="text1"/>
          <w:sz w:val="22"/>
          <w:szCs w:val="22"/>
        </w:rPr>
        <w:t xml:space="preserve"> e</w:t>
      </w:r>
      <w:r w:rsidR="00CC35F8" w:rsidRPr="001461AC">
        <w:rPr>
          <w:rFonts w:ascii="Times New Roman" w:hAnsi="Times New Roman" w:cs="Times New Roman"/>
          <w:bCs/>
          <w:color w:val="000000" w:themeColor="text1"/>
          <w:sz w:val="22"/>
          <w:szCs w:val="22"/>
        </w:rPr>
        <w:t xml:space="preserve"> ao</w:t>
      </w:r>
      <w:r w:rsidR="00CC35F8" w:rsidRPr="00EF0CB9">
        <w:rPr>
          <w:rFonts w:ascii="Times New Roman" w:hAnsi="Times New Roman" w:cs="Times New Roman"/>
          <w:bCs/>
          <w:color w:val="000000" w:themeColor="text1"/>
          <w:sz w:val="22"/>
          <w:szCs w:val="22"/>
        </w:rPr>
        <w:t xml:space="preserve"> Agente Fiduciário, da evidência dos protocolos nos competentes Cartórios de Registro de Imóveis de cada Contrato de Alienação Fiduciária de Imóveis, bem como de cada </w:t>
      </w:r>
      <w:r w:rsidR="00AB4B67">
        <w:rPr>
          <w:rFonts w:ascii="Times New Roman" w:hAnsi="Times New Roman" w:cs="Times New Roman"/>
          <w:bCs/>
          <w:color w:val="000000" w:themeColor="text1"/>
          <w:sz w:val="22"/>
          <w:szCs w:val="22"/>
        </w:rPr>
        <w:t>“</w:t>
      </w:r>
      <w:r w:rsidR="00CC35F8" w:rsidRPr="00EF0CB9">
        <w:rPr>
          <w:rFonts w:ascii="Times New Roman" w:hAnsi="Times New Roman" w:cs="Times New Roman"/>
          <w:bCs/>
          <w:color w:val="000000" w:themeColor="text1"/>
          <w:sz w:val="22"/>
          <w:szCs w:val="22"/>
        </w:rPr>
        <w:t xml:space="preserve">Termo de </w:t>
      </w:r>
      <w:r w:rsidR="00CC35F8" w:rsidRPr="007E3C89">
        <w:rPr>
          <w:rFonts w:ascii="Times New Roman" w:hAnsi="Times New Roman" w:cs="Times New Roman"/>
          <w:bCs/>
          <w:color w:val="000000" w:themeColor="text1"/>
          <w:sz w:val="22"/>
          <w:szCs w:val="22"/>
        </w:rPr>
        <w:t xml:space="preserve">Liberação </w:t>
      </w:r>
      <w:r w:rsidR="00AB4B67">
        <w:rPr>
          <w:rFonts w:ascii="Times New Roman" w:hAnsi="Times New Roman" w:cs="Times New Roman"/>
          <w:bCs/>
          <w:color w:val="000000" w:themeColor="text1"/>
          <w:sz w:val="22"/>
          <w:szCs w:val="22"/>
        </w:rPr>
        <w:t xml:space="preserve">e Cancelamento </w:t>
      </w:r>
      <w:r w:rsidR="00CC35F8" w:rsidRPr="007E3C89">
        <w:rPr>
          <w:rFonts w:ascii="Times New Roman" w:hAnsi="Times New Roman" w:cs="Times New Roman"/>
          <w:bCs/>
          <w:color w:val="000000" w:themeColor="text1"/>
          <w:sz w:val="22"/>
          <w:szCs w:val="22"/>
        </w:rPr>
        <w:t>de Hipoteca</w:t>
      </w:r>
      <w:r w:rsidR="00AB4B67">
        <w:rPr>
          <w:rFonts w:ascii="Times New Roman" w:hAnsi="Times New Roman" w:cs="Times New Roman"/>
          <w:bCs/>
          <w:color w:val="000000" w:themeColor="text1"/>
          <w:sz w:val="22"/>
          <w:szCs w:val="22"/>
        </w:rPr>
        <w:t>”</w:t>
      </w:r>
      <w:r w:rsidR="00AB4B67" w:rsidRPr="00AB4B67">
        <w:rPr>
          <w:rFonts w:ascii="Times New Roman" w:hAnsi="Times New Roman"/>
          <w:bCs/>
          <w:i/>
          <w:iCs/>
          <w:sz w:val="22"/>
          <w:szCs w:val="22"/>
        </w:rPr>
        <w:t xml:space="preserve"> </w:t>
      </w:r>
      <w:r w:rsidR="00AB4B67" w:rsidRPr="007B2EF8">
        <w:rPr>
          <w:rFonts w:ascii="Times New Roman" w:hAnsi="Times New Roman"/>
          <w:bCs/>
          <w:sz w:val="22"/>
          <w:szCs w:val="22"/>
        </w:rPr>
        <w:t>referente às hipotecas de determinadas unidades integrantes do Moov Parque Maia, Belvedere Lorian Boulevard, Gafisa Upside Paraíso, Scena Tatuapé, Moov Estação Brás, Moov Belém e Parque Ecoville – Torre Passaúna (“</w:t>
      </w:r>
      <w:r w:rsidR="00AB4B67" w:rsidRPr="007B2EF8">
        <w:rPr>
          <w:rFonts w:ascii="Times New Roman" w:hAnsi="Times New Roman"/>
          <w:bCs/>
          <w:sz w:val="22"/>
          <w:szCs w:val="22"/>
          <w:u w:val="single"/>
        </w:rPr>
        <w:t>Apresentação Evidência Protocolos</w:t>
      </w:r>
      <w:r w:rsidR="00AB4B67" w:rsidRPr="007B2EF8">
        <w:rPr>
          <w:rFonts w:ascii="Times New Roman" w:hAnsi="Times New Roman"/>
          <w:bCs/>
          <w:sz w:val="22"/>
          <w:szCs w:val="22"/>
        </w:rPr>
        <w:t>”)</w:t>
      </w:r>
      <w:r w:rsidR="00CC35F8" w:rsidRPr="00AB4B67">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desde que </w:t>
      </w:r>
      <w:r w:rsidR="00CC35F8" w:rsidRPr="007E3C89">
        <w:rPr>
          <w:rFonts w:ascii="Times New Roman" w:hAnsi="Times New Roman" w:cs="Times New Roman"/>
          <w:b/>
          <w:color w:val="000000" w:themeColor="text1"/>
          <w:sz w:val="22"/>
          <w:szCs w:val="22"/>
        </w:rPr>
        <w:t>(i.a.1)</w:t>
      </w:r>
      <w:r w:rsidR="00CC35F8" w:rsidRPr="007E3C89">
        <w:rPr>
          <w:rFonts w:ascii="Times New Roman" w:hAnsi="Times New Roman" w:cs="Times New Roman"/>
          <w:bCs/>
          <w:color w:val="000000" w:themeColor="text1"/>
          <w:sz w:val="22"/>
          <w:szCs w:val="22"/>
        </w:rPr>
        <w:t xml:space="preserve"> não esteja em curso uma hipótese de Evento de Vencimento Antecipado</w:t>
      </w:r>
      <w:r w:rsidR="007E3C89" w:rsidRPr="007E3C89">
        <w:rPr>
          <w:rFonts w:ascii="Times New Roman" w:hAnsi="Times New Roman" w:cs="Times New Roman"/>
          <w:bCs/>
          <w:color w:val="000000" w:themeColor="text1"/>
          <w:sz w:val="22"/>
          <w:szCs w:val="22"/>
        </w:rPr>
        <w:t xml:space="preserve"> (conforme definido n</w:t>
      </w:r>
      <w:r w:rsidR="00CC35F8" w:rsidRPr="007E3C89">
        <w:rPr>
          <w:rFonts w:ascii="Times New Roman" w:hAnsi="Times New Roman" w:cs="Times New Roman"/>
          <w:bCs/>
          <w:color w:val="000000" w:themeColor="text1"/>
          <w:sz w:val="22"/>
          <w:szCs w:val="22"/>
        </w:rPr>
        <w:t>a Escritura de Emissão</w:t>
      </w:r>
      <w:r w:rsidR="007E3C89" w:rsidRPr="007E3C89">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w:t>
      </w:r>
      <w:r w:rsidR="00CC35F8" w:rsidRPr="007E3C89">
        <w:rPr>
          <w:rFonts w:ascii="Times New Roman" w:hAnsi="Times New Roman" w:cs="Times New Roman"/>
          <w:b/>
          <w:color w:val="000000" w:themeColor="text1"/>
          <w:sz w:val="22"/>
          <w:szCs w:val="22"/>
        </w:rPr>
        <w:t>(i.a.2)</w:t>
      </w:r>
      <w:r w:rsidR="00CC35F8" w:rsidRPr="007E3C89">
        <w:rPr>
          <w:rFonts w:ascii="Times New Roman" w:hAnsi="Times New Roman" w:cs="Times New Roman"/>
          <w:bCs/>
          <w:color w:val="000000" w:themeColor="text1"/>
          <w:sz w:val="22"/>
          <w:szCs w:val="22"/>
        </w:rPr>
        <w:t xml:space="preserve"> a Novum não esteja em descumprimento do Índice Mínimo de Garantias e do Novo Índice Mínimo de Garantias, o valor</w:t>
      </w:r>
      <w:r w:rsidR="00CC35F8" w:rsidRPr="00EF0CB9">
        <w:rPr>
          <w:rFonts w:ascii="Times New Roman" w:hAnsi="Times New Roman" w:cs="Times New Roman"/>
          <w:bCs/>
          <w:color w:val="000000" w:themeColor="text1"/>
          <w:sz w:val="22"/>
          <w:szCs w:val="22"/>
        </w:rPr>
        <w:t xml:space="preserve"> de geração de caixa positiva indicado como “Excedente Disponível para Amortização” no Relatório de Solicitação de Recursos (conforme definido na Escritura de Emissão) seja transferido [</w:t>
      </w:r>
      <w:r w:rsidR="00CC35F8" w:rsidRPr="007E3C89">
        <w:rPr>
          <w:rFonts w:ascii="Times New Roman" w:hAnsi="Times New Roman" w:cs="Times New Roman"/>
          <w:bCs/>
          <w:color w:val="000000" w:themeColor="text1"/>
          <w:sz w:val="22"/>
          <w:szCs w:val="22"/>
          <w:highlight w:val="yellow"/>
        </w:rPr>
        <w:t xml:space="preserve">pela </w:t>
      </w:r>
      <w:r w:rsidR="007E3C89" w:rsidRPr="007E3C89">
        <w:rPr>
          <w:rFonts w:ascii="Times New Roman" w:hAnsi="Times New Roman" w:cs="Times New Roman"/>
          <w:bCs/>
          <w:color w:val="000000" w:themeColor="text1"/>
          <w:sz w:val="22"/>
          <w:szCs w:val="22"/>
          <w:highlight w:val="yellow"/>
        </w:rPr>
        <w:t>Emissora</w:t>
      </w:r>
      <w:r w:rsidR="00CC35F8" w:rsidRPr="00EF0CB9">
        <w:rPr>
          <w:rFonts w:ascii="Times New Roman" w:hAnsi="Times New Roman" w:cs="Times New Roman"/>
          <w:bCs/>
          <w:color w:val="000000" w:themeColor="text1"/>
          <w:sz w:val="22"/>
          <w:szCs w:val="22"/>
        </w:rPr>
        <w:t>] para determinada conta de titularidade da Novum, indicada nos termos da Escritura de Emissão (“</w:t>
      </w:r>
      <w:r w:rsidR="00CC35F8" w:rsidRPr="00EF0CB9">
        <w:rPr>
          <w:rFonts w:ascii="Times New Roman" w:hAnsi="Times New Roman" w:cs="Times New Roman"/>
          <w:bCs/>
          <w:color w:val="000000" w:themeColor="text1"/>
          <w:sz w:val="22"/>
          <w:szCs w:val="22"/>
          <w:u w:val="single"/>
        </w:rPr>
        <w:t>Conta de Livre Movimentação</w:t>
      </w:r>
      <w:r w:rsidR="00CC35F8" w:rsidRPr="00EF0CB9">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00236616" w:rsidRPr="00EF0CB9">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dois</w:t>
      </w:r>
      <w:r w:rsidR="00236616"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Dias Úteis contados da data do recebimento do respectivo Relatório de Solicitação de Recursos, até que o montante total transferido para a Conta de Livre Movimentação seja equivalente a R$100.000.000,00 (cem milhões de reais) (“</w:t>
      </w:r>
      <w:r w:rsidR="00CC35F8" w:rsidRPr="00EF0CB9">
        <w:rPr>
          <w:rFonts w:ascii="Times New Roman" w:hAnsi="Times New Roman" w:cs="Times New Roman"/>
          <w:bCs/>
          <w:color w:val="000000" w:themeColor="text1"/>
          <w:sz w:val="22"/>
          <w:szCs w:val="22"/>
          <w:u w:val="single"/>
        </w:rPr>
        <w:t>Liberação para a Conta de Livre Movimentação</w:t>
      </w:r>
      <w:r w:rsidR="00CC35F8" w:rsidRPr="00EF0CB9">
        <w:rPr>
          <w:rFonts w:ascii="Times New Roman" w:hAnsi="Times New Roman" w:cs="Times New Roman"/>
          <w:bCs/>
          <w:color w:val="000000" w:themeColor="text1"/>
          <w:sz w:val="22"/>
          <w:szCs w:val="22"/>
        </w:rPr>
        <w:t xml:space="preserve">”); e </w:t>
      </w:r>
      <w:r w:rsidR="00CC35F8" w:rsidRPr="00EF0CB9">
        <w:rPr>
          <w:rFonts w:ascii="Times New Roman" w:hAnsi="Times New Roman" w:cs="Times New Roman"/>
          <w:b/>
          <w:color w:val="000000" w:themeColor="text1"/>
          <w:sz w:val="22"/>
          <w:szCs w:val="22"/>
        </w:rPr>
        <w:t>(i.b)</w:t>
      </w:r>
      <w:r w:rsidR="00CC35F8" w:rsidRPr="00EF0CB9">
        <w:rPr>
          <w:rFonts w:ascii="Times New Roman" w:hAnsi="Times New Roman" w:cs="Times New Roman"/>
          <w:bCs/>
          <w:color w:val="000000" w:themeColor="text1"/>
          <w:sz w:val="22"/>
          <w:szCs w:val="22"/>
        </w:rPr>
        <w:t xml:space="preserve"> após a conclusão da Liberação para a Conta de Livre Movimentação em montante equivalente a R$100.000.000,00 (cem milhões de reais), ou </w:t>
      </w:r>
      <w:r w:rsidR="00236616">
        <w:rPr>
          <w:rFonts w:ascii="Times New Roman" w:hAnsi="Times New Roman" w:cs="Times New Roman"/>
          <w:bCs/>
          <w:color w:val="000000" w:themeColor="text1"/>
          <w:sz w:val="22"/>
          <w:szCs w:val="22"/>
        </w:rPr>
        <w:t xml:space="preserve">(1) enquanto não ocorrer a Apresentação Evidência Protocolos, e/ou (2) </w:t>
      </w:r>
      <w:r w:rsidR="00CC35F8"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 xml:space="preserve">(conforme definido na Escritura de Emissão) </w:t>
      </w:r>
      <w:r w:rsidR="00CC35F8" w:rsidRPr="00EF0CB9">
        <w:rPr>
          <w:rFonts w:ascii="Times New Roman" w:hAnsi="Times New Roman" w:cs="Times New Roman"/>
          <w:bCs/>
          <w:color w:val="000000" w:themeColor="text1"/>
          <w:sz w:val="22"/>
          <w:szCs w:val="22"/>
        </w:rPr>
        <w:t xml:space="preserve">ou a Novum esteja em </w:t>
      </w:r>
      <w:r w:rsidR="00CC35F8" w:rsidRPr="007E3C89">
        <w:rPr>
          <w:rFonts w:ascii="Times New Roman" w:hAnsi="Times New Roman" w:cs="Times New Roman"/>
          <w:bCs/>
          <w:color w:val="000000" w:themeColor="text1"/>
          <w:sz w:val="22"/>
          <w:szCs w:val="22"/>
        </w:rPr>
        <w:t xml:space="preserve">descumprimento do Índice Mínimo de Garantias ou do Novo Índice Mínimo de Garantias, </w:t>
      </w:r>
      <w:r w:rsidR="00D56AE7" w:rsidRPr="007E3C89">
        <w:rPr>
          <w:rFonts w:ascii="Times New Roman" w:hAnsi="Times New Roman" w:cs="Times New Roman"/>
          <w:bCs/>
          <w:color w:val="000000" w:themeColor="text1"/>
          <w:sz w:val="22"/>
          <w:szCs w:val="22"/>
        </w:rPr>
        <w:t>deverá ser realizada a</w:t>
      </w:r>
      <w:r w:rsidR="00CC35F8" w:rsidRPr="007E3C89">
        <w:rPr>
          <w:rFonts w:ascii="Times New Roman" w:hAnsi="Times New Roman" w:cs="Times New Roman"/>
          <w:bCs/>
          <w:color w:val="000000" w:themeColor="text1"/>
          <w:sz w:val="22"/>
          <w:szCs w:val="22"/>
        </w:rPr>
        <w:t xml:space="preserve"> amortização extraordinária obrigatória, nos termos da Escritura de Emissão e do Termo de Securitização, </w:t>
      </w:r>
      <w:r w:rsidR="00270377" w:rsidRPr="007E3C89">
        <w:rPr>
          <w:rFonts w:ascii="Times New Roman" w:hAnsi="Times New Roman" w:cs="Times New Roman"/>
          <w:bCs/>
          <w:color w:val="000000" w:themeColor="text1"/>
          <w:sz w:val="22"/>
          <w:szCs w:val="22"/>
        </w:rPr>
        <w:t>que</w:t>
      </w:r>
      <w:r w:rsidR="00270377" w:rsidRPr="00EF0CB9">
        <w:rPr>
          <w:rFonts w:ascii="Times New Roman" w:hAnsi="Times New Roman" w:cs="Times New Roman"/>
          <w:bCs/>
          <w:color w:val="000000" w:themeColor="text1"/>
          <w:sz w:val="22"/>
          <w:szCs w:val="22"/>
        </w:rPr>
        <w:t xml:space="preserve"> passará a vigorar com a redação constante do modelo do Aditamento à Escritura de Emissão e do Aditamento ao Termo de Securitização, na forma prevista nos </w:t>
      </w:r>
      <w:r w:rsidR="00270377" w:rsidRPr="00EF0CB9">
        <w:rPr>
          <w:rFonts w:ascii="Times New Roman" w:hAnsi="Times New Roman" w:cs="Times New Roman"/>
          <w:b/>
          <w:color w:val="000000" w:themeColor="text1"/>
          <w:sz w:val="22"/>
          <w:szCs w:val="22"/>
          <w:u w:val="single"/>
        </w:rPr>
        <w:t xml:space="preserve">Anexos </w:t>
      </w:r>
      <w:r w:rsidR="00481264" w:rsidRPr="00EF0CB9">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00481264" w:rsidRPr="00EF0CB9">
        <w:rPr>
          <w:rFonts w:ascii="Times New Roman" w:hAnsi="Times New Roman" w:cs="Times New Roman"/>
          <w:b/>
          <w:color w:val="000000" w:themeColor="text1"/>
          <w:sz w:val="22"/>
          <w:szCs w:val="22"/>
          <w:u w:val="single"/>
        </w:rPr>
        <w:t xml:space="preserve"> </w:t>
      </w:r>
      <w:r w:rsidR="00270377" w:rsidRPr="00EF0CB9">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00270377" w:rsidRPr="00EF0CB9">
        <w:rPr>
          <w:rFonts w:ascii="Times New Roman" w:hAnsi="Times New Roman" w:cs="Times New Roman"/>
          <w:bCs/>
          <w:color w:val="000000" w:themeColor="text1"/>
          <w:sz w:val="22"/>
          <w:szCs w:val="22"/>
        </w:rPr>
        <w:t>, respectivamente, à presente ata.</w:t>
      </w:r>
    </w:p>
    <w:p w14:paraId="0818806E" w14:textId="77777777"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0818806F" w14:textId="77777777" w:rsidR="000D6161" w:rsidRPr="00EF0CB9" w:rsidRDefault="00000000" w:rsidP="00D046CE">
      <w:pPr>
        <w:pStyle w:val="Default"/>
        <w:numPr>
          <w:ilvl w:val="0"/>
          <w:numId w:val="8"/>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 xml:space="preserve">a </w:t>
      </w:r>
      <w:r w:rsidR="00D046CE" w:rsidRPr="00EF0CB9">
        <w:rPr>
          <w:rFonts w:ascii="Times New Roman" w:hAnsi="Times New Roman" w:cs="Times New Roman"/>
          <w:b/>
          <w:color w:val="000000" w:themeColor="text1"/>
          <w:sz w:val="22"/>
          <w:szCs w:val="22"/>
        </w:rPr>
        <w:t>(ii.a)</w:t>
      </w:r>
      <w:r w:rsidR="00D046CE"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alteração do Índice Mínimo de Garantias, </w:t>
      </w:r>
      <w:r w:rsidR="00270377" w:rsidRPr="00EF0CB9">
        <w:rPr>
          <w:rFonts w:ascii="Times New Roman" w:hAnsi="Times New Roman" w:cs="Times New Roman"/>
          <w:bCs/>
          <w:color w:val="000000" w:themeColor="text1"/>
          <w:sz w:val="22"/>
          <w:szCs w:val="22"/>
        </w:rPr>
        <w:t xml:space="preserve">atualmente previsto na Cláusula 8.2.1 </w:t>
      </w:r>
      <w:r w:rsidR="00D046CE" w:rsidRPr="00EF0CB9">
        <w:rPr>
          <w:rFonts w:ascii="Times New Roman" w:hAnsi="Times New Roman" w:cs="Times New Roman"/>
          <w:bCs/>
          <w:color w:val="000000" w:themeColor="text1"/>
          <w:sz w:val="22"/>
          <w:szCs w:val="22"/>
        </w:rPr>
        <w:t xml:space="preserve">“(xxv)” da Escritura de Emissão e 6.3 “(xxv)” do Termo de Securitização, </w:t>
      </w:r>
      <w:r w:rsidR="00236616" w:rsidRPr="00B35AA7">
        <w:rPr>
          <w:rFonts w:ascii="Times New Roman" w:hAnsi="Times New Roman" w:cs="Times New Roman"/>
          <w:bCs/>
          <w:color w:val="000000" w:themeColor="text1"/>
          <w:sz w:val="22"/>
          <w:szCs w:val="22"/>
          <w:u w:val="single"/>
        </w:rPr>
        <w:t>de</w:t>
      </w:r>
      <w:r w:rsidR="00236616" w:rsidRPr="00B35AA7">
        <w:rPr>
          <w:rFonts w:ascii="Times New Roman" w:hAnsi="Times New Roman" w:cs="Times New Roman"/>
          <w:bCs/>
          <w:color w:val="000000" w:themeColor="text1"/>
          <w:sz w:val="22"/>
          <w:szCs w:val="22"/>
        </w:rPr>
        <w:t xml:space="preserve"> 1,66 </w:t>
      </w:r>
      <w:r w:rsidR="00236616" w:rsidRPr="00B35AA7">
        <w:rPr>
          <w:rFonts w:ascii="Times New Roman" w:hAnsi="Times New Roman" w:cs="Times New Roman"/>
          <w:bCs/>
          <w:color w:val="000000" w:themeColor="text1"/>
          <w:sz w:val="22"/>
          <w:szCs w:val="22"/>
          <w:u w:val="single"/>
        </w:rPr>
        <w:t>para</w:t>
      </w:r>
      <w:r w:rsidR="00236616" w:rsidRPr="00B35AA7">
        <w:rPr>
          <w:rFonts w:ascii="Times New Roman" w:hAnsi="Times New Roman" w:cs="Times New Roman"/>
          <w:bCs/>
          <w:color w:val="000000" w:themeColor="text1"/>
          <w:sz w:val="22"/>
          <w:szCs w:val="22"/>
        </w:rPr>
        <w:t xml:space="preserve"> 2,00, </w:t>
      </w:r>
      <w:r w:rsidR="00B35AA7" w:rsidRPr="00B35AA7">
        <w:rPr>
          <w:rFonts w:ascii="Times New Roman" w:hAnsi="Times New Roman" w:cs="Times New Roman"/>
          <w:bCs/>
          <w:color w:val="000000" w:themeColor="text1"/>
          <w:sz w:val="22"/>
          <w:szCs w:val="22"/>
        </w:rPr>
        <w:t xml:space="preserve">a inclusão de prazo de cura de 22 (vinte e dois) Dias Úteis </w:t>
      </w:r>
      <w:r w:rsidR="00B35AA7" w:rsidRPr="007B2EF8">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00B35AA7" w:rsidRPr="007B2EF8">
        <w:rPr>
          <w:rFonts w:ascii="Times New Roman" w:hAnsi="Times New Roman" w:cs="Times New Roman"/>
          <w:bCs/>
          <w:color w:val="000000" w:themeColor="text1"/>
          <w:sz w:val="22"/>
          <w:szCs w:val="22"/>
        </w:rPr>
        <w:t xml:space="preserve"> sua recomposição,</w:t>
      </w:r>
      <w:r w:rsidR="00B35AA7" w:rsidRPr="00B35AA7">
        <w:rPr>
          <w:rFonts w:ascii="Times New Roman" w:hAnsi="Times New Roman" w:cs="Times New Roman"/>
          <w:bCs/>
          <w:i/>
          <w:iCs/>
          <w:color w:val="000000" w:themeColor="text1"/>
          <w:sz w:val="22"/>
          <w:szCs w:val="22"/>
        </w:rPr>
        <w:t xml:space="preserve"> </w:t>
      </w:r>
      <w:r w:rsidR="00236616">
        <w:rPr>
          <w:rFonts w:ascii="Times New Roman" w:hAnsi="Times New Roman" w:cs="Times New Roman"/>
          <w:bCs/>
          <w:color w:val="000000" w:themeColor="text1"/>
          <w:sz w:val="22"/>
          <w:szCs w:val="22"/>
        </w:rPr>
        <w:t>bem como</w:t>
      </w:r>
      <w:r w:rsidR="00D046CE" w:rsidRPr="00EF0CB9">
        <w:rPr>
          <w:rFonts w:ascii="Times New Roman" w:hAnsi="Times New Roman" w:cs="Times New Roman"/>
          <w:bCs/>
          <w:color w:val="000000" w:themeColor="text1"/>
          <w:sz w:val="22"/>
          <w:szCs w:val="22"/>
        </w:rPr>
        <w:t xml:space="preserve"> seu deslocamento para a Cláusula 9.1 da Escritura de Emissão e sua exclusão do Termo de Securitização, </w:t>
      </w:r>
      <w:r w:rsidR="00D046CE" w:rsidRPr="00EF0CB9">
        <w:rPr>
          <w:rFonts w:ascii="Times New Roman" w:hAnsi="Times New Roman" w:cs="Times New Roman"/>
          <w:color w:val="000000" w:themeColor="text1"/>
          <w:sz w:val="22"/>
          <w:szCs w:val="22"/>
        </w:rPr>
        <w:t xml:space="preserve">e </w:t>
      </w:r>
      <w:r w:rsidR="00D046CE" w:rsidRPr="00EF0CB9">
        <w:rPr>
          <w:rFonts w:ascii="Times New Roman" w:hAnsi="Times New Roman" w:cs="Times New Roman"/>
          <w:b/>
          <w:bCs/>
          <w:color w:val="000000" w:themeColor="text1"/>
          <w:sz w:val="22"/>
          <w:szCs w:val="22"/>
        </w:rPr>
        <w:t>(ii.b)</w:t>
      </w:r>
      <w:r w:rsidR="00D046CE"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Cs/>
          <w:color w:val="000000" w:themeColor="text1"/>
          <w:sz w:val="22"/>
          <w:szCs w:val="22"/>
        </w:rPr>
        <w:t>a inclusão do Novo Índice Mínimo de Garantia</w:t>
      </w:r>
      <w:r w:rsidR="00730757" w:rsidRPr="00EF0CB9">
        <w:rPr>
          <w:rFonts w:ascii="Times New Roman" w:hAnsi="Times New Roman" w:cs="Times New Roman"/>
          <w:bCs/>
          <w:color w:val="000000" w:themeColor="text1"/>
          <w:sz w:val="22"/>
          <w:szCs w:val="22"/>
        </w:rPr>
        <w:t xml:space="preserve">s </w:t>
      </w:r>
      <w:r w:rsidR="00D046CE" w:rsidRPr="00EF0CB9">
        <w:rPr>
          <w:rFonts w:ascii="Times New Roman" w:hAnsi="Times New Roman" w:cs="Times New Roman"/>
          <w:bCs/>
          <w:color w:val="000000" w:themeColor="text1"/>
          <w:sz w:val="22"/>
          <w:szCs w:val="22"/>
        </w:rPr>
        <w:t>a ser observado nos termos da</w:t>
      </w:r>
      <w:r w:rsidR="00730757" w:rsidRPr="00EF0CB9">
        <w:rPr>
          <w:rFonts w:ascii="Times New Roman" w:hAnsi="Times New Roman" w:cs="Times New Roman"/>
          <w:bCs/>
          <w:color w:val="000000" w:themeColor="text1"/>
          <w:sz w:val="22"/>
          <w:szCs w:val="22"/>
        </w:rPr>
        <w:t xml:space="preserve"> Escritura de Emissão</w:t>
      </w:r>
      <w:r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 xml:space="preserve">que passarão a </w:t>
      </w:r>
      <w:r w:rsidR="00D56AE7" w:rsidRPr="00EF0CB9">
        <w:rPr>
          <w:rFonts w:ascii="Times New Roman" w:hAnsi="Times New Roman" w:cs="Times New Roman"/>
          <w:bCs/>
          <w:color w:val="000000" w:themeColor="text1"/>
          <w:sz w:val="22"/>
          <w:szCs w:val="22"/>
        </w:rPr>
        <w:lastRenderedPageBreak/>
        <w:t xml:space="preserve">vigorar com a redação constante do modelo do Aditamento à Escritura de Emissão, na forma prevista no </w:t>
      </w:r>
      <w:r w:rsidR="00D56AE7"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00481264" w:rsidRPr="00EF0CB9">
        <w:rPr>
          <w:rFonts w:ascii="Times New Roman" w:hAnsi="Times New Roman" w:cs="Times New Roman"/>
          <w:b/>
          <w:color w:val="000000" w:themeColor="text1"/>
          <w:sz w:val="22"/>
          <w:szCs w:val="22"/>
        </w:rPr>
        <w:t xml:space="preserve"> </w:t>
      </w:r>
      <w:r w:rsidR="00D56AE7" w:rsidRPr="00EF0CB9">
        <w:rPr>
          <w:rFonts w:ascii="Times New Roman" w:hAnsi="Times New Roman" w:cs="Times New Roman"/>
          <w:bCs/>
          <w:color w:val="000000" w:themeColor="text1"/>
          <w:sz w:val="22"/>
          <w:szCs w:val="22"/>
        </w:rPr>
        <w:t>à presente ata.</w:t>
      </w:r>
    </w:p>
    <w:p w14:paraId="08188070" w14:textId="77777777" w:rsidR="00153385" w:rsidRPr="00EF0CB9" w:rsidRDefault="00153385" w:rsidP="00B75A22">
      <w:pPr>
        <w:pStyle w:val="Default"/>
        <w:spacing w:line="320" w:lineRule="exact"/>
        <w:jc w:val="both"/>
        <w:rPr>
          <w:rFonts w:ascii="Times New Roman" w:hAnsi="Times New Roman" w:cs="Times New Roman"/>
          <w:color w:val="000000" w:themeColor="text1"/>
          <w:sz w:val="22"/>
          <w:szCs w:val="22"/>
        </w:rPr>
      </w:pPr>
    </w:p>
    <w:p w14:paraId="08188071" w14:textId="77777777" w:rsidR="00D046CE" w:rsidRPr="00EF0CB9" w:rsidRDefault="00000000" w:rsidP="00D046CE">
      <w:pPr>
        <w:pStyle w:val="PargrafodaLista"/>
        <w:spacing w:line="320" w:lineRule="exact"/>
        <w:ind w:left="851"/>
        <w:rPr>
          <w:i/>
          <w:iCs/>
          <w:color w:val="000000" w:themeColor="text1"/>
          <w:kern w:val="20"/>
          <w:sz w:val="22"/>
          <w:szCs w:val="22"/>
        </w:rPr>
      </w:pPr>
      <w:bookmarkStart w:id="8" w:name="_Hlk115975214"/>
      <w:r w:rsidRPr="00EF0CB9">
        <w:rPr>
          <w:i/>
          <w:iCs/>
          <w:color w:val="000000" w:themeColor="text1"/>
          <w:kern w:val="20"/>
          <w:sz w:val="22"/>
          <w:szCs w:val="22"/>
        </w:rPr>
        <w:t>“9.1.</w:t>
      </w:r>
      <w:r w:rsidRPr="00EF0CB9">
        <w:rPr>
          <w:i/>
          <w:iCs/>
          <w:color w:val="000000" w:themeColor="text1"/>
          <w:kern w:val="20"/>
          <w:sz w:val="22"/>
          <w:szCs w:val="22"/>
        </w:rPr>
        <w:tab/>
        <w:t>Sem prejuízo das demais obrigações constantes desta Escritura de Emissão, a Emissora</w:t>
      </w:r>
      <w:r w:rsidRPr="00EF0CB9">
        <w:rPr>
          <w:i/>
          <w:color w:val="000000" w:themeColor="text1"/>
          <w:kern w:val="20"/>
          <w:sz w:val="22"/>
        </w:rPr>
        <w:t xml:space="preserve"> está </w:t>
      </w:r>
      <w:r w:rsidRPr="00EF0CB9">
        <w:rPr>
          <w:i/>
          <w:iCs/>
          <w:color w:val="000000" w:themeColor="text1"/>
          <w:kern w:val="20"/>
          <w:sz w:val="22"/>
          <w:szCs w:val="22"/>
        </w:rPr>
        <w:t>adicionalmente obrigada a:</w:t>
      </w:r>
    </w:p>
    <w:p w14:paraId="08188072" w14:textId="77777777" w:rsidR="00D046CE" w:rsidRPr="00EF0CB9" w:rsidRDefault="00D046CE" w:rsidP="00D046CE">
      <w:pPr>
        <w:pStyle w:val="PargrafodaLista"/>
        <w:spacing w:line="320" w:lineRule="exact"/>
        <w:ind w:left="851"/>
        <w:rPr>
          <w:i/>
          <w:iCs/>
          <w:color w:val="000000" w:themeColor="text1"/>
          <w:kern w:val="20"/>
          <w:sz w:val="22"/>
          <w:szCs w:val="22"/>
        </w:rPr>
      </w:pPr>
    </w:p>
    <w:p w14:paraId="08188073" w14:textId="77777777" w:rsidR="00D046CE" w:rsidRPr="00EF0CB9" w:rsidRDefault="00000000" w:rsidP="00D046CE">
      <w:pPr>
        <w:pStyle w:val="PargrafodaLista"/>
        <w:spacing w:line="320" w:lineRule="exact"/>
        <w:ind w:left="851"/>
        <w:rPr>
          <w:i/>
          <w:iCs/>
          <w:color w:val="000000" w:themeColor="text1"/>
          <w:kern w:val="20"/>
          <w:sz w:val="22"/>
          <w:szCs w:val="22"/>
        </w:rPr>
      </w:pPr>
      <w:r w:rsidRPr="00EF0CB9">
        <w:rPr>
          <w:i/>
          <w:iCs/>
          <w:color w:val="000000" w:themeColor="text1"/>
          <w:kern w:val="20"/>
          <w:sz w:val="22"/>
          <w:szCs w:val="22"/>
        </w:rPr>
        <w:t>(...)</w:t>
      </w:r>
    </w:p>
    <w:p w14:paraId="08188074" w14:textId="77777777" w:rsidR="00D046CE" w:rsidRPr="00EF0CB9" w:rsidRDefault="00D046CE" w:rsidP="00D046CE">
      <w:pPr>
        <w:pStyle w:val="PargrafodaLista"/>
        <w:spacing w:line="320" w:lineRule="exact"/>
        <w:ind w:left="851"/>
        <w:rPr>
          <w:i/>
          <w:iCs/>
          <w:color w:val="000000" w:themeColor="text1"/>
          <w:kern w:val="20"/>
          <w:sz w:val="22"/>
          <w:szCs w:val="22"/>
        </w:rPr>
      </w:pPr>
    </w:p>
    <w:p w14:paraId="08188075" w14:textId="77777777" w:rsidR="00D046CE" w:rsidRPr="00EF0CB9" w:rsidRDefault="00000000" w:rsidP="00D046CE">
      <w:pPr>
        <w:pStyle w:val="PargrafodaLista"/>
        <w:spacing w:line="320" w:lineRule="exact"/>
        <w:ind w:left="851"/>
        <w:rPr>
          <w:color w:val="000000" w:themeColor="text1"/>
          <w:kern w:val="20"/>
          <w:sz w:val="22"/>
          <w:szCs w:val="22"/>
        </w:rPr>
      </w:pPr>
      <w:r w:rsidRPr="00EF0CB9">
        <w:rPr>
          <w:i/>
          <w:iCs/>
          <w:color w:val="000000" w:themeColor="text1"/>
          <w:kern w:val="20"/>
          <w:sz w:val="22"/>
          <w:szCs w:val="22"/>
        </w:rPr>
        <w:t>(x) cumprir o Índice Mínimo de Garantias e o Novo Índice Mínimo de Garantia, ou proceder à sua</w:t>
      </w:r>
      <w:r w:rsidRPr="00EF0CB9">
        <w:rPr>
          <w:i/>
          <w:color w:val="000000" w:themeColor="text1"/>
          <w:kern w:val="20"/>
          <w:sz w:val="22"/>
        </w:rPr>
        <w:t xml:space="preserve"> recomposição </w:t>
      </w:r>
      <w:r w:rsidRPr="00EF0CB9">
        <w:rPr>
          <w:i/>
          <w:iCs/>
          <w:color w:val="000000" w:themeColor="text1"/>
          <w:kern w:val="20"/>
          <w:sz w:val="22"/>
          <w:szCs w:val="22"/>
        </w:rPr>
        <w:t>nos termos e prazos indicados abaixo.</w:t>
      </w:r>
    </w:p>
    <w:p w14:paraId="08188076" w14:textId="77777777" w:rsidR="00D046CE" w:rsidRPr="00EF0CB9" w:rsidRDefault="00D046CE" w:rsidP="00D046CE">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14:paraId="08188077" w14:textId="77777777" w:rsidR="00D046CE" w:rsidRPr="00EF0CB9" w:rsidRDefault="00000000" w:rsidP="00D046CE">
      <w:pPr>
        <w:pStyle w:val="PargrafodaLista"/>
        <w:spacing w:line="320" w:lineRule="exact"/>
        <w:ind w:left="851"/>
        <w:rPr>
          <w:color w:val="000000" w:themeColor="text1"/>
          <w:sz w:val="22"/>
          <w:szCs w:val="22"/>
        </w:rPr>
      </w:pPr>
      <w:bookmarkStart w:id="9" w:name="_Hlk115178655"/>
      <w:r w:rsidRPr="00EF0CB9">
        <w:rPr>
          <w:i/>
          <w:iCs/>
          <w:color w:val="000000" w:themeColor="text1"/>
          <w:sz w:val="22"/>
          <w:szCs w:val="22"/>
        </w:rPr>
        <w:t>Para os fins aqui previstos no item “(x)” acima, o “</w:t>
      </w:r>
      <w:r w:rsidRPr="00EF0CB9">
        <w:rPr>
          <w:i/>
          <w:iCs/>
          <w:color w:val="000000" w:themeColor="text1"/>
          <w:sz w:val="22"/>
          <w:szCs w:val="22"/>
          <w:u w:val="single"/>
        </w:rPr>
        <w:t>Índice Mínimo de Garantias</w:t>
      </w:r>
      <w:r w:rsidRPr="00EF0CB9">
        <w:rPr>
          <w:i/>
          <w:iCs/>
          <w:color w:val="000000" w:themeColor="text1"/>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EF0CB9">
        <w:rPr>
          <w:i/>
          <w:iCs/>
          <w:color w:val="000000" w:themeColor="text1"/>
          <w:kern w:val="20"/>
          <w:sz w:val="22"/>
          <w:szCs w:val="22"/>
        </w:rPr>
        <w:t>cálculo</w:t>
      </w:r>
      <w:r w:rsidRPr="00EF0CB9">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EF0CB9">
        <w:rPr>
          <w:i/>
          <w:iCs/>
          <w:color w:val="000000" w:themeColor="text1"/>
          <w:sz w:val="22"/>
          <w:szCs w:val="22"/>
          <w:u w:val="single"/>
        </w:rPr>
        <w:t>Unidades Vendidas</w:t>
      </w:r>
      <w:r w:rsidRPr="00EF0CB9">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EF0CB9">
        <w:rPr>
          <w:i/>
          <w:iCs/>
          <w:color w:val="000000" w:themeColor="text1"/>
          <w:sz w:val="22"/>
          <w:szCs w:val="22"/>
          <w:u w:val="single"/>
        </w:rPr>
        <w:t>Unidades em Estoque</w:t>
      </w:r>
      <w:r w:rsidRPr="00EF0CB9">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9"/>
      <w:r w:rsidRPr="00EF0CB9">
        <w:rPr>
          <w:i/>
          <w:iCs/>
          <w:color w:val="000000" w:themeColor="text1"/>
          <w:sz w:val="22"/>
          <w:szCs w:val="22"/>
        </w:rPr>
        <w:t>. Caso em qualquer medição seja verificado que o Índice Mínimo de Garantias não foi respeitado, a [Securitizadora] deverá comunicar a Emissora por escrito acerca do referido descumprimento (“</w:t>
      </w:r>
      <w:r w:rsidRPr="00EF0CB9">
        <w:rPr>
          <w:i/>
          <w:iCs/>
          <w:color w:val="000000" w:themeColor="text1"/>
          <w:sz w:val="22"/>
          <w:szCs w:val="22"/>
          <w:u w:val="single"/>
        </w:rPr>
        <w:t>Notificação Descumprimento Índice Mínimo de Garantias</w:t>
      </w:r>
      <w:r w:rsidRPr="00EF0CB9">
        <w:rPr>
          <w:i/>
          <w:iCs/>
          <w:color w:val="000000" w:themeColor="text1"/>
          <w:sz w:val="22"/>
          <w:szCs w:val="22"/>
        </w:rPr>
        <w:t>”). A Emissora deverá, em até [</w:t>
      </w:r>
      <w:r w:rsidRPr="007B2EF8">
        <w:rPr>
          <w:i/>
          <w:iCs/>
          <w:color w:val="000000" w:themeColor="text1"/>
          <w:sz w:val="22"/>
          <w:szCs w:val="22"/>
          <w:highlight w:val="yellow"/>
        </w:rPr>
        <w:t>22 (vinte e dois)</w:t>
      </w:r>
      <w:r w:rsidRPr="00EF0CB9">
        <w:rPr>
          <w:i/>
          <w:iCs/>
          <w:color w:val="000000" w:themeColor="text1"/>
          <w:sz w:val="22"/>
          <w:szCs w:val="22"/>
        </w:rPr>
        <w:t xml:space="preserve">] Dias Úteis contados do recebimento da Notificação Descumprimento Índice Mínimo de Garantias, proceder à sua </w:t>
      </w:r>
      <w:r w:rsidRPr="00EF0CB9">
        <w:rPr>
          <w:i/>
          <w:iCs/>
          <w:color w:val="000000" w:themeColor="text1"/>
          <w:kern w:val="20"/>
          <w:sz w:val="22"/>
          <w:szCs w:val="22"/>
        </w:rPr>
        <w:t>recomposição por meio da constituição de outras garantias aceitas pela Securitizadora, desde que aprovadas pelos Titulares dos CRI</w:t>
      </w:r>
      <w:r w:rsidR="00B35AA7" w:rsidRPr="001D2214">
        <w:rPr>
          <w:i/>
          <w:iCs/>
          <w:kern w:val="20"/>
          <w:sz w:val="22"/>
          <w:szCs w:val="22"/>
        </w:rPr>
        <w:t>, observado o disposto na Cláusula 7.12 acima</w:t>
      </w:r>
      <w:r w:rsidRPr="00EF0CB9">
        <w:rPr>
          <w:i/>
          <w:iCs/>
          <w:color w:val="000000" w:themeColor="text1"/>
          <w:kern w:val="20"/>
          <w:sz w:val="22"/>
          <w:szCs w:val="22"/>
        </w:rPr>
        <w:t xml:space="preserve">. Durante o prazo de cura referido acima, não será permitida a realização de qualquer </w:t>
      </w:r>
      <w:r w:rsidRPr="00EF0CB9">
        <w:rPr>
          <w:i/>
          <w:iCs/>
          <w:color w:val="000000" w:themeColor="text1"/>
          <w:sz w:val="22"/>
          <w:szCs w:val="22"/>
        </w:rPr>
        <w:t xml:space="preserve">Liberação para a Conta de Livre Movimentação nos termos da Cláusula 7.12 acima. </w:t>
      </w:r>
    </w:p>
    <w:p w14:paraId="08188078" w14:textId="77777777" w:rsidR="00D046CE" w:rsidRPr="00EF0CB9" w:rsidRDefault="00000000" w:rsidP="00D046CE">
      <w:pPr>
        <w:pStyle w:val="PargrafodaLista"/>
        <w:spacing w:line="320" w:lineRule="exact"/>
        <w:ind w:left="851"/>
        <w:rPr>
          <w:color w:val="000000" w:themeColor="text1"/>
          <w:sz w:val="22"/>
          <w:szCs w:val="22"/>
        </w:rPr>
      </w:pPr>
      <w:r w:rsidRPr="00EF0CB9">
        <w:rPr>
          <w:color w:val="000000" w:themeColor="text1"/>
          <w:sz w:val="22"/>
          <w:szCs w:val="22"/>
        </w:rPr>
        <w:t xml:space="preserve"> </w:t>
      </w:r>
    </w:p>
    <w:p w14:paraId="08188079" w14:textId="77777777" w:rsidR="00D046CE" w:rsidRPr="00EF0CB9" w:rsidRDefault="00000000" w:rsidP="00D046CE">
      <w:pPr>
        <w:pStyle w:val="PargrafodaLista"/>
        <w:spacing w:line="320" w:lineRule="exact"/>
        <w:ind w:left="851"/>
        <w:rPr>
          <w:i/>
          <w:iCs/>
          <w:color w:val="000000" w:themeColor="text1"/>
          <w:sz w:val="22"/>
          <w:szCs w:val="22"/>
        </w:rPr>
      </w:pPr>
      <w:bookmarkStart w:id="10" w:name="_Hlk115178695"/>
      <w:r w:rsidRPr="00EF0CB9">
        <w:rPr>
          <w:i/>
          <w:iCs/>
          <w:color w:val="000000" w:themeColor="text1"/>
          <w:sz w:val="22"/>
          <w:szCs w:val="22"/>
        </w:rPr>
        <w:t>Para apuração do Índice de Mínimo de Garantias, utilizar-se-á a fórmula abaixo:</w:t>
      </w:r>
    </w:p>
    <w:p w14:paraId="0818807A" w14:textId="77777777" w:rsidR="00D046CE" w:rsidRPr="00EF0CB9" w:rsidRDefault="00D046CE" w:rsidP="00D046CE">
      <w:pPr>
        <w:spacing w:line="320" w:lineRule="exact"/>
        <w:ind w:left="851"/>
        <w:rPr>
          <w:i/>
          <w:iCs/>
          <w:color w:val="000000" w:themeColor="text1"/>
          <w:sz w:val="22"/>
          <w:szCs w:val="22"/>
        </w:rPr>
      </w:pPr>
    </w:p>
    <w:p w14:paraId="0818807B" w14:textId="77777777" w:rsidR="00D046CE" w:rsidRPr="00EF0CB9" w:rsidRDefault="00000000" w:rsidP="00D046CE">
      <w:pPr>
        <w:pStyle w:val="PargrafodaLista"/>
        <w:spacing w:line="320" w:lineRule="exact"/>
        <w:ind w:left="851"/>
        <w:rPr>
          <w:i/>
          <w:iCs/>
          <w:color w:val="000000" w:themeColor="text1"/>
          <w:sz w:val="22"/>
          <w:szCs w:val="22"/>
          <w:u w:val="single"/>
        </w:rPr>
      </w:pPr>
      <w:r w:rsidRPr="00EF0CB9">
        <w:rPr>
          <w:i/>
          <w:iCs/>
          <w:color w:val="000000" w:themeColor="text1"/>
          <w:sz w:val="22"/>
          <w:szCs w:val="22"/>
        </w:rPr>
        <w:t xml:space="preserve">Índice de Mínimo de Garantia = </w:t>
      </w:r>
      <w:r w:rsidRPr="00EF0CB9">
        <w:rPr>
          <w:i/>
          <w:iCs/>
          <w:color w:val="000000" w:themeColor="text1"/>
          <w:sz w:val="22"/>
          <w:szCs w:val="22"/>
          <w:u w:val="single"/>
        </w:rPr>
        <w:t>Valor dos Direitos Creditórios Cedidos + Estoque</w:t>
      </w:r>
      <w:r w:rsidRPr="00EF0CB9">
        <w:rPr>
          <w:i/>
          <w:iCs/>
          <w:color w:val="000000" w:themeColor="text1"/>
          <w:sz w:val="22"/>
          <w:szCs w:val="22"/>
        </w:rPr>
        <w:t>  ≥ 2,00</w:t>
      </w:r>
    </w:p>
    <w:p w14:paraId="0818807C" w14:textId="77777777" w:rsidR="00D046CE" w:rsidRPr="00EF0CB9" w:rsidRDefault="00000000" w:rsidP="00D046CE">
      <w:pPr>
        <w:pStyle w:val="PargrafoComumNvel2"/>
        <w:ind w:left="851" w:firstLine="0"/>
        <w:rPr>
          <w:rFonts w:ascii="Times New Roman" w:hAnsi="Times New Roman" w:cs="Times New Roman"/>
          <w:i/>
          <w:iCs/>
          <w:color w:val="000000" w:themeColor="text1"/>
          <w:sz w:val="22"/>
          <w:szCs w:val="22"/>
        </w:rPr>
      </w:pPr>
      <w:r w:rsidRPr="00EF0CB9">
        <w:rPr>
          <w:rFonts w:ascii="Times New Roman" w:hAnsi="Times New Roman" w:cs="Times New Roman"/>
          <w:i/>
          <w:iCs/>
          <w:color w:val="000000" w:themeColor="text1"/>
          <w:sz w:val="22"/>
          <w:szCs w:val="22"/>
        </w:rPr>
        <w:t xml:space="preserve">                                       </w:t>
      </w:r>
      <w:r w:rsidRPr="00EF0CB9">
        <w:rPr>
          <w:rFonts w:ascii="Times New Roman" w:hAnsi="Times New Roman" w:cs="Times New Roman"/>
          <w:i/>
          <w:iCs/>
          <w:color w:val="000000" w:themeColor="text1"/>
          <w:sz w:val="22"/>
          <w:szCs w:val="22"/>
        </w:rPr>
        <w:tab/>
        <w:t>Saldo Devedor das Debêntures</w:t>
      </w:r>
    </w:p>
    <w:p w14:paraId="0818807D" w14:textId="77777777" w:rsidR="00D046CE" w:rsidRPr="00EF0CB9" w:rsidRDefault="00D046CE" w:rsidP="00D046CE">
      <w:pPr>
        <w:spacing w:line="320" w:lineRule="exact"/>
        <w:ind w:left="851"/>
        <w:rPr>
          <w:i/>
          <w:iCs/>
          <w:color w:val="000000" w:themeColor="text1"/>
          <w:sz w:val="22"/>
          <w:szCs w:val="22"/>
        </w:rPr>
      </w:pPr>
    </w:p>
    <w:p w14:paraId="0818807E"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Onde</w:t>
      </w:r>
      <w:r w:rsidRPr="00EF0CB9">
        <w:rPr>
          <w:i/>
          <w:iCs/>
          <w:color w:val="000000" w:themeColor="text1"/>
          <w:sz w:val="22"/>
          <w:szCs w:val="22"/>
        </w:rPr>
        <w:t xml:space="preserve">: </w:t>
      </w:r>
    </w:p>
    <w:p w14:paraId="0818807F" w14:textId="77777777" w:rsidR="00D046CE" w:rsidRPr="00EF0CB9" w:rsidRDefault="00D046CE" w:rsidP="00D046CE">
      <w:pPr>
        <w:pStyle w:val="PargrafodaLista"/>
        <w:spacing w:line="320" w:lineRule="exact"/>
        <w:ind w:left="851"/>
        <w:rPr>
          <w:i/>
          <w:iCs/>
          <w:color w:val="000000" w:themeColor="text1"/>
          <w:sz w:val="22"/>
          <w:szCs w:val="22"/>
        </w:rPr>
      </w:pPr>
    </w:p>
    <w:p w14:paraId="08188080"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Estoque</w:t>
      </w:r>
      <w:r w:rsidRPr="00EF0CB9">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08188081" w14:textId="77777777" w:rsidR="00D046CE" w:rsidRPr="00EF0CB9" w:rsidRDefault="00D046CE" w:rsidP="00D046CE">
      <w:pPr>
        <w:pStyle w:val="PargrafodaLista"/>
        <w:spacing w:line="320" w:lineRule="exact"/>
        <w:ind w:left="851"/>
        <w:rPr>
          <w:i/>
          <w:iCs/>
          <w:color w:val="000000" w:themeColor="text1"/>
          <w:sz w:val="22"/>
          <w:szCs w:val="22"/>
        </w:rPr>
      </w:pPr>
    </w:p>
    <w:p w14:paraId="08188082"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Saldo Devedor das Debêntures</w:t>
      </w:r>
      <w:r w:rsidRPr="00EF0CB9">
        <w:rPr>
          <w:i/>
          <w:iCs/>
          <w:color w:val="000000" w:themeColor="text1"/>
          <w:sz w:val="22"/>
          <w:szCs w:val="22"/>
        </w:rPr>
        <w:t xml:space="preserve"> = correspondente ao saldo devedor das Debêntures, na data de cálculo. </w:t>
      </w:r>
    </w:p>
    <w:p w14:paraId="08188083" w14:textId="77777777" w:rsidR="00D046CE" w:rsidRPr="00EF0CB9" w:rsidRDefault="00D046CE" w:rsidP="00D046CE">
      <w:pPr>
        <w:pStyle w:val="PargrafodaLista"/>
        <w:spacing w:line="320" w:lineRule="exact"/>
        <w:ind w:left="851"/>
        <w:rPr>
          <w:i/>
          <w:iCs/>
          <w:color w:val="000000" w:themeColor="text1"/>
          <w:sz w:val="22"/>
          <w:szCs w:val="22"/>
        </w:rPr>
      </w:pPr>
    </w:p>
    <w:p w14:paraId="08188084"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Valor dos Direitos Cedidos</w:t>
      </w:r>
      <w:r w:rsidRPr="00EF0CB9">
        <w:rPr>
          <w:i/>
          <w:iCs/>
          <w:color w:val="000000" w:themeColor="text1"/>
          <w:sz w:val="22"/>
          <w:szCs w:val="22"/>
        </w:rPr>
        <w:t xml:space="preserve"> = corresponde ao somatório das parcelas das Unidades Vendidas:</w:t>
      </w:r>
    </w:p>
    <w:p w14:paraId="08188085" w14:textId="77777777" w:rsidR="00D046CE" w:rsidRPr="00EF0CB9" w:rsidRDefault="00D046CE" w:rsidP="00D046CE">
      <w:pPr>
        <w:pStyle w:val="PargrafodaLista"/>
        <w:spacing w:line="320" w:lineRule="exact"/>
        <w:ind w:left="851"/>
        <w:rPr>
          <w:i/>
          <w:iCs/>
          <w:color w:val="000000" w:themeColor="text1"/>
          <w:sz w:val="22"/>
          <w:szCs w:val="22"/>
        </w:rPr>
      </w:pPr>
    </w:p>
    <w:p w14:paraId="08188086" w14:textId="77777777" w:rsidR="00D046CE" w:rsidRPr="00EF0CB9" w:rsidRDefault="00000000" w:rsidP="00D046CE">
      <w:pPr>
        <w:pStyle w:val="Textodecomentrio"/>
        <w:spacing w:line="320" w:lineRule="exact"/>
        <w:ind w:left="567"/>
        <w:jc w:val="center"/>
        <w:rPr>
          <w:i/>
          <w:iCs/>
          <w:color w:val="000000" w:themeColor="text1"/>
          <w:sz w:val="22"/>
          <w:szCs w:val="22"/>
        </w:rPr>
      </w:pPr>
      <w:r w:rsidRPr="00EF0CB9">
        <w:rPr>
          <w:i/>
          <w:iCs/>
          <w:color w:val="000000" w:themeColor="text1"/>
          <w:sz w:val="22"/>
          <w:szCs w:val="22"/>
        </w:rPr>
        <w:t>Valor dos Direitos Cedidos = ∑ (fluxo Unidades Vendidas)</w:t>
      </w:r>
    </w:p>
    <w:p w14:paraId="08188087" w14:textId="77777777" w:rsidR="00D046CE" w:rsidRPr="00EF0CB9" w:rsidRDefault="00D046CE" w:rsidP="00D046CE">
      <w:pPr>
        <w:pStyle w:val="PargrafodaLista"/>
        <w:spacing w:line="320" w:lineRule="exact"/>
        <w:ind w:left="851"/>
        <w:rPr>
          <w:i/>
          <w:iCs/>
          <w:color w:val="000000" w:themeColor="text1"/>
          <w:sz w:val="22"/>
          <w:szCs w:val="22"/>
        </w:rPr>
      </w:pPr>
    </w:p>
    <w:p w14:paraId="08188088"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Onde</w:t>
      </w:r>
      <w:r w:rsidRPr="00EF0CB9">
        <w:rPr>
          <w:i/>
          <w:iCs/>
          <w:color w:val="000000" w:themeColor="text1"/>
          <w:sz w:val="22"/>
          <w:szCs w:val="22"/>
        </w:rPr>
        <w:t>:</w:t>
      </w:r>
    </w:p>
    <w:p w14:paraId="08188089" w14:textId="77777777" w:rsidR="00D046CE" w:rsidRPr="00EF0CB9" w:rsidRDefault="00D046CE" w:rsidP="00D046CE">
      <w:pPr>
        <w:pStyle w:val="PargrafodaLista"/>
        <w:spacing w:line="320" w:lineRule="exact"/>
        <w:ind w:left="851"/>
        <w:rPr>
          <w:i/>
          <w:iCs/>
          <w:color w:val="000000" w:themeColor="text1"/>
          <w:sz w:val="22"/>
          <w:szCs w:val="22"/>
        </w:rPr>
      </w:pPr>
    </w:p>
    <w:p w14:paraId="0818808A"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Fluxo Unidades Vendidas</w:t>
      </w:r>
      <w:r w:rsidRPr="00EF0CB9">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bookmarkEnd w:id="8"/>
    <w:p w14:paraId="0818808B" w14:textId="77777777" w:rsidR="00D046CE" w:rsidRPr="00EF0CB9" w:rsidRDefault="00D046CE" w:rsidP="00D046CE">
      <w:pPr>
        <w:pStyle w:val="PargrafodaLista"/>
        <w:spacing w:line="320" w:lineRule="exact"/>
        <w:ind w:left="851"/>
        <w:rPr>
          <w:i/>
          <w:iCs/>
          <w:color w:val="000000" w:themeColor="text1"/>
          <w:sz w:val="22"/>
          <w:szCs w:val="22"/>
        </w:rPr>
      </w:pPr>
    </w:p>
    <w:p w14:paraId="0818808C" w14:textId="77777777" w:rsidR="00D046CE" w:rsidRPr="00EF0CB9" w:rsidRDefault="00000000" w:rsidP="00D046CE">
      <w:pPr>
        <w:pStyle w:val="PargrafodaLista"/>
        <w:spacing w:line="320" w:lineRule="exact"/>
        <w:ind w:left="851"/>
        <w:rPr>
          <w:i/>
          <w:iCs/>
          <w:color w:val="000000" w:themeColor="text1"/>
          <w:sz w:val="22"/>
          <w:szCs w:val="22"/>
        </w:rPr>
      </w:pPr>
      <w:bookmarkStart w:id="11" w:name="_Hlk115975385"/>
      <w:r w:rsidRPr="00EF0CB9">
        <w:rPr>
          <w:i/>
          <w:iCs/>
          <w:color w:val="000000" w:themeColor="text1"/>
          <w:sz w:val="22"/>
          <w:szCs w:val="22"/>
        </w:rPr>
        <w:t>Para os fins aqui previstos no item “(x)” acima, o “</w:t>
      </w:r>
      <w:r w:rsidRPr="00EF0CB9">
        <w:rPr>
          <w:i/>
          <w:iCs/>
          <w:color w:val="000000" w:themeColor="text1"/>
          <w:sz w:val="22"/>
          <w:szCs w:val="22"/>
          <w:u w:val="single"/>
        </w:rPr>
        <w:t>Novo Índice Mínimo de Garantias</w:t>
      </w:r>
      <w:r w:rsidRPr="00EF0CB9">
        <w:rPr>
          <w:i/>
          <w:iCs/>
          <w:color w:val="000000" w:themeColor="text1"/>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EF0CB9">
        <w:rPr>
          <w:i/>
          <w:iCs/>
          <w:color w:val="000000" w:themeColor="text1"/>
          <w:kern w:val="20"/>
          <w:sz w:val="22"/>
          <w:szCs w:val="22"/>
        </w:rPr>
        <w:t>cálculo</w:t>
      </w:r>
      <w:r w:rsidRPr="00EF0CB9">
        <w:rPr>
          <w:i/>
          <w:iCs/>
          <w:color w:val="000000" w:themeColor="text1"/>
          <w:sz w:val="22"/>
          <w:szCs w:val="22"/>
        </w:rPr>
        <w:t xml:space="preserve"> desse índice, a Certificadora deverá medir [●]. Caso em qualquer medição seja verificado que o Novo Índice Mínimo de Garantias não foi respeitado, a [Securitizadora] deverá comunicar a Emissora por escrito acerca do referido descumprimento (“</w:t>
      </w:r>
      <w:r w:rsidRPr="00EF0CB9">
        <w:rPr>
          <w:i/>
          <w:iCs/>
          <w:color w:val="000000" w:themeColor="text1"/>
          <w:sz w:val="22"/>
          <w:szCs w:val="22"/>
          <w:u w:val="single"/>
        </w:rPr>
        <w:t>Notificação Descumprimento Novo Índice Mínimo de Garantias</w:t>
      </w:r>
      <w:r w:rsidRPr="00EF0CB9">
        <w:rPr>
          <w:i/>
          <w:iCs/>
          <w:color w:val="000000" w:themeColor="text1"/>
          <w:sz w:val="22"/>
          <w:szCs w:val="22"/>
        </w:rPr>
        <w:t xml:space="preserve">”). A Emissora deverá, em até [22 (vinte e dois)] Dias Úteis contados do recebimento da Notificação Descumprimento Novo Índice Mínimo de Garantias, proceder à sua </w:t>
      </w:r>
      <w:r w:rsidRPr="00EF0CB9">
        <w:rPr>
          <w:i/>
          <w:iCs/>
          <w:color w:val="000000" w:themeColor="text1"/>
          <w:kern w:val="20"/>
          <w:sz w:val="22"/>
          <w:szCs w:val="22"/>
        </w:rPr>
        <w:t>recomposição por meio da constituição de outras garantias aceitas pela Securitizadora, desde que aprovadas pelos Titulares dos CRI</w:t>
      </w:r>
      <w:r w:rsidR="00B35AA7" w:rsidRPr="001D2214">
        <w:rPr>
          <w:i/>
          <w:iCs/>
          <w:kern w:val="20"/>
          <w:sz w:val="22"/>
          <w:szCs w:val="22"/>
        </w:rPr>
        <w:t>, observado o disposto na Cláusula 7.12 acima</w:t>
      </w:r>
      <w:r w:rsidRPr="00EF0CB9">
        <w:rPr>
          <w:i/>
          <w:iCs/>
          <w:color w:val="000000" w:themeColor="text1"/>
          <w:sz w:val="22"/>
          <w:szCs w:val="22"/>
        </w:rPr>
        <w:t>.</w:t>
      </w:r>
      <w:r w:rsidRPr="00EF0CB9">
        <w:rPr>
          <w:i/>
          <w:iCs/>
          <w:color w:val="000000" w:themeColor="text1"/>
          <w:kern w:val="20"/>
          <w:sz w:val="22"/>
          <w:szCs w:val="22"/>
        </w:rPr>
        <w:t xml:space="preserve"> Durante o prazo de cura referido acima, não será permitida a realização de qualquer </w:t>
      </w:r>
      <w:r w:rsidRPr="00EF0CB9">
        <w:rPr>
          <w:i/>
          <w:iCs/>
          <w:color w:val="000000" w:themeColor="text1"/>
          <w:sz w:val="22"/>
          <w:szCs w:val="22"/>
        </w:rPr>
        <w:t xml:space="preserve">Liberação para a Conta de Livre Movimentação nos termos da Cláusula 7.12 acima. </w:t>
      </w:r>
    </w:p>
    <w:bookmarkEnd w:id="11"/>
    <w:p w14:paraId="0818808D"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rPr>
        <w:t xml:space="preserve"> </w:t>
      </w:r>
    </w:p>
    <w:p w14:paraId="0818808E"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rPr>
        <w:t>Para apuração do Novo Índice de Mínimo de Garantias, utilizar-se-á a fórmula abaixo:</w:t>
      </w:r>
    </w:p>
    <w:p w14:paraId="0818808F" w14:textId="77777777" w:rsidR="00D046CE" w:rsidRPr="00EF0CB9" w:rsidRDefault="00D046CE" w:rsidP="00D046CE">
      <w:pPr>
        <w:spacing w:line="320" w:lineRule="exact"/>
        <w:ind w:left="851"/>
        <w:rPr>
          <w:i/>
          <w:iCs/>
          <w:color w:val="000000" w:themeColor="text1"/>
          <w:sz w:val="22"/>
          <w:szCs w:val="22"/>
        </w:rPr>
      </w:pPr>
    </w:p>
    <w:p w14:paraId="08188090" w14:textId="77777777" w:rsidR="00D046CE" w:rsidRPr="00EF0CB9" w:rsidRDefault="00000000" w:rsidP="00D046CE">
      <w:pPr>
        <w:pStyle w:val="PargrafodaLista"/>
        <w:spacing w:line="320" w:lineRule="exact"/>
        <w:ind w:left="851"/>
        <w:rPr>
          <w:i/>
          <w:iCs/>
          <w:color w:val="000000" w:themeColor="text1"/>
          <w:sz w:val="22"/>
          <w:szCs w:val="22"/>
          <w:u w:val="single"/>
        </w:rPr>
      </w:pPr>
      <w:r w:rsidRPr="00EF0CB9">
        <w:rPr>
          <w:i/>
          <w:iCs/>
          <w:color w:val="000000" w:themeColor="text1"/>
          <w:sz w:val="22"/>
          <w:szCs w:val="22"/>
        </w:rPr>
        <w:t xml:space="preserve">Novo Índice de Mínimo de Garantia = </w:t>
      </w:r>
      <w:r w:rsidRPr="00EF0CB9">
        <w:rPr>
          <w:i/>
          <w:iCs/>
          <w:color w:val="000000" w:themeColor="text1"/>
          <w:sz w:val="22"/>
          <w:szCs w:val="22"/>
          <w:u w:val="single"/>
        </w:rPr>
        <w:t>Valor dos Direitos Elegíveis</w:t>
      </w:r>
      <w:r w:rsidRPr="00EF0CB9">
        <w:rPr>
          <w:i/>
          <w:iCs/>
          <w:color w:val="000000" w:themeColor="text1"/>
          <w:sz w:val="22"/>
          <w:szCs w:val="22"/>
        </w:rPr>
        <w:t>        ≥ 1,15</w:t>
      </w:r>
    </w:p>
    <w:p w14:paraId="08188091" w14:textId="77777777" w:rsidR="00D046CE" w:rsidRPr="00EF0CB9" w:rsidRDefault="00000000" w:rsidP="00D046CE">
      <w:pPr>
        <w:pStyle w:val="PargrafoComumNvel2"/>
        <w:ind w:left="851" w:firstLine="0"/>
        <w:rPr>
          <w:rFonts w:ascii="Times New Roman" w:hAnsi="Times New Roman" w:cs="Times New Roman"/>
          <w:i/>
          <w:iCs/>
          <w:color w:val="000000" w:themeColor="text1"/>
          <w:sz w:val="22"/>
          <w:szCs w:val="22"/>
        </w:rPr>
      </w:pPr>
      <w:r w:rsidRPr="00EF0CB9">
        <w:rPr>
          <w:rFonts w:ascii="Times New Roman" w:hAnsi="Times New Roman" w:cs="Times New Roman"/>
          <w:i/>
          <w:iCs/>
          <w:color w:val="000000" w:themeColor="text1"/>
          <w:sz w:val="22"/>
          <w:szCs w:val="22"/>
        </w:rPr>
        <w:lastRenderedPageBreak/>
        <w:t xml:space="preserve">                                       </w:t>
      </w:r>
      <w:r w:rsidRPr="00EF0CB9">
        <w:rPr>
          <w:rFonts w:ascii="Times New Roman" w:hAnsi="Times New Roman" w:cs="Times New Roman"/>
          <w:i/>
          <w:iCs/>
          <w:color w:val="000000" w:themeColor="text1"/>
          <w:sz w:val="22"/>
          <w:szCs w:val="22"/>
        </w:rPr>
        <w:tab/>
        <w:t xml:space="preserve">             Saldo Devedor das Debêntures</w:t>
      </w:r>
    </w:p>
    <w:p w14:paraId="08188092" w14:textId="77777777" w:rsidR="00D046CE" w:rsidRPr="00EF0CB9" w:rsidRDefault="00D046CE" w:rsidP="00D046CE">
      <w:pPr>
        <w:spacing w:line="320" w:lineRule="exact"/>
        <w:ind w:left="851"/>
        <w:rPr>
          <w:i/>
          <w:iCs/>
          <w:color w:val="000000" w:themeColor="text1"/>
          <w:sz w:val="22"/>
          <w:szCs w:val="22"/>
        </w:rPr>
      </w:pPr>
    </w:p>
    <w:p w14:paraId="08188093"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Onde</w:t>
      </w:r>
      <w:r w:rsidRPr="00EF0CB9">
        <w:rPr>
          <w:i/>
          <w:iCs/>
          <w:color w:val="000000" w:themeColor="text1"/>
          <w:sz w:val="22"/>
          <w:szCs w:val="22"/>
        </w:rPr>
        <w:t xml:space="preserve">: </w:t>
      </w:r>
    </w:p>
    <w:p w14:paraId="08188094" w14:textId="77777777" w:rsidR="00D046CE" w:rsidRPr="00EF0CB9" w:rsidRDefault="00D046CE" w:rsidP="00D046CE">
      <w:pPr>
        <w:pStyle w:val="PargrafodaLista"/>
        <w:spacing w:line="320" w:lineRule="exact"/>
        <w:ind w:left="851"/>
        <w:rPr>
          <w:i/>
          <w:iCs/>
          <w:color w:val="000000" w:themeColor="text1"/>
          <w:sz w:val="22"/>
          <w:szCs w:val="22"/>
        </w:rPr>
      </w:pPr>
    </w:p>
    <w:p w14:paraId="08188095" w14:textId="77777777" w:rsidR="00D046CE" w:rsidRPr="00EF0CB9" w:rsidRDefault="00D046CE" w:rsidP="00D046CE">
      <w:pPr>
        <w:pStyle w:val="PargrafodaLista"/>
        <w:spacing w:line="320" w:lineRule="exact"/>
        <w:ind w:left="851"/>
        <w:rPr>
          <w:i/>
          <w:iCs/>
          <w:color w:val="000000" w:themeColor="text1"/>
          <w:sz w:val="22"/>
          <w:szCs w:val="22"/>
        </w:rPr>
      </w:pPr>
    </w:p>
    <w:p w14:paraId="08188096"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Saldo Devedor das Debêntures</w:t>
      </w:r>
      <w:r w:rsidRPr="00EF0CB9">
        <w:rPr>
          <w:i/>
          <w:iCs/>
          <w:color w:val="000000" w:themeColor="text1"/>
          <w:sz w:val="22"/>
          <w:szCs w:val="22"/>
        </w:rPr>
        <w:t xml:space="preserve"> = correspondente ao saldo devedor das Debêntures, na data de cálculo. </w:t>
      </w:r>
    </w:p>
    <w:p w14:paraId="08188097" w14:textId="77777777" w:rsidR="00D046CE" w:rsidRPr="00EF0CB9" w:rsidRDefault="00D046CE" w:rsidP="00D046CE">
      <w:pPr>
        <w:pStyle w:val="PargrafodaLista"/>
        <w:spacing w:line="320" w:lineRule="exact"/>
        <w:ind w:left="851"/>
        <w:rPr>
          <w:i/>
          <w:iCs/>
          <w:color w:val="000000" w:themeColor="text1"/>
          <w:sz w:val="22"/>
          <w:szCs w:val="22"/>
        </w:rPr>
      </w:pPr>
    </w:p>
    <w:p w14:paraId="08188098"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u w:val="single"/>
        </w:rPr>
        <w:t>Valor dos Direitos Elegíveis</w:t>
      </w:r>
      <w:r w:rsidRPr="00EF0CB9">
        <w:rPr>
          <w:i/>
          <w:iCs/>
          <w:color w:val="000000" w:themeColor="text1"/>
          <w:sz w:val="22"/>
          <w:szCs w:val="22"/>
        </w:rPr>
        <w:t xml:space="preserve"> = corresponde ao somatório das parcelas não pagas ou a vencer dos contratos que: </w:t>
      </w:r>
    </w:p>
    <w:p w14:paraId="08188099"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rPr>
        <w:t>a) estejam em dia ou com atraso inferior a 120 (cento e vinte) dias</w:t>
      </w:r>
      <w:r w:rsidR="00481264">
        <w:rPr>
          <w:i/>
          <w:iCs/>
          <w:color w:val="000000" w:themeColor="text1"/>
          <w:sz w:val="22"/>
          <w:szCs w:val="22"/>
        </w:rPr>
        <w:t>; ou</w:t>
      </w:r>
    </w:p>
    <w:p w14:paraId="0818809A" w14:textId="77777777" w:rsidR="00D046CE" w:rsidRPr="00EF0CB9" w:rsidRDefault="00000000" w:rsidP="00D046CE">
      <w:pPr>
        <w:pStyle w:val="PargrafodaLista"/>
        <w:spacing w:line="320" w:lineRule="exact"/>
        <w:ind w:left="851"/>
        <w:rPr>
          <w:i/>
          <w:iCs/>
          <w:color w:val="000000" w:themeColor="text1"/>
          <w:sz w:val="22"/>
          <w:szCs w:val="22"/>
        </w:rPr>
      </w:pPr>
      <w:r w:rsidRPr="00EF0CB9">
        <w:rPr>
          <w:i/>
          <w:iCs/>
          <w:color w:val="000000" w:themeColor="text1"/>
          <w:sz w:val="22"/>
          <w:szCs w:val="22"/>
        </w:rPr>
        <w:t>b) estejam em fase de repasse”</w:t>
      </w:r>
    </w:p>
    <w:bookmarkEnd w:id="10"/>
    <w:p w14:paraId="0818809B" w14:textId="77777777" w:rsidR="000D6161" w:rsidRPr="00EF0CB9" w:rsidRDefault="000D6161" w:rsidP="00B75A22">
      <w:pPr>
        <w:pStyle w:val="PargrafodaLista"/>
        <w:spacing w:line="320" w:lineRule="exact"/>
        <w:ind w:left="851"/>
        <w:rPr>
          <w:color w:val="000000" w:themeColor="text1"/>
          <w:sz w:val="22"/>
          <w:highlight w:val="cyan"/>
        </w:rPr>
      </w:pPr>
    </w:p>
    <w:p w14:paraId="0818809C" w14:textId="77777777" w:rsidR="00044C9D" w:rsidRDefault="00000000" w:rsidP="00B75A22">
      <w:pPr>
        <w:pStyle w:val="Default"/>
        <w:numPr>
          <w:ilvl w:val="0"/>
          <w:numId w:val="8"/>
        </w:numPr>
        <w:spacing w:line="320" w:lineRule="exact"/>
        <w:ind w:left="0" w:firstLine="0"/>
        <w:jc w:val="both"/>
        <w:rPr>
          <w:rFonts w:ascii="Times New Roman" w:hAnsi="Times New Roman" w:cs="Times New Roman"/>
          <w:bCs/>
          <w:color w:val="000000" w:themeColor="text1"/>
          <w:sz w:val="22"/>
          <w:szCs w:val="22"/>
        </w:rPr>
      </w:pPr>
      <w:r w:rsidRPr="00EF0CB9">
        <w:rPr>
          <w:rFonts w:ascii="Times New Roman" w:hAnsi="Times New Roman" w:cs="Times New Roman"/>
          <w:bCs/>
          <w:color w:val="000000" w:themeColor="text1"/>
          <w:sz w:val="22"/>
          <w:szCs w:val="22"/>
        </w:rPr>
        <w:t xml:space="preserve">a alteração da lista de garantias que compõe o termo definido “Garantias” na Escritura de Emissão e no Termo de Securitização, tendo em vista a: </w:t>
      </w:r>
      <w:r w:rsidRPr="00EF0CB9">
        <w:rPr>
          <w:rFonts w:ascii="Times New Roman" w:hAnsi="Times New Roman" w:cs="Times New Roman"/>
          <w:b/>
          <w:color w:val="000000" w:themeColor="text1"/>
          <w:sz w:val="22"/>
          <w:szCs w:val="22"/>
        </w:rPr>
        <w:t>(iii.a)</w:t>
      </w:r>
      <w:r w:rsidRPr="00EF0CB9">
        <w:rPr>
          <w:rFonts w:ascii="Times New Roman" w:hAnsi="Times New Roman" w:cs="Times New Roman"/>
          <w:bCs/>
          <w:color w:val="000000" w:themeColor="text1"/>
          <w:sz w:val="22"/>
          <w:szCs w:val="22"/>
        </w:rPr>
        <w:t xml:space="preserve"> Baixa das Hipotecas; e </w:t>
      </w:r>
      <w:r w:rsidRPr="00EF0CB9">
        <w:rPr>
          <w:rFonts w:ascii="Times New Roman" w:hAnsi="Times New Roman" w:cs="Times New Roman"/>
          <w:b/>
          <w:color w:val="000000" w:themeColor="text1"/>
          <w:sz w:val="22"/>
          <w:szCs w:val="22"/>
        </w:rPr>
        <w:t>(iii.b)</w:t>
      </w:r>
      <w:r w:rsidRPr="00EF0CB9">
        <w:rPr>
          <w:rFonts w:ascii="Times New Roman" w:hAnsi="Times New Roman" w:cs="Times New Roman"/>
          <w:bCs/>
          <w:color w:val="000000" w:themeColor="text1"/>
          <w:sz w:val="22"/>
          <w:szCs w:val="22"/>
        </w:rPr>
        <w:t xml:space="preserve"> </w:t>
      </w:r>
      <w:r w:rsidR="007E3C89">
        <w:rPr>
          <w:rFonts w:ascii="Times New Roman" w:hAnsi="Times New Roman" w:cs="Times New Roman"/>
          <w:bCs/>
          <w:color w:val="000000" w:themeColor="text1"/>
          <w:sz w:val="22"/>
          <w:szCs w:val="22"/>
        </w:rPr>
        <w:t>c</w:t>
      </w:r>
      <w:r w:rsidRPr="00EF0CB9">
        <w:rPr>
          <w:rFonts w:ascii="Times New Roman" w:hAnsi="Times New Roman" w:cs="Times New Roman"/>
          <w:bCs/>
          <w:color w:val="000000" w:themeColor="text1"/>
          <w:sz w:val="22"/>
          <w:szCs w:val="22"/>
        </w:rPr>
        <w:t>onstituição d</w:t>
      </w:r>
      <w:r w:rsidR="007E3C89">
        <w:rPr>
          <w:rFonts w:ascii="Times New Roman" w:hAnsi="Times New Roman" w:cs="Times New Roman"/>
          <w:bCs/>
          <w:color w:val="000000" w:themeColor="text1"/>
          <w:sz w:val="22"/>
          <w:szCs w:val="22"/>
        </w:rPr>
        <w:t>a</w:t>
      </w:r>
      <w:r w:rsidRPr="00EF0CB9">
        <w:rPr>
          <w:rFonts w:ascii="Times New Roman" w:hAnsi="Times New Roman" w:cs="Times New Roman"/>
          <w:bCs/>
          <w:color w:val="000000" w:themeColor="text1"/>
          <w:sz w:val="22"/>
          <w:szCs w:val="22"/>
        </w:rPr>
        <w:t xml:space="preserve"> Alienação Fiduciária</w:t>
      </w:r>
      <w:r w:rsidR="007E3C89">
        <w:rPr>
          <w:rFonts w:ascii="Times New Roman" w:hAnsi="Times New Roman" w:cs="Times New Roman"/>
          <w:bCs/>
          <w:color w:val="000000" w:themeColor="text1"/>
          <w:sz w:val="22"/>
          <w:szCs w:val="22"/>
        </w:rPr>
        <w:t xml:space="preserve"> de Imóveis</w:t>
      </w:r>
      <w:r w:rsidRPr="00EF0CB9">
        <w:rPr>
          <w:rFonts w:ascii="Times New Roman" w:hAnsi="Times New Roman" w:cs="Times New Roman"/>
          <w:bCs/>
          <w:color w:val="000000" w:themeColor="text1"/>
          <w:sz w:val="22"/>
          <w:szCs w:val="22"/>
        </w:rPr>
        <w:t xml:space="preserve">, com a consequente alteração de determinadas </w:t>
      </w:r>
      <w:r w:rsidR="00B35AA7">
        <w:rPr>
          <w:rFonts w:ascii="Times New Roman" w:hAnsi="Times New Roman" w:cs="Times New Roman"/>
          <w:bCs/>
          <w:color w:val="000000" w:themeColor="text1"/>
          <w:sz w:val="22"/>
          <w:szCs w:val="22"/>
        </w:rPr>
        <w:t xml:space="preserve">definições e </w:t>
      </w:r>
      <w:r w:rsidRPr="00EF0CB9">
        <w:rPr>
          <w:rFonts w:ascii="Times New Roman" w:hAnsi="Times New Roman" w:cs="Times New Roman"/>
          <w:bCs/>
          <w:color w:val="000000" w:themeColor="text1"/>
          <w:sz w:val="22"/>
          <w:szCs w:val="22"/>
        </w:rPr>
        <w:t xml:space="preserve">cláusulas da Escritura de Emissão e do Termo de Securitização, </w:t>
      </w:r>
      <w:r w:rsidR="00D56AE7" w:rsidRPr="00EF0CB9">
        <w:rPr>
          <w:rFonts w:ascii="Times New Roman" w:hAnsi="Times New Roman" w:cs="Times New Roman"/>
          <w:bCs/>
          <w:color w:val="000000" w:themeColor="text1"/>
          <w:sz w:val="22"/>
          <w:szCs w:val="22"/>
        </w:rPr>
        <w:t xml:space="preserve">que passarão a vigorar com a redação constante do modelo do Aditamento à Escritura de Emissão e do Aditamento ao Termo de Securitização, na forma prevista nos </w:t>
      </w:r>
      <w:r w:rsidR="00D56AE7" w:rsidRPr="00EF0CB9">
        <w:rPr>
          <w:rFonts w:ascii="Times New Roman" w:hAnsi="Times New Roman" w:cs="Times New Roman"/>
          <w:b/>
          <w:color w:val="000000" w:themeColor="text1"/>
          <w:sz w:val="22"/>
          <w:szCs w:val="22"/>
          <w:u w:val="single"/>
        </w:rPr>
        <w:t>Anexos I</w:t>
      </w:r>
      <w:r w:rsidR="00B35AA7">
        <w:rPr>
          <w:rFonts w:ascii="Times New Roman" w:hAnsi="Times New Roman" w:cs="Times New Roman"/>
          <w:b/>
          <w:color w:val="000000" w:themeColor="text1"/>
          <w:sz w:val="22"/>
          <w:szCs w:val="22"/>
          <w:u w:val="single"/>
        </w:rPr>
        <w:t>V</w:t>
      </w:r>
      <w:r w:rsidR="00481264">
        <w:rPr>
          <w:rFonts w:ascii="Times New Roman" w:hAnsi="Times New Roman" w:cs="Times New Roman"/>
          <w:b/>
          <w:color w:val="000000" w:themeColor="text1"/>
          <w:sz w:val="22"/>
          <w:szCs w:val="22"/>
          <w:u w:val="single"/>
        </w:rPr>
        <w:t xml:space="preserve"> e V</w:t>
      </w:r>
      <w:r w:rsidR="00D56AE7" w:rsidRPr="00EF0CB9">
        <w:rPr>
          <w:rFonts w:ascii="Times New Roman" w:hAnsi="Times New Roman" w:cs="Times New Roman"/>
          <w:bCs/>
          <w:color w:val="000000" w:themeColor="text1"/>
          <w:sz w:val="22"/>
          <w:szCs w:val="22"/>
        </w:rPr>
        <w:t>, respectivamente, à presente ata</w:t>
      </w:r>
      <w:r w:rsidRPr="00EF0CB9">
        <w:rPr>
          <w:rFonts w:ascii="Times New Roman" w:hAnsi="Times New Roman" w:cs="Times New Roman"/>
          <w:bCs/>
          <w:color w:val="000000" w:themeColor="text1"/>
          <w:sz w:val="22"/>
          <w:szCs w:val="22"/>
        </w:rPr>
        <w:t>;</w:t>
      </w:r>
    </w:p>
    <w:p w14:paraId="0818809D" w14:textId="77777777" w:rsidR="00044C9D" w:rsidRDefault="00044C9D" w:rsidP="007B2EF8">
      <w:pPr>
        <w:pStyle w:val="Default"/>
        <w:spacing w:line="320" w:lineRule="exact"/>
        <w:jc w:val="both"/>
        <w:rPr>
          <w:rFonts w:ascii="Times New Roman" w:hAnsi="Times New Roman" w:cs="Times New Roman"/>
          <w:bCs/>
          <w:color w:val="000000" w:themeColor="text1"/>
          <w:sz w:val="22"/>
          <w:szCs w:val="22"/>
        </w:rPr>
      </w:pPr>
    </w:p>
    <w:p w14:paraId="0818809E" w14:textId="77777777" w:rsidR="00171351" w:rsidRPr="00FB4A37" w:rsidRDefault="00000000" w:rsidP="00B75A22">
      <w:pPr>
        <w:pStyle w:val="Default"/>
        <w:numPr>
          <w:ilvl w:val="0"/>
          <w:numId w:val="8"/>
        </w:numPr>
        <w:spacing w:line="320" w:lineRule="exact"/>
        <w:ind w:left="0" w:firstLine="0"/>
        <w:jc w:val="both"/>
        <w:rPr>
          <w:rFonts w:ascii="Times New Roman" w:hAnsi="Times New Roman" w:cs="Times New Roman"/>
          <w:bCs/>
          <w:color w:val="000000" w:themeColor="text1"/>
          <w:sz w:val="22"/>
          <w:szCs w:val="22"/>
        </w:rPr>
      </w:pPr>
      <w:r w:rsidRPr="00EF0CB9">
        <w:rPr>
          <w:rFonts w:ascii="Times New Roman" w:hAnsi="Times New Roman" w:cs="Times New Roman"/>
          <w:bCs/>
          <w:color w:val="000000" w:themeColor="text1"/>
          <w:sz w:val="22"/>
          <w:szCs w:val="22"/>
        </w:rPr>
        <w:t xml:space="preserve">a </w:t>
      </w:r>
      <w:r>
        <w:rPr>
          <w:rFonts w:ascii="Times New Roman" w:hAnsi="Times New Roman" w:cs="Times New Roman"/>
          <w:bCs/>
          <w:color w:val="000000" w:themeColor="text1"/>
          <w:sz w:val="22"/>
          <w:szCs w:val="22"/>
        </w:rPr>
        <w:t xml:space="preserve">alteração </w:t>
      </w:r>
      <w:r w:rsidRPr="007B2EF8">
        <w:rPr>
          <w:rFonts w:ascii="Times New Roman" w:hAnsi="Times New Roman" w:cs="Times New Roman"/>
          <w:b/>
          <w:color w:val="000000" w:themeColor="text1"/>
          <w:sz w:val="22"/>
          <w:szCs w:val="22"/>
        </w:rPr>
        <w:t>(iv.a)</w:t>
      </w:r>
      <w:r>
        <w:rPr>
          <w:rFonts w:ascii="Times New Roman" w:hAnsi="Times New Roman" w:cs="Times New Roman"/>
          <w:bCs/>
          <w:color w:val="000000" w:themeColor="text1"/>
          <w:sz w:val="22"/>
          <w:szCs w:val="22"/>
        </w:rPr>
        <w:t xml:space="preserve"> do termo definido “Documentos da Operação” constante do </w:t>
      </w:r>
      <w:r w:rsidRPr="007B2EF8">
        <w:rPr>
          <w:rFonts w:ascii="Times New Roman" w:hAnsi="Times New Roman" w:cs="Times New Roman"/>
          <w:bCs/>
          <w:color w:val="000000" w:themeColor="text1"/>
          <w:sz w:val="22"/>
          <w:szCs w:val="22"/>
        </w:rPr>
        <w:t xml:space="preserve">Contrato de Alienação Fiduciária de Ações e Quotas para refletir </w:t>
      </w:r>
      <w:r w:rsidRPr="00481264">
        <w:rPr>
          <w:rFonts w:ascii="Times New Roman" w:hAnsi="Times New Roman" w:cs="Times New Roman"/>
          <w:bCs/>
          <w:color w:val="000000" w:themeColor="text1"/>
          <w:sz w:val="22"/>
          <w:szCs w:val="22"/>
        </w:rPr>
        <w:t>a Baixa das Hipotecas e a constituição da Alienação Fiduciária de Imóveis</w:t>
      </w:r>
      <w:r w:rsidRPr="007B2EF8">
        <w:rPr>
          <w:rFonts w:ascii="Times New Roman" w:hAnsi="Times New Roman" w:cs="Times New Roman"/>
          <w:bCs/>
          <w:color w:val="000000" w:themeColor="text1"/>
          <w:sz w:val="22"/>
          <w:szCs w:val="22"/>
        </w:rPr>
        <w:t xml:space="preserve">; e </w:t>
      </w:r>
      <w:r w:rsidRPr="007B2EF8">
        <w:rPr>
          <w:rFonts w:ascii="Times New Roman" w:hAnsi="Times New Roman" w:cs="Times New Roman"/>
          <w:b/>
          <w:color w:val="000000" w:themeColor="text1"/>
          <w:sz w:val="22"/>
          <w:szCs w:val="22"/>
        </w:rPr>
        <w:t>(iv.b)</w:t>
      </w:r>
      <w:r w:rsidRPr="00481264">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Pr="00481264">
        <w:rPr>
          <w:rFonts w:ascii="Times New Roman" w:hAnsi="Times New Roman" w:cs="Times New Roman"/>
          <w:bCs/>
          <w:color w:val="000000" w:themeColor="text1"/>
          <w:sz w:val="22"/>
          <w:szCs w:val="22"/>
        </w:rPr>
        <w:t xml:space="preserve">brigação prevista na Cláusula 7.2, item “(xvi)” do Contrato de Alienação Fiduciária de Ações </w:t>
      </w:r>
      <w:r w:rsidRPr="007B2EF8">
        <w:rPr>
          <w:rFonts w:ascii="Times New Roman" w:hAnsi="Times New Roman" w:cs="Times New Roman"/>
          <w:bCs/>
          <w:color w:val="000000" w:themeColor="text1"/>
          <w:sz w:val="22"/>
          <w:szCs w:val="22"/>
        </w:rPr>
        <w:t>e Quotas, para prever a inclusão do Novo Índice Mínimo de Garantia</w:t>
      </w:r>
      <w:r w:rsidR="00B462CB" w:rsidRPr="007B2EF8">
        <w:rPr>
          <w:rFonts w:ascii="Times New Roman" w:hAnsi="Times New Roman" w:cs="Times New Roman"/>
          <w:bCs/>
          <w:color w:val="000000" w:themeColor="text1"/>
          <w:sz w:val="22"/>
          <w:szCs w:val="22"/>
        </w:rPr>
        <w:t xml:space="preserve">, </w:t>
      </w:r>
      <w:r w:rsidR="00B462CB" w:rsidRPr="00FB4A37">
        <w:rPr>
          <w:rFonts w:ascii="Times New Roman" w:hAnsi="Times New Roman" w:cs="Times New Roman"/>
          <w:bCs/>
          <w:color w:val="000000" w:themeColor="text1"/>
          <w:sz w:val="22"/>
          <w:szCs w:val="22"/>
        </w:rPr>
        <w:t xml:space="preserve">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IX</w:t>
      </w:r>
      <w:r w:rsidR="00B462CB" w:rsidRPr="00FB4A37">
        <w:rPr>
          <w:rFonts w:ascii="Times New Roman" w:hAnsi="Times New Roman" w:cs="Times New Roman"/>
          <w:bCs/>
          <w:color w:val="000000" w:themeColor="text1"/>
          <w:sz w:val="22"/>
          <w:szCs w:val="22"/>
        </w:rPr>
        <w:t xml:space="preserve"> à presente ata</w:t>
      </w:r>
      <w:r w:rsidRPr="00FB4A37">
        <w:rPr>
          <w:rFonts w:ascii="Times New Roman" w:hAnsi="Times New Roman" w:cs="Times New Roman"/>
          <w:bCs/>
          <w:color w:val="000000" w:themeColor="text1"/>
          <w:sz w:val="22"/>
          <w:szCs w:val="22"/>
        </w:rPr>
        <w:t>;</w:t>
      </w:r>
    </w:p>
    <w:p w14:paraId="0818809F" w14:textId="77777777" w:rsidR="000A6A35" w:rsidRPr="00FB4A37" w:rsidRDefault="000A6A35" w:rsidP="007B2EF8">
      <w:pPr>
        <w:pStyle w:val="PargrafodaLista"/>
        <w:rPr>
          <w:bCs/>
          <w:color w:val="000000" w:themeColor="text1"/>
          <w:sz w:val="22"/>
          <w:szCs w:val="22"/>
        </w:rPr>
      </w:pPr>
    </w:p>
    <w:p w14:paraId="081880A0" w14:textId="77777777" w:rsidR="000A6A35" w:rsidRDefault="00000000" w:rsidP="00B75A22">
      <w:pPr>
        <w:pStyle w:val="Default"/>
        <w:numPr>
          <w:ilvl w:val="0"/>
          <w:numId w:val="8"/>
        </w:numPr>
        <w:spacing w:line="320" w:lineRule="exact"/>
        <w:ind w:left="0" w:firstLine="0"/>
        <w:jc w:val="both"/>
        <w:rPr>
          <w:rFonts w:ascii="Times New Roman" w:hAnsi="Times New Roman" w:cs="Times New Roman"/>
          <w:bCs/>
          <w:color w:val="000000" w:themeColor="text1"/>
          <w:sz w:val="22"/>
          <w:szCs w:val="22"/>
        </w:rPr>
      </w:pPr>
      <w:r w:rsidRPr="00FB4A37">
        <w:rPr>
          <w:rFonts w:ascii="Times New Roman" w:hAnsi="Times New Roman" w:cs="Times New Roman"/>
          <w:bCs/>
          <w:color w:val="000000" w:themeColor="text1"/>
          <w:sz w:val="22"/>
          <w:szCs w:val="22"/>
        </w:rPr>
        <w:t xml:space="preserve">a alteração do termo definido “Documentos da Operação” constante do </w:t>
      </w:r>
      <w:r w:rsidRPr="007B2EF8">
        <w:rPr>
          <w:rFonts w:ascii="Times New Roman" w:hAnsi="Times New Roman" w:cs="Times New Roman"/>
          <w:bCs/>
          <w:color w:val="000000" w:themeColor="text1"/>
          <w:sz w:val="22"/>
          <w:szCs w:val="22"/>
        </w:rPr>
        <w:t xml:space="preserve">Contrato de Cessão Fiduciária para refletir </w:t>
      </w:r>
      <w:r w:rsidRPr="00FB4A37">
        <w:rPr>
          <w:rFonts w:ascii="Times New Roman" w:hAnsi="Times New Roman" w:cs="Times New Roman"/>
          <w:bCs/>
          <w:color w:val="000000" w:themeColor="text1"/>
          <w:sz w:val="22"/>
          <w:szCs w:val="22"/>
        </w:rPr>
        <w:t>a Baixa das Hipotecas e a constituição da Alienação Fiduciária de Imóveis</w:t>
      </w:r>
      <w:r w:rsidR="00B462CB" w:rsidRPr="00FB4A37">
        <w:rPr>
          <w:rFonts w:ascii="Times New Roman" w:hAnsi="Times New Roman" w:cs="Times New Roman"/>
          <w:bCs/>
          <w:color w:val="000000" w:themeColor="text1"/>
          <w:sz w:val="22"/>
          <w:szCs w:val="22"/>
        </w:rPr>
        <w:t xml:space="preserve">, 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X</w:t>
      </w:r>
      <w:r w:rsidR="00B462CB" w:rsidRPr="00EF0CB9">
        <w:rPr>
          <w:rFonts w:ascii="Times New Roman" w:hAnsi="Times New Roman" w:cs="Times New Roman"/>
          <w:bCs/>
          <w:color w:val="000000" w:themeColor="text1"/>
          <w:sz w:val="22"/>
          <w:szCs w:val="22"/>
        </w:rPr>
        <w:t xml:space="preserve"> à presente ata</w:t>
      </w:r>
      <w:r w:rsidRPr="00EF0CB9">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 xml:space="preserve"> e</w:t>
      </w:r>
    </w:p>
    <w:p w14:paraId="081880A1" w14:textId="77777777" w:rsidR="00CC2753" w:rsidRDefault="00CC2753" w:rsidP="007B2EF8">
      <w:pPr>
        <w:pStyle w:val="PargrafodaLista"/>
        <w:rPr>
          <w:bCs/>
          <w:color w:val="000000" w:themeColor="text1"/>
          <w:sz w:val="22"/>
          <w:szCs w:val="22"/>
        </w:rPr>
      </w:pPr>
    </w:p>
    <w:p w14:paraId="081880A2" w14:textId="77777777" w:rsidR="00CC2753" w:rsidRPr="00EF0CB9" w:rsidRDefault="00000000" w:rsidP="00B75A22">
      <w:pPr>
        <w:pStyle w:val="Default"/>
        <w:numPr>
          <w:ilvl w:val="0"/>
          <w:numId w:val="8"/>
        </w:numPr>
        <w:spacing w:line="320" w:lineRule="exact"/>
        <w:ind w:left="0" w:firstLine="0"/>
        <w:jc w:val="both"/>
        <w:rPr>
          <w:rFonts w:ascii="Times New Roman" w:hAnsi="Times New Roman" w:cs="Times New Roman"/>
          <w:bCs/>
          <w:color w:val="000000" w:themeColor="text1"/>
          <w:sz w:val="22"/>
          <w:szCs w:val="22"/>
        </w:rPr>
      </w:pPr>
      <w:r w:rsidRPr="00EF0CB9">
        <w:rPr>
          <w:rFonts w:ascii="Times New Roman" w:hAnsi="Times New Roman" w:cs="Times New Roman"/>
          <w:bCs/>
          <w:color w:val="000000" w:themeColor="text1"/>
          <w:sz w:val="22"/>
          <w:szCs w:val="22"/>
        </w:rPr>
        <w:t xml:space="preserve">a </w:t>
      </w:r>
      <w:r>
        <w:rPr>
          <w:rFonts w:ascii="Times New Roman" w:hAnsi="Times New Roman" w:cs="Times New Roman"/>
          <w:bCs/>
          <w:color w:val="000000" w:themeColor="text1"/>
          <w:sz w:val="22"/>
          <w:szCs w:val="22"/>
        </w:rPr>
        <w:t xml:space="preserve">alteração do termo definido “Hipotecas” constante </w:t>
      </w:r>
      <w:r w:rsidRPr="00481264">
        <w:rPr>
          <w:rFonts w:ascii="Times New Roman" w:hAnsi="Times New Roman" w:cs="Times New Roman"/>
          <w:bCs/>
          <w:color w:val="000000" w:themeColor="text1"/>
          <w:sz w:val="22"/>
          <w:szCs w:val="22"/>
        </w:rPr>
        <w:t xml:space="preserve">do </w:t>
      </w:r>
      <w:r w:rsidRPr="007B2EF8">
        <w:rPr>
          <w:rFonts w:ascii="Times New Roman" w:hAnsi="Times New Roman" w:cs="Times New Roman"/>
          <w:bCs/>
          <w:color w:val="000000" w:themeColor="text1"/>
          <w:sz w:val="22"/>
          <w:szCs w:val="22"/>
        </w:rPr>
        <w:t>Instrumento de Emissão de CCI para refletir</w:t>
      </w:r>
      <w:r>
        <w:rPr>
          <w:rFonts w:ascii="Times New Roman" w:hAnsi="Times New Roman" w:cs="Times New Roman"/>
          <w:bCs/>
          <w:color w:val="000000" w:themeColor="text1"/>
          <w:sz w:val="22"/>
          <w:szCs w:val="22"/>
          <w:u w:val="single"/>
        </w:rPr>
        <w:t xml:space="preserve"> </w:t>
      </w:r>
      <w:r w:rsidRPr="00EF0CB9">
        <w:rPr>
          <w:rFonts w:ascii="Times New Roman" w:hAnsi="Times New Roman" w:cs="Times New Roman"/>
          <w:bCs/>
          <w:color w:val="000000" w:themeColor="text1"/>
          <w:sz w:val="22"/>
          <w:szCs w:val="22"/>
        </w:rPr>
        <w:t>a</w:t>
      </w:r>
      <w:r>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Baixa das Hipotecas e </w:t>
      </w:r>
      <w:r>
        <w:rPr>
          <w:rFonts w:ascii="Times New Roman" w:hAnsi="Times New Roman" w:cs="Times New Roman"/>
          <w:bCs/>
          <w:color w:val="000000" w:themeColor="text1"/>
          <w:sz w:val="22"/>
          <w:szCs w:val="22"/>
        </w:rPr>
        <w:t>a c</w:t>
      </w:r>
      <w:r w:rsidRPr="00EF0CB9">
        <w:rPr>
          <w:rFonts w:ascii="Times New Roman" w:hAnsi="Times New Roman" w:cs="Times New Roman"/>
          <w:bCs/>
          <w:color w:val="000000" w:themeColor="text1"/>
          <w:sz w:val="22"/>
          <w:szCs w:val="22"/>
        </w:rPr>
        <w:t>onstituição d</w:t>
      </w:r>
      <w:r>
        <w:rPr>
          <w:rFonts w:ascii="Times New Roman" w:hAnsi="Times New Roman" w:cs="Times New Roman"/>
          <w:bCs/>
          <w:color w:val="000000" w:themeColor="text1"/>
          <w:sz w:val="22"/>
          <w:szCs w:val="22"/>
        </w:rPr>
        <w:t>a</w:t>
      </w:r>
      <w:r w:rsidRPr="00EF0CB9">
        <w:rPr>
          <w:rFonts w:ascii="Times New Roman" w:hAnsi="Times New Roman" w:cs="Times New Roman"/>
          <w:bCs/>
          <w:color w:val="000000" w:themeColor="text1"/>
          <w:sz w:val="22"/>
          <w:szCs w:val="22"/>
        </w:rPr>
        <w:t xml:space="preserve"> Alienação Fiduciária</w:t>
      </w:r>
      <w:r>
        <w:rPr>
          <w:rFonts w:ascii="Times New Roman" w:hAnsi="Times New Roman" w:cs="Times New Roman"/>
          <w:bCs/>
          <w:color w:val="000000" w:themeColor="text1"/>
          <w:sz w:val="22"/>
          <w:szCs w:val="22"/>
        </w:rPr>
        <w:t xml:space="preserve"> de Imóveis, </w:t>
      </w:r>
      <w:r w:rsidRPr="00EF0CB9">
        <w:rPr>
          <w:rFonts w:ascii="Times New Roman" w:hAnsi="Times New Roman" w:cs="Times New Roman"/>
          <w:bCs/>
          <w:color w:val="000000" w:themeColor="text1"/>
          <w:sz w:val="22"/>
          <w:szCs w:val="22"/>
        </w:rPr>
        <w:t xml:space="preserve">na forma prevista no </w:t>
      </w:r>
      <w:r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VI</w:t>
      </w:r>
      <w:r w:rsidRPr="00EF0CB9">
        <w:rPr>
          <w:rFonts w:ascii="Times New Roman" w:hAnsi="Times New Roman" w:cs="Times New Roman"/>
          <w:bCs/>
          <w:color w:val="000000" w:themeColor="text1"/>
          <w:sz w:val="22"/>
          <w:szCs w:val="22"/>
        </w:rPr>
        <w:t xml:space="preserve"> à presente ata</w:t>
      </w:r>
      <w:r>
        <w:rPr>
          <w:rFonts w:ascii="Times New Roman" w:hAnsi="Times New Roman" w:cs="Times New Roman"/>
          <w:bCs/>
          <w:color w:val="000000" w:themeColor="text1"/>
          <w:sz w:val="22"/>
          <w:szCs w:val="22"/>
        </w:rPr>
        <w:t>.</w:t>
      </w:r>
    </w:p>
    <w:p w14:paraId="081880A3" w14:textId="77777777" w:rsidR="00171351" w:rsidRPr="00EF0CB9" w:rsidRDefault="00171351" w:rsidP="00171351">
      <w:pPr>
        <w:pStyle w:val="Default"/>
        <w:spacing w:line="320" w:lineRule="exact"/>
        <w:jc w:val="both"/>
        <w:rPr>
          <w:rFonts w:ascii="Times New Roman" w:hAnsi="Times New Roman" w:cs="Times New Roman"/>
          <w:bCs/>
          <w:color w:val="000000" w:themeColor="text1"/>
          <w:sz w:val="22"/>
          <w:szCs w:val="22"/>
        </w:rPr>
      </w:pPr>
    </w:p>
    <w:p w14:paraId="081880A4" w14:textId="77777777" w:rsidR="005574D9" w:rsidRPr="008264D0" w:rsidRDefault="00000000" w:rsidP="002A27C3">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de CRI representando [●]% ([●] por cento) dos CRI em circulação no mercado, tendo sido registrados [●] ([●]) votos a favor, correspondente a [●]% ([●]) dos CRI em circulação no mercado, e [●] ([●]) votos contra representando [●]% ([●]) dos CRI em circulação no mercado, e nenhuma abstenção ao presente item, aprovaram a anuência prévia para a celebração entre a Novum, a </w:t>
      </w:r>
      <w:r w:rsidR="00D56AE7" w:rsidRPr="008264D0">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00AD071C" w:rsidRPr="008264D0">
        <w:rPr>
          <w:rFonts w:ascii="Times New Roman" w:hAnsi="Times New Roman" w:cs="Times New Roman"/>
          <w:color w:val="000000" w:themeColor="text1"/>
          <w:sz w:val="22"/>
          <w:szCs w:val="22"/>
        </w:rPr>
        <w:t xml:space="preserve">a </w:t>
      </w:r>
      <w:r w:rsidR="00AD071C" w:rsidRPr="008264D0">
        <w:rPr>
          <w:rFonts w:ascii="Times New Roman" w:hAnsi="Times New Roman" w:cs="Times New Roman"/>
          <w:color w:val="000000" w:themeColor="text1"/>
          <w:sz w:val="22"/>
          <w:szCs w:val="22"/>
        </w:rPr>
        <w:lastRenderedPageBreak/>
        <w:t xml:space="preserve">I610 Antonieta SPE – Empreendimentos Imobiliários Ltda. (CNPJ/ME sob o nº </w:t>
      </w:r>
      <w:r w:rsidR="00AD071C" w:rsidRPr="008264D0">
        <w:rPr>
          <w:rFonts w:ascii="Times New Roman" w:hAnsi="Times New Roman"/>
          <w:color w:val="000000" w:themeColor="text1"/>
          <w:sz w:val="22"/>
          <w:szCs w:val="22"/>
        </w:rPr>
        <w:t>34.425.708/0001-06) (“</w:t>
      </w:r>
      <w:r w:rsidR="00AD071C" w:rsidRPr="008264D0">
        <w:rPr>
          <w:rFonts w:ascii="Times New Roman" w:hAnsi="Times New Roman" w:cs="Times New Roman"/>
          <w:color w:val="000000" w:themeColor="text1"/>
          <w:sz w:val="22"/>
          <w:szCs w:val="22"/>
          <w:u w:val="single"/>
        </w:rPr>
        <w:t>I610 Antonieta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Gafisa SPE-128 Empreendimentos Imobiliários Ltda. (CNPJ/ME sob o nº 12.707.231/0001-19) (“</w:t>
      </w:r>
      <w:r w:rsidR="00AD071C" w:rsidRPr="008264D0">
        <w:rPr>
          <w:rFonts w:ascii="Times New Roman" w:hAnsi="Times New Roman"/>
          <w:color w:val="000000" w:themeColor="text1"/>
          <w:sz w:val="22"/>
          <w:szCs w:val="22"/>
          <w:u w:val="single"/>
        </w:rPr>
        <w:t>SPE-128</w:t>
      </w:r>
      <w:r w:rsidR="00AD071C" w:rsidRPr="008264D0">
        <w:rPr>
          <w:rFonts w:ascii="Times New Roman" w:hAnsi="Times New Roman"/>
          <w:color w:val="000000" w:themeColor="text1"/>
          <w:sz w:val="22"/>
          <w:szCs w:val="22"/>
        </w:rPr>
        <w:t>”), a I490 Afonso de Freitas SPE - Empreendimentos Imobiliários Ltda. (CNPJ/ME sob o nº 34.425.733/0001-90) (“</w:t>
      </w:r>
      <w:r w:rsidR="00AD071C" w:rsidRPr="008264D0">
        <w:rPr>
          <w:rFonts w:ascii="Times New Roman" w:hAnsi="Times New Roman" w:cs="Times New Roman"/>
          <w:color w:val="000000" w:themeColor="text1"/>
          <w:sz w:val="22"/>
          <w:szCs w:val="22"/>
          <w:u w:val="single"/>
        </w:rPr>
        <w:t>I490 Afonso de Freitas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I950 Tuiuti SPE – Empreendimentos Imobiliários Ltda. (CNPJ/ME sob o nº 34.425.337/0001-62) (“</w:t>
      </w:r>
      <w:r w:rsidR="00AD071C" w:rsidRPr="008264D0">
        <w:rPr>
          <w:rFonts w:ascii="Times New Roman" w:hAnsi="Times New Roman" w:cs="Times New Roman"/>
          <w:color w:val="000000" w:themeColor="text1"/>
          <w:sz w:val="22"/>
          <w:szCs w:val="22"/>
          <w:u w:val="single"/>
        </w:rPr>
        <w:t>I950 Tuiuti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I230 Coronel Mursa SPE – Empreendimentos Imobiliários Ltda. (CNPJ/ME sob o nº 34.425.758/0001-93) (“</w:t>
      </w:r>
      <w:r w:rsidR="00AD071C" w:rsidRPr="008264D0">
        <w:rPr>
          <w:rFonts w:ascii="Times New Roman" w:hAnsi="Times New Roman" w:cs="Times New Roman"/>
          <w:color w:val="000000" w:themeColor="text1"/>
          <w:sz w:val="22"/>
          <w:szCs w:val="22"/>
          <w:u w:val="single"/>
        </w:rPr>
        <w:t>I230 Coronel Mursa</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I240 Serra de Jaire SPE – Empreendimentos Imobiliários Ltda. (CNPJ/ME sob o nº 34.425.790/0001-79) (“</w:t>
      </w:r>
      <w:r w:rsidR="00AD071C" w:rsidRPr="008264D0">
        <w:rPr>
          <w:rFonts w:ascii="Times New Roman" w:hAnsi="Times New Roman" w:cs="Times New Roman"/>
          <w:color w:val="000000" w:themeColor="text1"/>
          <w:sz w:val="22"/>
          <w:szCs w:val="22"/>
          <w:u w:val="single"/>
        </w:rPr>
        <w:t>I240 Serra de Jaire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SPE Parque Ecoville Empreendimentos Imobiliários Ltda. (CNPJ/ME sob o nº 09.072.524/0001-62) (“</w:t>
      </w:r>
      <w:r w:rsidR="00AD071C" w:rsidRPr="008264D0">
        <w:rPr>
          <w:rFonts w:ascii="Times New Roman" w:hAnsi="Times New Roman" w:cs="Times New Roman"/>
          <w:color w:val="000000" w:themeColor="text1"/>
          <w:sz w:val="22"/>
          <w:szCs w:val="22"/>
          <w:u w:val="single"/>
        </w:rPr>
        <w:t>SPE Parque Ecoville</w:t>
      </w:r>
      <w:r w:rsidR="00AD071C" w:rsidRPr="008264D0">
        <w:rPr>
          <w:rFonts w:ascii="Times New Roman" w:hAnsi="Times New Roman" w:cs="Times New Roman"/>
          <w:color w:val="000000" w:themeColor="text1"/>
          <w:sz w:val="22"/>
          <w:szCs w:val="22"/>
        </w:rPr>
        <w:t>”, e, em conjunto com I610 Antonieta SPE, a SPE-128, a I490 Afonso de Freitas, a I950 Tuiuti SPE, a I230 Coronel Mursa, a I240 Serra de Jaire, as “</w:t>
      </w:r>
      <w:r w:rsidR="00AD071C" w:rsidRPr="008264D0">
        <w:rPr>
          <w:rFonts w:ascii="Times New Roman" w:hAnsi="Times New Roman" w:cs="Times New Roman"/>
          <w:color w:val="000000" w:themeColor="text1"/>
          <w:sz w:val="22"/>
          <w:szCs w:val="22"/>
          <w:u w:val="single"/>
        </w:rPr>
        <w:t>Desenvolvedoras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xml:space="preserve">, de </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Instrumentos Particulares de Alienação Fiduciária em Garantia de Bens Imóveis</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14:paraId="081880A5" w14:textId="77777777" w:rsidR="000D6161" w:rsidRPr="00EF0CB9" w:rsidRDefault="000D6161" w:rsidP="00B75A22">
      <w:pPr>
        <w:pStyle w:val="Default"/>
        <w:spacing w:line="320" w:lineRule="exact"/>
        <w:jc w:val="both"/>
        <w:rPr>
          <w:rFonts w:ascii="Times New Roman" w:hAnsi="Times New Roman" w:cs="Times New Roman"/>
          <w:color w:val="000000" w:themeColor="text1"/>
          <w:sz w:val="22"/>
          <w:szCs w:val="22"/>
        </w:rPr>
      </w:pPr>
    </w:p>
    <w:p w14:paraId="081880A6" w14:textId="77777777" w:rsidR="001E00E0" w:rsidRPr="00EF0CB9" w:rsidRDefault="00000000" w:rsidP="001E00E0">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Os Titulares de CRI representando [●]% ([●] por cento) dos CRI em circulação no mercado, tendo sido registrados [●] ([●]) votos a favor, correspondente a [●]% ([●]) dos CRI em circulação no mercado, e [●] ([●]) votos contra representando [●]% ([●]) dos CRI em circulação no mercado, e nenhuma abstenção ao presente item, aprovaram a a</w:t>
      </w:r>
      <w:r w:rsidRPr="00EF0CB9">
        <w:rPr>
          <w:rFonts w:ascii="Times New Roman" w:hAnsi="Times New Roman" w:cs="Times New Roman"/>
          <w:bCs/>
          <w:color w:val="000000" w:themeColor="text1"/>
          <w:sz w:val="22"/>
          <w:szCs w:val="22"/>
        </w:rPr>
        <w:t>utorização à Emissora, em conjunto com o Agente Fiduciário, para a realização de todos os atos e celebração de todos os documentos necessários à implementação das deliberações aprovadas nos itens 6.1 e 6.2 acima, incluindo, mas não se limitando à</w:t>
      </w:r>
      <w:r w:rsidR="00841F7E"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 </w:t>
      </w:r>
    </w:p>
    <w:p w14:paraId="081880A7" w14:textId="77777777" w:rsidR="00242C75" w:rsidRPr="00EF0CB9" w:rsidRDefault="00242C75" w:rsidP="00242C75">
      <w:pPr>
        <w:pStyle w:val="PargrafodaLista"/>
        <w:rPr>
          <w:color w:val="000000" w:themeColor="text1"/>
          <w:sz w:val="22"/>
          <w:szCs w:val="22"/>
        </w:rPr>
      </w:pPr>
    </w:p>
    <w:p w14:paraId="081880A8" w14:textId="77777777" w:rsidR="00242C75" w:rsidRPr="00EF0CB9" w:rsidRDefault="00000000"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do aditamento ao “</w:t>
      </w:r>
      <w:r w:rsidRPr="00EF0CB9">
        <w:rPr>
          <w:rFonts w:ascii="Times New Roman" w:hAnsi="Times New Roman" w:cs="Times New Roman"/>
          <w:bCs/>
          <w:i/>
          <w:iCs/>
          <w:color w:val="000000" w:themeColor="text1"/>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EF0CB9">
        <w:rPr>
          <w:rFonts w:ascii="Times New Roman" w:hAnsi="Times New Roman" w:cs="Times New Roman"/>
          <w:bCs/>
          <w:color w:val="000000" w:themeColor="text1"/>
          <w:sz w:val="22"/>
          <w:szCs w:val="22"/>
        </w:rPr>
        <w:t>, celebrado entre a Novum</w:t>
      </w:r>
      <w:r w:rsidRPr="00EF0CB9">
        <w:rPr>
          <w:rFonts w:ascii="Times New Roman" w:hAnsi="Times New Roman" w:cs="Times New Roman"/>
          <w:color w:val="000000" w:themeColor="text1"/>
          <w:sz w:val="22"/>
          <w:szCs w:val="22"/>
        </w:rPr>
        <w:t xml:space="preserve">, na qualidade de emissora de debêntures, a </w:t>
      </w:r>
      <w:r w:rsidR="00D56AE7" w:rsidRPr="00EF0CB9">
        <w:rPr>
          <w:rFonts w:ascii="Times New Roman" w:hAnsi="Times New Roman" w:cs="Times New Roman"/>
          <w:color w:val="000000" w:themeColor="text1"/>
          <w:sz w:val="22"/>
          <w:szCs w:val="22"/>
        </w:rPr>
        <w:t>Fiadora</w:t>
      </w:r>
      <w:r w:rsidRPr="00EF0CB9">
        <w:rPr>
          <w:rFonts w:ascii="Times New Roman" w:hAnsi="Times New Roman" w:cs="Times New Roman"/>
          <w:color w:val="000000" w:themeColor="text1"/>
          <w:sz w:val="22"/>
          <w:szCs w:val="22"/>
        </w:rPr>
        <w:t xml:space="preserve">, na qualidade de fiadora, e o Agente Fiduciário, na qualidade de interveniente anuente, </w:t>
      </w:r>
      <w:r w:rsidRPr="00EF0CB9">
        <w:rPr>
          <w:rFonts w:ascii="Times New Roman" w:hAnsi="Times New Roman" w:cs="Times New Roman"/>
          <w:bCs/>
          <w:color w:val="000000" w:themeColor="text1"/>
          <w:sz w:val="22"/>
          <w:szCs w:val="22"/>
        </w:rPr>
        <w:t xml:space="preserve">em 15 de setembro de 2020, </w:t>
      </w:r>
      <w:r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u w:val="single"/>
        </w:rPr>
        <w:t>Escritura de Emissão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Cs/>
          <w:color w:val="000000" w:themeColor="text1"/>
          <w:sz w:val="22"/>
          <w:szCs w:val="22"/>
        </w:rPr>
        <w:t xml:space="preserve">nos termos da minuta prevista no </w:t>
      </w:r>
      <w:r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Pr="00EF0CB9">
        <w:rPr>
          <w:rFonts w:ascii="Times New Roman" w:hAnsi="Times New Roman" w:cs="Times New Roman"/>
          <w:bCs/>
          <w:color w:val="000000" w:themeColor="text1"/>
          <w:sz w:val="22"/>
          <w:szCs w:val="22"/>
        </w:rPr>
        <w:t xml:space="preserve"> à presente ata (“</w:t>
      </w:r>
      <w:r w:rsidRPr="00EF0CB9">
        <w:rPr>
          <w:rFonts w:ascii="Times New Roman" w:hAnsi="Times New Roman" w:cs="Times New Roman"/>
          <w:bCs/>
          <w:color w:val="000000" w:themeColor="text1"/>
          <w:sz w:val="22"/>
          <w:szCs w:val="22"/>
          <w:u w:val="single"/>
        </w:rPr>
        <w:t>Aditamento à Escritura de Emissão</w:t>
      </w:r>
      <w:r w:rsidRPr="00EF0CB9">
        <w:rPr>
          <w:rFonts w:ascii="Times New Roman" w:hAnsi="Times New Roman" w:cs="Times New Roman"/>
          <w:bCs/>
          <w:color w:val="000000" w:themeColor="text1"/>
          <w:sz w:val="22"/>
          <w:szCs w:val="22"/>
        </w:rPr>
        <w:t>”);</w:t>
      </w:r>
    </w:p>
    <w:p w14:paraId="081880A9" w14:textId="77777777" w:rsidR="00242C75" w:rsidRPr="00EF0CB9" w:rsidRDefault="00242C75" w:rsidP="00242C75">
      <w:pPr>
        <w:pStyle w:val="Default"/>
        <w:spacing w:line="320" w:lineRule="exact"/>
        <w:jc w:val="both"/>
        <w:rPr>
          <w:rFonts w:ascii="Times New Roman" w:hAnsi="Times New Roman" w:cs="Times New Roman"/>
          <w:color w:val="000000" w:themeColor="text1"/>
          <w:sz w:val="22"/>
          <w:szCs w:val="22"/>
        </w:rPr>
      </w:pPr>
    </w:p>
    <w:p w14:paraId="081880AA" w14:textId="77777777" w:rsidR="00242C75" w:rsidRPr="00EF0CB9" w:rsidRDefault="00000000"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do aditamento ao Termo de Securitização, </w:t>
      </w:r>
      <w:r w:rsidRPr="00EF0CB9">
        <w:rPr>
          <w:rFonts w:ascii="Times New Roman" w:hAnsi="Times New Roman" w:cs="Times New Roman"/>
          <w:bCs/>
          <w:color w:val="000000" w:themeColor="text1"/>
          <w:sz w:val="22"/>
          <w:szCs w:val="22"/>
        </w:rPr>
        <w:t xml:space="preserve">nos termos da minuta prevista no </w:t>
      </w:r>
      <w:r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00CC2753"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à presente ata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Aditamento ao Termo de Securitização</w:t>
      </w:r>
      <w:r w:rsidRPr="00EF0CB9">
        <w:rPr>
          <w:rFonts w:ascii="Times New Roman" w:hAnsi="Times New Roman" w:cs="Times New Roman"/>
          <w:color w:val="000000" w:themeColor="text1"/>
          <w:sz w:val="22"/>
          <w:szCs w:val="22"/>
        </w:rPr>
        <w:t>”);</w:t>
      </w:r>
    </w:p>
    <w:p w14:paraId="081880AB" w14:textId="77777777" w:rsidR="00242C75" w:rsidRPr="00EF0CB9" w:rsidRDefault="00242C75" w:rsidP="00242C75">
      <w:pPr>
        <w:pStyle w:val="PargrafodaLista"/>
        <w:rPr>
          <w:color w:val="000000" w:themeColor="text1"/>
          <w:sz w:val="22"/>
          <w:szCs w:val="22"/>
        </w:rPr>
      </w:pPr>
    </w:p>
    <w:p w14:paraId="081880AC" w14:textId="77777777" w:rsidR="00242C75" w:rsidRPr="00EF0CB9" w:rsidRDefault="00000000"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do aditamento ao “</w:t>
      </w:r>
      <w:r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Pr="00EF0CB9">
        <w:rPr>
          <w:rFonts w:ascii="Times New Roman" w:hAnsi="Times New Roman" w:cs="Times New Roman"/>
          <w:color w:val="000000" w:themeColor="text1"/>
          <w:sz w:val="22"/>
          <w:szCs w:val="22"/>
        </w:rPr>
        <w:t xml:space="preserve">sem </w:t>
      </w:r>
      <w:r w:rsidRPr="00EF0CB9">
        <w:rPr>
          <w:rFonts w:ascii="Times New Roman" w:hAnsi="Times New Roman" w:cs="Times New Roman"/>
          <w:i/>
          <w:color w:val="000000" w:themeColor="text1"/>
          <w:sz w:val="22"/>
          <w:szCs w:val="22"/>
        </w:rPr>
        <w:t>Garantia Real, sob a Forma Escritural”</w:t>
      </w:r>
      <w:r w:rsidRPr="00EF0CB9">
        <w:rPr>
          <w:rFonts w:ascii="Times New Roman" w:hAnsi="Times New Roman" w:cs="Times New Roman"/>
          <w:iCs/>
          <w:color w:val="000000" w:themeColor="text1"/>
          <w:sz w:val="22"/>
          <w:szCs w:val="22"/>
        </w:rPr>
        <w:t>, datado de [</w:t>
      </w:r>
      <w:r w:rsidRPr="00EF0CB9">
        <w:rPr>
          <w:rFonts w:ascii="Times New Roman" w:hAnsi="Times New Roman" w:cs="Times New Roman"/>
          <w:iCs/>
          <w:color w:val="000000" w:themeColor="text1"/>
          <w:sz w:val="22"/>
          <w:szCs w:val="22"/>
          <w:highlight w:val="yellow"/>
        </w:rPr>
        <w:t>10 de setembro de 2020</w:t>
      </w:r>
      <w:r w:rsidRPr="00EF0CB9">
        <w:rPr>
          <w:rFonts w:ascii="Times New Roman" w:hAnsi="Times New Roman" w:cs="Times New Roman"/>
          <w:iCs/>
          <w:color w:val="000000" w:themeColor="text1"/>
          <w:sz w:val="22"/>
          <w:szCs w:val="22"/>
        </w:rPr>
        <w:t>], celebrado entre a Emissora e o Agente Fiduciário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u w:val="single"/>
        </w:rPr>
        <w:t>Instrumento de Emissão de CCI</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Cs/>
          <w:color w:val="000000" w:themeColor="text1"/>
          <w:sz w:val="22"/>
          <w:szCs w:val="22"/>
        </w:rPr>
        <w:t xml:space="preserve">nos termos da minuta prevista 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Aditamento ao Instrumento de Emissão de CCI</w:t>
      </w:r>
      <w:r w:rsidRPr="00EF0CB9">
        <w:rPr>
          <w:rFonts w:ascii="Times New Roman" w:hAnsi="Times New Roman" w:cs="Times New Roman"/>
          <w:color w:val="000000" w:themeColor="text1"/>
          <w:sz w:val="22"/>
          <w:szCs w:val="22"/>
        </w:rPr>
        <w:t>”);</w:t>
      </w:r>
    </w:p>
    <w:p w14:paraId="081880AD" w14:textId="77777777" w:rsidR="00A23681" w:rsidRPr="00EF0CB9" w:rsidRDefault="00A23681" w:rsidP="00A23681">
      <w:pPr>
        <w:pStyle w:val="Default"/>
        <w:spacing w:line="320" w:lineRule="exact"/>
        <w:ind w:left="720"/>
        <w:jc w:val="both"/>
        <w:rPr>
          <w:rFonts w:ascii="Times New Roman" w:hAnsi="Times New Roman" w:cs="Times New Roman"/>
          <w:bCs/>
          <w:color w:val="000000" w:themeColor="text1"/>
          <w:sz w:val="22"/>
          <w:szCs w:val="22"/>
        </w:rPr>
      </w:pPr>
    </w:p>
    <w:p w14:paraId="081880AE" w14:textId="77777777" w:rsidR="003B09E9" w:rsidRPr="00EF0CB9" w:rsidRDefault="00000000" w:rsidP="003B09E9">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r w:rsidRPr="00EF0CB9">
        <w:rPr>
          <w:rFonts w:ascii="Times New Roman" w:hAnsi="Times New Roman" w:cs="Times New Roman"/>
          <w:bCs/>
          <w:color w:val="000000" w:themeColor="text1"/>
          <w:sz w:val="22"/>
          <w:szCs w:val="22"/>
        </w:rPr>
        <w:lastRenderedPageBreak/>
        <w:t xml:space="preserve">do </w:t>
      </w:r>
      <w:r w:rsidRPr="00EF0CB9">
        <w:rPr>
          <w:rFonts w:ascii="Times New Roman" w:hAnsi="Times New Roman" w:cs="Times New Roman"/>
          <w:b/>
          <w:color w:val="000000" w:themeColor="text1"/>
          <w:sz w:val="22"/>
          <w:szCs w:val="22"/>
        </w:rPr>
        <w:t xml:space="preserve">(iv.a)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de determinadas unidades integrantes do </w:t>
      </w:r>
      <w:r w:rsidR="001A26B5" w:rsidRPr="00EF0CB9">
        <w:rPr>
          <w:rFonts w:ascii="Times New Roman" w:hAnsi="Times New Roman"/>
          <w:bCs/>
          <w:color w:val="000000" w:themeColor="text1"/>
          <w:sz w:val="22"/>
          <w:szCs w:val="22"/>
        </w:rPr>
        <w:t>empreendimento denominado “</w:t>
      </w:r>
      <w:r w:rsidR="001A26B5" w:rsidRPr="00EF0CB9">
        <w:rPr>
          <w:rFonts w:ascii="Times New Roman" w:hAnsi="Times New Roman"/>
          <w:bCs/>
          <w:i/>
          <w:iCs/>
          <w:color w:val="000000" w:themeColor="text1"/>
          <w:sz w:val="22"/>
          <w:szCs w:val="22"/>
        </w:rPr>
        <w:t>Moov Parque Maia</w:t>
      </w:r>
      <w:r w:rsidR="001A26B5" w:rsidRPr="00EF0CB9">
        <w:rPr>
          <w:rFonts w:ascii="Times New Roman" w:hAnsi="Times New Roman"/>
          <w:bCs/>
          <w:color w:val="000000" w:themeColor="text1"/>
          <w:sz w:val="22"/>
          <w:szCs w:val="22"/>
        </w:rPr>
        <w:t>”, em desenvolvimento pela I610 Antonieta SPE</w:t>
      </w:r>
      <w:r w:rsidR="00D56AE7" w:rsidRPr="00EF0CB9">
        <w:rPr>
          <w:rFonts w:ascii="Times New Roman" w:hAnsi="Times New Roman"/>
          <w:bCs/>
          <w:color w:val="000000" w:themeColor="text1"/>
          <w:sz w:val="22"/>
          <w:szCs w:val="22"/>
        </w:rPr>
        <w:t xml:space="preserve"> (“</w:t>
      </w:r>
      <w:r w:rsidR="00D56AE7" w:rsidRPr="00EF0CB9">
        <w:rPr>
          <w:rFonts w:ascii="Times New Roman" w:hAnsi="Times New Roman"/>
          <w:bCs/>
          <w:color w:val="000000" w:themeColor="text1"/>
          <w:sz w:val="22"/>
          <w:szCs w:val="22"/>
          <w:u w:val="single"/>
        </w:rPr>
        <w:t>Moov Parque Maia</w:t>
      </w:r>
      <w:r w:rsidR="00D56AE7" w:rsidRPr="00EF0CB9">
        <w:rPr>
          <w:rFonts w:ascii="Times New Roman" w:hAnsi="Times New Roman"/>
          <w:bCs/>
          <w:color w:val="000000" w:themeColor="text1"/>
          <w:sz w:val="22"/>
          <w:szCs w:val="22"/>
        </w:rPr>
        <w:t>”)</w:t>
      </w:r>
      <w:r w:rsidRPr="00EF0CB9">
        <w:rPr>
          <w:rFonts w:ascii="Times New Roman" w:hAnsi="Times New Roman"/>
          <w:bCs/>
          <w:color w:val="000000" w:themeColor="text1"/>
          <w:sz w:val="22"/>
          <w:szCs w:val="22"/>
        </w:rPr>
        <w:t>, o qual encontra-se em processo de registro no 2º Oficial de Registro de Imóveis, Títulos e Documentos e Civil de Pessoa Jurídica de Guarulhos, conforme protocolo nº </w:t>
      </w:r>
      <w:r w:rsidRPr="00EF0CB9">
        <w:rPr>
          <w:rFonts w:ascii="Times New Roman" w:hAnsi="Times New Roman"/>
          <w:bCs/>
          <w:color w:val="000000" w:themeColor="text1"/>
          <w:sz w:val="22"/>
          <w:szCs w:val="22"/>
          <w:highlight w:val="yellow"/>
        </w:rPr>
        <w:t>[●]</w:t>
      </w:r>
      <w:r w:rsidRPr="00EF0CB9">
        <w:rPr>
          <w:rFonts w:ascii="Times New Roman" w:hAnsi="Times New Roman"/>
          <w:bCs/>
          <w:color w:val="000000" w:themeColor="text1"/>
          <w:sz w:val="22"/>
          <w:szCs w:val="22"/>
        </w:rPr>
        <w:t xml:space="preserve">, de </w:t>
      </w:r>
      <w:r w:rsidRPr="00EF0CB9">
        <w:rPr>
          <w:rFonts w:ascii="Times New Roman" w:hAnsi="Times New Roman"/>
          <w:bCs/>
          <w:color w:val="000000" w:themeColor="text1"/>
          <w:sz w:val="22"/>
          <w:szCs w:val="22"/>
          <w:highlight w:val="yellow"/>
        </w:rPr>
        <w:t>[●]</w:t>
      </w:r>
      <w:r w:rsidRPr="00EF0CB9">
        <w:rPr>
          <w:rFonts w:ascii="Times New Roman" w:hAnsi="Times New Roman"/>
          <w:bCs/>
          <w:color w:val="000000" w:themeColor="text1"/>
          <w:sz w:val="22"/>
          <w:szCs w:val="22"/>
        </w:rPr>
        <w:t xml:space="preserve"> de </w:t>
      </w:r>
      <w:r w:rsidRPr="00EF0CB9">
        <w:rPr>
          <w:rFonts w:ascii="Times New Roman" w:hAnsi="Times New Roman"/>
          <w:bCs/>
          <w:color w:val="000000" w:themeColor="text1"/>
          <w:sz w:val="22"/>
          <w:szCs w:val="22"/>
          <w:highlight w:val="yellow"/>
        </w:rPr>
        <w:t>[●]</w:t>
      </w:r>
      <w:r w:rsidRPr="00EF0CB9">
        <w:rPr>
          <w:rFonts w:ascii="Times New Roman" w:hAnsi="Times New Roman"/>
          <w:bCs/>
          <w:color w:val="000000" w:themeColor="text1"/>
          <w:sz w:val="22"/>
          <w:szCs w:val="22"/>
        </w:rPr>
        <w:t xml:space="preserve"> de 2022; </w:t>
      </w:r>
      <w:r w:rsidR="00C526FA" w:rsidRPr="00EF0CB9">
        <w:rPr>
          <w:rFonts w:ascii="Times New Roman" w:hAnsi="Times New Roman" w:cs="Times New Roman"/>
          <w:b/>
          <w:color w:val="000000" w:themeColor="text1"/>
          <w:sz w:val="22"/>
          <w:szCs w:val="22"/>
        </w:rPr>
        <w:t>(iv.b)</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de determinadas unidades integrantes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Belvedere Lorian Boulevard</w:t>
      </w:r>
      <w:r w:rsidR="001A26B5" w:rsidRPr="00EF0CB9">
        <w:rPr>
          <w:rFonts w:ascii="Times New Roman" w:hAnsi="Times New Roman"/>
          <w:color w:val="000000" w:themeColor="text1"/>
          <w:sz w:val="22"/>
          <w:szCs w:val="22"/>
        </w:rPr>
        <w:t>”, em desenvolvimento pela SPE-128</w:t>
      </w:r>
      <w:r w:rsidR="00D56AE7"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u w:val="single"/>
        </w:rPr>
        <w:t>Belvedere Lorian Boulevard</w:t>
      </w:r>
      <w:r w:rsidR="00D56AE7" w:rsidRPr="00EF0CB9">
        <w:rPr>
          <w:rFonts w:ascii="Times New Roman" w:hAnsi="Times New Roman"/>
          <w:color w:val="000000" w:themeColor="text1"/>
          <w:sz w:val="22"/>
          <w:szCs w:val="22"/>
        </w:rPr>
        <w:t>”)</w:t>
      </w:r>
      <w:r w:rsidR="00C526FA" w:rsidRPr="00EF0CB9">
        <w:rPr>
          <w:rFonts w:ascii="Times New Roman" w:hAnsi="Times New Roman"/>
          <w:bCs/>
          <w:color w:val="000000" w:themeColor="text1"/>
          <w:sz w:val="22"/>
          <w:szCs w:val="22"/>
        </w:rPr>
        <w:t>, o qual encontra-se em processo de registro no 1º Oficial de Registro de Imóveis de Osasco, conforme protocolo nº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2022;</w:t>
      </w:r>
      <w:r w:rsidR="00C526FA" w:rsidRPr="00EF0CB9">
        <w:rPr>
          <w:rFonts w:ascii="Times New Roman" w:hAnsi="Times New Roman" w:cs="Times New Roman"/>
          <w:b/>
          <w:color w:val="000000" w:themeColor="text1"/>
          <w:sz w:val="22"/>
          <w:szCs w:val="22"/>
        </w:rPr>
        <w:t xml:space="preserve"> (iv.c)</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de determinadas unidades integrantes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Moov Estação Brás</w:t>
      </w:r>
      <w:r w:rsidR="001A26B5" w:rsidRPr="00EF0CB9">
        <w:rPr>
          <w:rFonts w:ascii="Times New Roman" w:hAnsi="Times New Roman"/>
          <w:color w:val="000000" w:themeColor="text1"/>
          <w:sz w:val="22"/>
          <w:szCs w:val="22"/>
        </w:rPr>
        <w:t>”, em desenvolvimento pela I230 Coronel Mursa SPE</w:t>
      </w:r>
      <w:r w:rsidR="00D56AE7"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u w:val="single"/>
        </w:rPr>
        <w:t>Moov Estação Brás</w:t>
      </w:r>
      <w:r w:rsidR="00D56AE7" w:rsidRPr="00EF0CB9">
        <w:rPr>
          <w:rFonts w:ascii="Times New Roman" w:hAnsi="Times New Roman"/>
          <w:color w:val="000000" w:themeColor="text1"/>
          <w:sz w:val="22"/>
          <w:szCs w:val="22"/>
        </w:rPr>
        <w:t>”)</w:t>
      </w:r>
      <w:r w:rsidR="00C526FA" w:rsidRPr="00EF0CB9">
        <w:rPr>
          <w:rFonts w:ascii="Times New Roman" w:hAnsi="Times New Roman"/>
          <w:bCs/>
          <w:color w:val="000000" w:themeColor="text1"/>
          <w:sz w:val="22"/>
          <w:szCs w:val="22"/>
        </w:rPr>
        <w:t>, o qual encontra-se em processo de registro no 3º Oficial Registro de Imóveis de São Paulo, conforme protocolo nº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2022; </w:t>
      </w:r>
      <w:r w:rsidR="00C526FA" w:rsidRPr="00EF0CB9">
        <w:rPr>
          <w:rFonts w:ascii="Times New Roman" w:hAnsi="Times New Roman"/>
          <w:b/>
          <w:color w:val="000000" w:themeColor="text1"/>
          <w:sz w:val="22"/>
          <w:szCs w:val="22"/>
        </w:rPr>
        <w:t>(iv.d)</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de determinadas unidades integrantes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Moov Belém</w:t>
      </w:r>
      <w:r w:rsidR="001A26B5" w:rsidRPr="00EF0CB9">
        <w:rPr>
          <w:rFonts w:ascii="Times New Roman" w:hAnsi="Times New Roman"/>
          <w:color w:val="000000" w:themeColor="text1"/>
          <w:sz w:val="22"/>
          <w:szCs w:val="22"/>
        </w:rPr>
        <w:t>”, em desenvolvimento pela I240 Serra de Jaire SPE</w:t>
      </w:r>
      <w:r w:rsidR="00D56AE7"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u w:val="single"/>
        </w:rPr>
        <w:t>Moov Belém</w:t>
      </w:r>
      <w:r w:rsidR="00D56AE7" w:rsidRPr="00EF0CB9">
        <w:rPr>
          <w:rFonts w:ascii="Times New Roman" w:hAnsi="Times New Roman"/>
          <w:color w:val="000000" w:themeColor="text1"/>
          <w:sz w:val="22"/>
          <w:szCs w:val="22"/>
        </w:rPr>
        <w:t>”)</w:t>
      </w:r>
      <w:r w:rsidR="00C526FA" w:rsidRPr="00EF0CB9">
        <w:rPr>
          <w:rFonts w:ascii="Times New Roman" w:hAnsi="Times New Roman"/>
          <w:bCs/>
          <w:color w:val="000000" w:themeColor="text1"/>
          <w:sz w:val="22"/>
          <w:szCs w:val="22"/>
        </w:rPr>
        <w:t>, o qual encontra-se em processo de registro no 7º Oficial de Registro de Imóveis de São Paulo, conforme protocolo nº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2022; </w:t>
      </w:r>
      <w:r w:rsidR="00C526FA" w:rsidRPr="00EF0CB9">
        <w:rPr>
          <w:rFonts w:ascii="Times New Roman" w:hAnsi="Times New Roman"/>
          <w:b/>
          <w:color w:val="000000" w:themeColor="text1"/>
          <w:sz w:val="22"/>
          <w:szCs w:val="22"/>
        </w:rPr>
        <w:t>(iv.e)</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de determinadas unidades integrantes do </w:t>
      </w:r>
      <w:r w:rsidR="001A26B5" w:rsidRPr="00EF0CB9">
        <w:rPr>
          <w:rFonts w:ascii="Times New Roman" w:hAnsi="Times New Roman"/>
          <w:color w:val="000000" w:themeColor="text1"/>
          <w:sz w:val="22"/>
          <w:szCs w:val="22"/>
        </w:rPr>
        <w:t>empreendimento imobiliário denominado “</w:t>
      </w:r>
      <w:r w:rsidR="001A26B5" w:rsidRPr="00EF0CB9">
        <w:rPr>
          <w:rFonts w:ascii="Times New Roman" w:hAnsi="Times New Roman"/>
          <w:i/>
          <w:iCs/>
          <w:color w:val="000000" w:themeColor="text1"/>
          <w:sz w:val="22"/>
          <w:szCs w:val="22"/>
        </w:rPr>
        <w:t>Gafisa Upside Paraíso</w:t>
      </w:r>
      <w:r w:rsidR="001A26B5" w:rsidRPr="00EF0CB9">
        <w:rPr>
          <w:rFonts w:ascii="Times New Roman" w:hAnsi="Times New Roman"/>
          <w:color w:val="000000" w:themeColor="text1"/>
          <w:sz w:val="22"/>
          <w:szCs w:val="22"/>
        </w:rPr>
        <w:t>”, desenvolvido pela I490 Afonso de Freitas</w:t>
      </w:r>
      <w:r w:rsidR="001A26B5" w:rsidRPr="00EF0CB9">
        <w:rPr>
          <w:rFonts w:ascii="Times New Roman" w:hAnsi="Times New Roman"/>
          <w:i/>
          <w:iCs/>
          <w:color w:val="000000" w:themeColor="text1"/>
          <w:sz w:val="22"/>
          <w:szCs w:val="22"/>
        </w:rPr>
        <w:t xml:space="preserve"> </w:t>
      </w:r>
      <w:r w:rsidR="001A26B5" w:rsidRPr="00EF0CB9">
        <w:rPr>
          <w:rFonts w:ascii="Times New Roman" w:hAnsi="Times New Roman"/>
          <w:color w:val="000000" w:themeColor="text1"/>
          <w:sz w:val="22"/>
          <w:szCs w:val="22"/>
        </w:rPr>
        <w:t>SPE</w:t>
      </w:r>
      <w:r w:rsidR="00D56AE7" w:rsidRPr="00EF0CB9">
        <w:rPr>
          <w:rFonts w:ascii="Times New Roman" w:hAnsi="Times New Roman"/>
          <w:color w:val="000000" w:themeColor="text1"/>
          <w:sz w:val="22"/>
          <w:szCs w:val="22"/>
        </w:rPr>
        <w:t xml:space="preserve"> (“</w:t>
      </w:r>
      <w:r w:rsidR="007E3C89" w:rsidRPr="007E3C89">
        <w:rPr>
          <w:rFonts w:ascii="Times New Roman" w:hAnsi="Times New Roman"/>
          <w:color w:val="000000" w:themeColor="text1"/>
          <w:sz w:val="22"/>
          <w:szCs w:val="22"/>
          <w:u w:val="single"/>
        </w:rPr>
        <w:t xml:space="preserve">Gafisa </w:t>
      </w:r>
      <w:r w:rsidR="00D56AE7" w:rsidRPr="007E3C89">
        <w:rPr>
          <w:rFonts w:ascii="Times New Roman" w:hAnsi="Times New Roman"/>
          <w:color w:val="000000" w:themeColor="text1"/>
          <w:sz w:val="22"/>
          <w:szCs w:val="22"/>
          <w:u w:val="single"/>
        </w:rPr>
        <w:t>Upsi</w:t>
      </w:r>
      <w:r w:rsidR="00D56AE7" w:rsidRPr="00EF0CB9">
        <w:rPr>
          <w:rFonts w:ascii="Times New Roman" w:hAnsi="Times New Roman"/>
          <w:color w:val="000000" w:themeColor="text1"/>
          <w:sz w:val="22"/>
          <w:szCs w:val="22"/>
          <w:u w:val="single"/>
        </w:rPr>
        <w:t>de Paraíso</w:t>
      </w:r>
      <w:r w:rsidR="00D56AE7" w:rsidRPr="00EF0CB9">
        <w:rPr>
          <w:rFonts w:ascii="Times New Roman" w:hAnsi="Times New Roman"/>
          <w:color w:val="000000" w:themeColor="text1"/>
          <w:sz w:val="22"/>
          <w:szCs w:val="22"/>
        </w:rPr>
        <w:t>”)</w:t>
      </w:r>
      <w:r w:rsidR="00C526FA" w:rsidRPr="00EF0CB9">
        <w:rPr>
          <w:rFonts w:ascii="Times New Roman" w:hAnsi="Times New Roman"/>
          <w:bCs/>
          <w:color w:val="000000" w:themeColor="text1"/>
          <w:sz w:val="22"/>
          <w:szCs w:val="22"/>
        </w:rPr>
        <w:t>, o qual encontra-se em processo de registro no 1º Oficial de Registro de Imóveis de São Paulo, conforme protocolo nº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2022; </w:t>
      </w:r>
      <w:r w:rsidR="00C526FA" w:rsidRPr="00EF0CB9">
        <w:rPr>
          <w:rFonts w:ascii="Times New Roman" w:hAnsi="Times New Roman"/>
          <w:b/>
          <w:color w:val="000000" w:themeColor="text1"/>
          <w:sz w:val="22"/>
          <w:szCs w:val="22"/>
        </w:rPr>
        <w:t>(iv.f)</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que recai sobre a fração ideal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por cento) do imóvel, equivalente às unidades autônomas prontas e acabadas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Parque Ecoville - Torre Passaúna</w:t>
      </w:r>
      <w:r w:rsidR="001A26B5" w:rsidRPr="00EF0CB9">
        <w:rPr>
          <w:rFonts w:ascii="Times New Roman" w:hAnsi="Times New Roman"/>
          <w:color w:val="000000" w:themeColor="text1"/>
          <w:sz w:val="22"/>
          <w:szCs w:val="22"/>
        </w:rPr>
        <w:t>” em desenvolvimento pela SPE Parque Ecoville</w:t>
      </w:r>
      <w:r w:rsidR="00D56AE7"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u w:val="single"/>
        </w:rPr>
        <w:t>Parque Ecoville – Torre Passaúna</w:t>
      </w:r>
      <w:r w:rsidR="00D56AE7" w:rsidRPr="00EF0CB9">
        <w:rPr>
          <w:rFonts w:ascii="Times New Roman" w:hAnsi="Times New Roman"/>
          <w:color w:val="000000" w:themeColor="text1"/>
          <w:sz w:val="22"/>
          <w:szCs w:val="22"/>
        </w:rPr>
        <w:t>”)</w:t>
      </w:r>
      <w:r w:rsidR="001A26B5" w:rsidRPr="00EF0CB9">
        <w:rPr>
          <w:rFonts w:ascii="Times New Roman" w:hAnsi="Times New Roman"/>
          <w:color w:val="000000" w:themeColor="text1"/>
          <w:sz w:val="22"/>
          <w:szCs w:val="22"/>
        </w:rPr>
        <w:t xml:space="preserve"> </w:t>
      </w:r>
      <w:r w:rsidR="00C526FA" w:rsidRPr="00EF0CB9">
        <w:rPr>
          <w:rFonts w:ascii="Times New Roman" w:hAnsi="Times New Roman"/>
          <w:bCs/>
          <w:color w:val="000000" w:themeColor="text1"/>
          <w:sz w:val="22"/>
          <w:szCs w:val="22"/>
        </w:rPr>
        <w:t>que estão atualmente oneradas com a hipoteca, o qual encontra-se em processo de registro no 8º Oficial de Registro de Imóveis de Curitiba, conforme protocolo nº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2022; </w:t>
      </w:r>
      <w:r w:rsidR="00841F7E" w:rsidRPr="00EF0CB9">
        <w:rPr>
          <w:rFonts w:ascii="Times New Roman" w:hAnsi="Times New Roman"/>
          <w:bCs/>
          <w:color w:val="000000" w:themeColor="text1"/>
          <w:sz w:val="22"/>
          <w:szCs w:val="22"/>
        </w:rPr>
        <w:t xml:space="preserve">e </w:t>
      </w:r>
      <w:r w:rsidR="00C526FA" w:rsidRPr="00EF0CB9">
        <w:rPr>
          <w:rFonts w:ascii="Times New Roman" w:hAnsi="Times New Roman"/>
          <w:b/>
          <w:color w:val="000000" w:themeColor="text1"/>
          <w:sz w:val="22"/>
          <w:szCs w:val="22"/>
        </w:rPr>
        <w:t>(iv.g)</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de determinadas unidades integrantes do </w:t>
      </w:r>
      <w:r w:rsidR="001A26B5" w:rsidRPr="00EF0CB9">
        <w:rPr>
          <w:rFonts w:ascii="Times New Roman" w:hAnsi="Times New Roman"/>
          <w:color w:val="000000" w:themeColor="text1"/>
          <w:sz w:val="22"/>
          <w:szCs w:val="22"/>
        </w:rPr>
        <w:t>empreendimento imobiliário denominado “</w:t>
      </w:r>
      <w:r w:rsidR="001A26B5" w:rsidRPr="00EF0CB9">
        <w:rPr>
          <w:rFonts w:ascii="Times New Roman" w:hAnsi="Times New Roman"/>
          <w:i/>
          <w:iCs/>
          <w:color w:val="000000" w:themeColor="text1"/>
          <w:sz w:val="22"/>
          <w:szCs w:val="22"/>
        </w:rPr>
        <w:t>Scena Tatuapé</w:t>
      </w:r>
      <w:r w:rsidR="001A26B5" w:rsidRPr="00EF0CB9">
        <w:rPr>
          <w:rFonts w:ascii="Times New Roman" w:hAnsi="Times New Roman"/>
          <w:color w:val="000000" w:themeColor="text1"/>
          <w:sz w:val="22"/>
          <w:szCs w:val="22"/>
        </w:rPr>
        <w:t>”, em desenvolvimento pela I950 Tuiuti SPE</w:t>
      </w:r>
      <w:r w:rsidR="00D56AE7"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u w:val="single"/>
        </w:rPr>
        <w:t>Scena Tatuapé</w:t>
      </w:r>
      <w:r w:rsidR="00D56AE7" w:rsidRPr="00EF0CB9">
        <w:rPr>
          <w:rFonts w:ascii="Times New Roman" w:hAnsi="Times New Roman"/>
          <w:color w:val="000000" w:themeColor="text1"/>
          <w:sz w:val="22"/>
          <w:szCs w:val="22"/>
        </w:rPr>
        <w:t>”)</w:t>
      </w:r>
      <w:r w:rsidR="00C526FA" w:rsidRPr="00EF0CB9">
        <w:rPr>
          <w:rFonts w:ascii="Times New Roman" w:hAnsi="Times New Roman"/>
          <w:bCs/>
          <w:color w:val="000000" w:themeColor="text1"/>
          <w:sz w:val="22"/>
          <w:szCs w:val="22"/>
        </w:rPr>
        <w:t>, o qual encontra-se em processo de registro no 9º Cartório de Registro de Imóveis de São Paulo, conforme protocolo nº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w:t>
      </w:r>
      <w:r w:rsidR="00C526FA" w:rsidRPr="00EF0CB9">
        <w:rPr>
          <w:rFonts w:ascii="Times New Roman" w:hAnsi="Times New Roman"/>
          <w:bCs/>
          <w:color w:val="000000" w:themeColor="text1"/>
          <w:sz w:val="22"/>
          <w:szCs w:val="22"/>
          <w:highlight w:val="yellow"/>
        </w:rPr>
        <w:t>[●]</w:t>
      </w:r>
      <w:r w:rsidR="00C526FA" w:rsidRPr="00EF0CB9">
        <w:rPr>
          <w:rFonts w:ascii="Times New Roman" w:hAnsi="Times New Roman"/>
          <w:bCs/>
          <w:color w:val="000000" w:themeColor="text1"/>
          <w:sz w:val="22"/>
          <w:szCs w:val="22"/>
        </w:rPr>
        <w:t xml:space="preserve"> de 2022</w:t>
      </w:r>
      <w:r w:rsidR="00841F7E" w:rsidRPr="00EF0CB9">
        <w:rPr>
          <w:rFonts w:ascii="Times New Roman" w:hAnsi="Times New Roman"/>
          <w:bCs/>
          <w:color w:val="000000" w:themeColor="text1"/>
          <w:sz w:val="22"/>
          <w:szCs w:val="22"/>
        </w:rPr>
        <w:t xml:space="preserve"> (em conjunto, os “</w:t>
      </w:r>
      <w:r w:rsidR="00841F7E" w:rsidRPr="00EF0CB9">
        <w:rPr>
          <w:rFonts w:ascii="Times New Roman" w:hAnsi="Times New Roman"/>
          <w:bCs/>
          <w:color w:val="000000" w:themeColor="text1"/>
          <w:sz w:val="22"/>
          <w:szCs w:val="22"/>
          <w:u w:val="single"/>
        </w:rPr>
        <w:t>Termos de Liberação de Hipotecas</w:t>
      </w:r>
      <w:r w:rsidR="00841F7E" w:rsidRPr="00EF0CB9">
        <w:rPr>
          <w:rFonts w:ascii="Times New Roman" w:hAnsi="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nos termos da</w:t>
      </w:r>
      <w:r w:rsidR="00D56AE7" w:rsidRPr="00EF0CB9">
        <w:rPr>
          <w:rFonts w:ascii="Times New Roman" w:hAnsi="Times New Roman" w:cs="Times New Roman"/>
          <w:bCs/>
          <w:color w:val="000000" w:themeColor="text1"/>
          <w:sz w:val="22"/>
          <w:szCs w:val="22"/>
        </w:rPr>
        <w:t>s</w:t>
      </w:r>
      <w:r w:rsidR="00841F7E" w:rsidRPr="00EF0CB9">
        <w:rPr>
          <w:rFonts w:ascii="Times New Roman" w:hAnsi="Times New Roman" w:cs="Times New Roman"/>
          <w:bCs/>
          <w:color w:val="000000" w:themeColor="text1"/>
          <w:sz w:val="22"/>
          <w:szCs w:val="22"/>
        </w:rPr>
        <w:t xml:space="preserve"> minuta</w:t>
      </w:r>
      <w:r w:rsidR="00D56AE7" w:rsidRPr="00EF0CB9">
        <w:rPr>
          <w:rFonts w:ascii="Times New Roman" w:hAnsi="Times New Roman" w:cs="Times New Roman"/>
          <w:bCs/>
          <w:color w:val="000000" w:themeColor="text1"/>
          <w:sz w:val="22"/>
          <w:szCs w:val="22"/>
        </w:rPr>
        <w:t>s</w:t>
      </w:r>
      <w:r w:rsidR="00841F7E" w:rsidRPr="00EF0CB9">
        <w:rPr>
          <w:rFonts w:ascii="Times New Roman" w:hAnsi="Times New Roman" w:cs="Times New Roman"/>
          <w:bCs/>
          <w:color w:val="000000" w:themeColor="text1"/>
          <w:sz w:val="22"/>
          <w:szCs w:val="22"/>
        </w:rPr>
        <w:t xml:space="preserve"> prevista</w:t>
      </w:r>
      <w:r w:rsidR="00D56AE7" w:rsidRPr="00EF0CB9">
        <w:rPr>
          <w:rFonts w:ascii="Times New Roman" w:hAnsi="Times New Roman" w:cs="Times New Roman"/>
          <w:bCs/>
          <w:color w:val="000000" w:themeColor="text1"/>
          <w:sz w:val="22"/>
          <w:szCs w:val="22"/>
        </w:rPr>
        <w:t>s</w:t>
      </w:r>
      <w:r w:rsidR="00841F7E" w:rsidRPr="00EF0CB9">
        <w:rPr>
          <w:rFonts w:ascii="Times New Roman" w:hAnsi="Times New Roman" w:cs="Times New Roman"/>
          <w:bCs/>
          <w:color w:val="000000" w:themeColor="text1"/>
          <w:sz w:val="22"/>
          <w:szCs w:val="22"/>
        </w:rPr>
        <w:t xml:space="preserve"> no </w:t>
      </w:r>
      <w:r w:rsidR="00841F7E"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00841F7E" w:rsidRPr="00EF0CB9">
        <w:rPr>
          <w:rFonts w:ascii="Times New Roman" w:hAnsi="Times New Roman" w:cs="Times New Roman"/>
          <w:bCs/>
          <w:color w:val="000000" w:themeColor="text1"/>
          <w:sz w:val="22"/>
          <w:szCs w:val="22"/>
        </w:rPr>
        <w:t xml:space="preserve"> à presente ata</w:t>
      </w:r>
      <w:r w:rsidR="00841F7E" w:rsidRPr="00EF0CB9">
        <w:rPr>
          <w:rFonts w:ascii="Times New Roman" w:hAnsi="Times New Roman"/>
          <w:bCs/>
          <w:color w:val="000000" w:themeColor="text1"/>
          <w:sz w:val="22"/>
          <w:szCs w:val="22"/>
        </w:rPr>
        <w:t>;</w:t>
      </w:r>
    </w:p>
    <w:p w14:paraId="081880AF" w14:textId="77777777" w:rsidR="003B09E9" w:rsidRPr="00EF0CB9" w:rsidRDefault="003B09E9" w:rsidP="00A23681">
      <w:pPr>
        <w:pStyle w:val="Default"/>
        <w:spacing w:line="320" w:lineRule="exact"/>
        <w:ind w:left="720"/>
        <w:jc w:val="both"/>
        <w:rPr>
          <w:rFonts w:ascii="Times New Roman" w:hAnsi="Times New Roman" w:cs="Times New Roman"/>
          <w:bCs/>
          <w:color w:val="000000" w:themeColor="text1"/>
          <w:sz w:val="22"/>
          <w:szCs w:val="22"/>
        </w:rPr>
      </w:pPr>
    </w:p>
    <w:p w14:paraId="081880B0" w14:textId="77777777" w:rsidR="00841F7E" w:rsidRPr="00EF0CB9" w:rsidRDefault="00000000" w:rsidP="00841F7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nos termos da</w:t>
      </w:r>
      <w:r w:rsidR="00D56AE7" w:rsidRPr="00EF0CB9">
        <w:rPr>
          <w:rFonts w:ascii="Times New Roman" w:hAnsi="Times New Roman" w:cs="Times New Roman"/>
          <w:bCs/>
          <w:color w:val="000000" w:themeColor="text1"/>
          <w:sz w:val="22"/>
          <w:szCs w:val="22"/>
        </w:rPr>
        <w:t>s</w:t>
      </w:r>
      <w:r w:rsidRPr="00EF0CB9">
        <w:rPr>
          <w:rFonts w:ascii="Times New Roman" w:hAnsi="Times New Roman" w:cs="Times New Roman"/>
          <w:bCs/>
          <w:color w:val="000000" w:themeColor="text1"/>
          <w:sz w:val="22"/>
          <w:szCs w:val="22"/>
        </w:rPr>
        <w:t xml:space="preserve"> minuta</w:t>
      </w:r>
      <w:r w:rsidR="00D56AE7" w:rsidRPr="00EF0CB9">
        <w:rPr>
          <w:rFonts w:ascii="Times New Roman" w:hAnsi="Times New Roman" w:cs="Times New Roman"/>
          <w:bCs/>
          <w:color w:val="000000" w:themeColor="text1"/>
          <w:sz w:val="22"/>
          <w:szCs w:val="22"/>
        </w:rPr>
        <w:t>s</w:t>
      </w:r>
      <w:r w:rsidRPr="00EF0CB9">
        <w:rPr>
          <w:rFonts w:ascii="Times New Roman" w:hAnsi="Times New Roman" w:cs="Times New Roman"/>
          <w:bCs/>
          <w:color w:val="000000" w:themeColor="text1"/>
          <w:sz w:val="22"/>
          <w:szCs w:val="22"/>
        </w:rPr>
        <w:t xml:space="preserve"> prevista</w:t>
      </w:r>
      <w:r w:rsidR="00D56AE7" w:rsidRPr="00EF0CB9">
        <w:rPr>
          <w:rFonts w:ascii="Times New Roman" w:hAnsi="Times New Roman" w:cs="Times New Roman"/>
          <w:bCs/>
          <w:color w:val="000000" w:themeColor="text1"/>
          <w:sz w:val="22"/>
          <w:szCs w:val="22"/>
        </w:rPr>
        <w:t>s</w:t>
      </w:r>
      <w:r w:rsidRPr="00EF0CB9">
        <w:rPr>
          <w:rFonts w:ascii="Times New Roman" w:hAnsi="Times New Roman" w:cs="Times New Roman"/>
          <w:bCs/>
          <w:color w:val="000000" w:themeColor="text1"/>
          <w:sz w:val="22"/>
          <w:szCs w:val="22"/>
        </w:rPr>
        <w:t xml:space="preserve"> 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p>
    <w:p w14:paraId="081880B1" w14:textId="77777777" w:rsidR="00841F7E" w:rsidRPr="00EF0CB9" w:rsidRDefault="00841F7E" w:rsidP="00841F7E">
      <w:pPr>
        <w:pStyle w:val="Default"/>
        <w:spacing w:line="320" w:lineRule="exact"/>
        <w:ind w:left="720"/>
        <w:jc w:val="both"/>
        <w:rPr>
          <w:rFonts w:ascii="Times New Roman" w:hAnsi="Times New Roman" w:cs="Times New Roman"/>
          <w:bCs/>
          <w:color w:val="000000" w:themeColor="text1"/>
          <w:sz w:val="22"/>
          <w:szCs w:val="22"/>
        </w:rPr>
      </w:pPr>
    </w:p>
    <w:p w14:paraId="081880B2" w14:textId="77777777" w:rsidR="001A0E26" w:rsidRPr="00EF0CB9" w:rsidRDefault="00000000" w:rsidP="00BF3C46">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r w:rsidRPr="00EF0CB9">
        <w:rPr>
          <w:rFonts w:ascii="Times New Roman" w:hAnsi="Times New Roman" w:cs="Times New Roman"/>
          <w:bCs/>
          <w:color w:val="000000" w:themeColor="text1"/>
          <w:sz w:val="22"/>
          <w:szCs w:val="22"/>
        </w:rPr>
        <w:t xml:space="preserve">do aditamento ao: </w:t>
      </w:r>
      <w:r w:rsidRPr="00EF0CB9">
        <w:rPr>
          <w:rFonts w:ascii="Times New Roman" w:hAnsi="Times New Roman" w:cs="Times New Roman"/>
          <w:b/>
          <w:color w:val="000000" w:themeColor="text1"/>
          <w:sz w:val="22"/>
          <w:szCs w:val="22"/>
        </w:rPr>
        <w:t>(vi.a)</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Cs/>
          <w:color w:val="000000" w:themeColor="text1"/>
          <w:sz w:val="22"/>
          <w:szCs w:val="22"/>
        </w:rPr>
        <w:t>“</w:t>
      </w:r>
      <w:r w:rsidRPr="00EF0CB9">
        <w:rPr>
          <w:rFonts w:ascii="Times New Roman" w:hAnsi="Times New Roman" w:cs="Times New Roman"/>
          <w:bCs/>
          <w:i/>
          <w:iCs/>
          <w:color w:val="000000" w:themeColor="text1"/>
          <w:sz w:val="22"/>
          <w:szCs w:val="22"/>
        </w:rPr>
        <w:t>Instrumento Particular de Alienação Fiduciária de Ações e Quotas Em Garantia e Outras Avenças</w:t>
      </w:r>
      <w:r w:rsidRPr="00EF0CB9">
        <w:rPr>
          <w:rFonts w:ascii="Times New Roman" w:hAnsi="Times New Roman" w:cs="Times New Roman"/>
          <w:bCs/>
          <w:color w:val="000000" w:themeColor="text1"/>
          <w:sz w:val="22"/>
          <w:szCs w:val="22"/>
        </w:rPr>
        <w:t xml:space="preserve">”, celebrado em 15 de setembro de 2020 entre a </w:t>
      </w:r>
      <w:r w:rsidR="00D56AE7" w:rsidRPr="00EF0CB9">
        <w:rPr>
          <w:rFonts w:ascii="Times New Roman" w:hAnsi="Times New Roman" w:cs="Times New Roman"/>
          <w:bCs/>
          <w:color w:val="000000" w:themeColor="text1"/>
          <w:sz w:val="22"/>
          <w:szCs w:val="22"/>
        </w:rPr>
        <w:t>Fiadora</w:t>
      </w:r>
      <w:r w:rsidRPr="00EF0CB9">
        <w:rPr>
          <w:rFonts w:ascii="Times New Roman" w:hAnsi="Times New Roman" w:cs="Times New Roman"/>
          <w:bCs/>
          <w:color w:val="000000" w:themeColor="text1"/>
          <w:sz w:val="22"/>
          <w:szCs w:val="22"/>
        </w:rPr>
        <w:t xml:space="preserve">, a Gafisa 80 S.A. (CNPJ/ME nº 09.272.306/0001- 71), a Novum e a Emissora, com a interveniência anuência do Agente </w:t>
      </w:r>
      <w:r w:rsidRPr="00EF0CB9">
        <w:rPr>
          <w:rFonts w:ascii="Times New Roman" w:hAnsi="Times New Roman" w:cs="Times New Roman"/>
          <w:bCs/>
          <w:color w:val="000000" w:themeColor="text1"/>
          <w:sz w:val="22"/>
          <w:szCs w:val="22"/>
        </w:rPr>
        <w:lastRenderedPageBreak/>
        <w:t>Fiduciário e das Desenvolvedoras (“</w:t>
      </w:r>
      <w:r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Pr="00EF0CB9">
        <w:rPr>
          <w:rFonts w:ascii="Times New Roman" w:hAnsi="Times New Roman" w:cs="Times New Roman"/>
          <w:bCs/>
          <w:color w:val="000000" w:themeColor="text1"/>
          <w:sz w:val="22"/>
          <w:szCs w:val="22"/>
        </w:rPr>
        <w:t xml:space="preserve">”), nos termos da minuta prevista no </w:t>
      </w:r>
      <w:r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00481264"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à presente ata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 xml:space="preserve">Aditamento ao </w:t>
      </w:r>
      <w:r w:rsidR="001A26B5"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Pr="00EF0CB9">
        <w:rPr>
          <w:rFonts w:ascii="Times New Roman" w:hAnsi="Times New Roman" w:cs="Times New Roman"/>
          <w:color w:val="000000" w:themeColor="text1"/>
          <w:sz w:val="22"/>
          <w:szCs w:val="22"/>
        </w:rPr>
        <w:t>”);</w:t>
      </w:r>
      <w:r w:rsidRPr="00EF0CB9">
        <w:rPr>
          <w:rFonts w:ascii="Times New Roman" w:hAnsi="Times New Roman" w:cs="Times New Roman"/>
          <w:bCs/>
          <w:color w:val="000000" w:themeColor="text1"/>
          <w:sz w:val="22"/>
          <w:szCs w:val="22"/>
        </w:rPr>
        <w:t xml:space="preserve"> e </w:t>
      </w:r>
      <w:r w:rsidRPr="00EF0CB9">
        <w:rPr>
          <w:rFonts w:ascii="Times New Roman" w:hAnsi="Times New Roman" w:cs="Times New Roman"/>
          <w:b/>
          <w:color w:val="000000" w:themeColor="text1"/>
          <w:sz w:val="22"/>
          <w:szCs w:val="22"/>
        </w:rPr>
        <w:t xml:space="preserve">(vi.b) </w:t>
      </w:r>
      <w:r w:rsidRPr="00EF0CB9">
        <w:rPr>
          <w:rFonts w:ascii="Times New Roman" w:hAnsi="Times New Roman" w:cs="Times New Roman"/>
          <w:color w:val="000000" w:themeColor="text1"/>
          <w:sz w:val="22"/>
          <w:szCs w:val="22"/>
        </w:rPr>
        <w:t>“</w:t>
      </w:r>
      <w:r w:rsidRPr="00EF0CB9">
        <w:rPr>
          <w:rFonts w:ascii="Times New Roman" w:hAnsi="Times New Roman" w:cs="Times New Roman"/>
          <w:i/>
          <w:iCs/>
          <w:color w:val="000000" w:themeColor="text1"/>
          <w:sz w:val="22"/>
          <w:szCs w:val="22"/>
        </w:rPr>
        <w:t>Instrumento Particular de Cessão Fiduciária de Direitos Creditórios e Outras Avenças</w:t>
      </w:r>
      <w:r w:rsidRPr="00EF0CB9">
        <w:rPr>
          <w:rFonts w:ascii="Times New Roman" w:hAnsi="Times New Roman" w:cs="Times New Roman"/>
          <w:color w:val="000000" w:themeColor="text1"/>
          <w:sz w:val="22"/>
          <w:szCs w:val="22"/>
        </w:rPr>
        <w:t xml:space="preserve">”, celebrado em 15 de setembro de 2020 entre a Novum, as Desenvolvedoras e a Emissora, com a interveniência anuência do Agente Fiduciário e da </w:t>
      </w:r>
      <w:r w:rsidR="00D56AE7" w:rsidRPr="00EF0CB9">
        <w:rPr>
          <w:rFonts w:ascii="Times New Roman" w:hAnsi="Times New Roman" w:cs="Times New Roman"/>
          <w:color w:val="000000" w:themeColor="text1"/>
          <w:sz w:val="22"/>
          <w:szCs w:val="22"/>
        </w:rPr>
        <w:t>Fiadora</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u w:val="single"/>
        </w:rPr>
        <w:t>Contrato de Cessão Fiduciária</w:t>
      </w:r>
      <w:r w:rsidRPr="00EF0CB9">
        <w:rPr>
          <w:rFonts w:ascii="Times New Roman" w:hAnsi="Times New Roman" w:cs="Times New Roman"/>
          <w:color w:val="000000" w:themeColor="text1"/>
          <w:sz w:val="22"/>
          <w:szCs w:val="22"/>
        </w:rPr>
        <w:t>” e, em conjunto com</w:t>
      </w:r>
      <w:r w:rsidR="001A26B5" w:rsidRPr="00EF0CB9">
        <w:rPr>
          <w:rFonts w:ascii="Times New Roman" w:hAnsi="Times New Roman" w:cs="Times New Roman"/>
          <w:color w:val="000000" w:themeColor="text1"/>
          <w:sz w:val="22"/>
          <w:szCs w:val="22"/>
        </w:rPr>
        <w:t xml:space="preserve"> Contrato de Alienação Fiduciária de </w:t>
      </w:r>
      <w:r w:rsidR="001A26B5" w:rsidRPr="00481264">
        <w:rPr>
          <w:rFonts w:ascii="Times New Roman" w:hAnsi="Times New Roman" w:cs="Times New Roman"/>
          <w:color w:val="000000" w:themeColor="text1"/>
          <w:sz w:val="22"/>
          <w:szCs w:val="22"/>
        </w:rPr>
        <w:t>Ações</w:t>
      </w:r>
      <w:r w:rsidR="00044C9D" w:rsidRPr="00481264">
        <w:rPr>
          <w:rFonts w:ascii="Times New Roman" w:hAnsi="Times New Roman" w:cs="Times New Roman"/>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EF0CB9">
        <w:rPr>
          <w:rFonts w:ascii="Times New Roman" w:hAnsi="Times New Roman" w:cs="Times New Roman"/>
          <w:color w:val="000000" w:themeColor="text1"/>
          <w:sz w:val="22"/>
          <w:szCs w:val="22"/>
        </w:rPr>
        <w:t>, os “</w:t>
      </w:r>
      <w:r w:rsidR="001A26B5" w:rsidRPr="00EF0CB9">
        <w:rPr>
          <w:rFonts w:ascii="Times New Roman" w:hAnsi="Times New Roman" w:cs="Times New Roman"/>
          <w:color w:val="000000" w:themeColor="text1"/>
          <w:sz w:val="22"/>
          <w:szCs w:val="22"/>
          <w:u w:val="single"/>
        </w:rPr>
        <w:t>Contratos de Garantias</w:t>
      </w:r>
      <w:r w:rsidR="001A26B5"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 </w:t>
      </w:r>
      <w:r w:rsidR="001A26B5" w:rsidRPr="00EF0CB9">
        <w:rPr>
          <w:rFonts w:ascii="Times New Roman" w:hAnsi="Times New Roman" w:cs="Times New Roman"/>
          <w:bCs/>
          <w:color w:val="000000" w:themeColor="text1"/>
          <w:sz w:val="22"/>
          <w:szCs w:val="22"/>
        </w:rPr>
        <w:t xml:space="preserve">nos termos da minuta prevista no </w:t>
      </w:r>
      <w:r w:rsidR="001A26B5"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00CC2753"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rPr>
        <w:t>à presente ata (“</w:t>
      </w:r>
      <w:r w:rsidR="001A26B5" w:rsidRPr="00EF0CB9">
        <w:rPr>
          <w:rFonts w:ascii="Times New Roman" w:hAnsi="Times New Roman" w:cs="Times New Roman"/>
          <w:bCs/>
          <w:color w:val="000000" w:themeColor="text1"/>
          <w:sz w:val="22"/>
          <w:szCs w:val="22"/>
          <w:u w:val="single"/>
        </w:rPr>
        <w:t>Aditamento ao Contrato de Cessão Fiduciária</w:t>
      </w:r>
      <w:r w:rsidR="001A26B5" w:rsidRPr="00EF0CB9">
        <w:rPr>
          <w:rFonts w:ascii="Times New Roman" w:hAnsi="Times New Roman" w:cs="Times New Roman"/>
          <w:bCs/>
          <w:color w:val="000000" w:themeColor="text1"/>
          <w:sz w:val="22"/>
          <w:szCs w:val="22"/>
        </w:rPr>
        <w:t xml:space="preserve">”, e, em conjunto com Aditamento ao Contrato de Alienação Fiduciária de </w:t>
      </w:r>
      <w:r w:rsidR="001A26B5" w:rsidRPr="00481264">
        <w:rPr>
          <w:rFonts w:ascii="Times New Roman" w:hAnsi="Times New Roman" w:cs="Times New Roman"/>
          <w:bCs/>
          <w:color w:val="000000" w:themeColor="text1"/>
          <w:sz w:val="22"/>
          <w:szCs w:val="22"/>
        </w:rPr>
        <w:t>Ações</w:t>
      </w:r>
      <w:r w:rsidR="00044C9D" w:rsidRPr="00481264">
        <w:rPr>
          <w:rFonts w:ascii="Times New Roman" w:hAnsi="Times New Roman" w:cs="Times New Roman"/>
          <w:bCs/>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481264">
        <w:rPr>
          <w:rFonts w:ascii="Times New Roman" w:hAnsi="Times New Roman" w:cs="Times New Roman"/>
          <w:bCs/>
          <w:color w:val="000000" w:themeColor="text1"/>
          <w:sz w:val="22"/>
          <w:szCs w:val="22"/>
        </w:rPr>
        <w:t>, os</w:t>
      </w:r>
      <w:r w:rsidR="001A26B5"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u w:val="single"/>
        </w:rPr>
        <w:t>Aditamentos aos Contratos de Garantias</w:t>
      </w:r>
      <w:r w:rsidR="001A26B5" w:rsidRPr="00EF0CB9">
        <w:rPr>
          <w:rFonts w:ascii="Times New Roman" w:hAnsi="Times New Roman" w:cs="Times New Roman"/>
          <w:bCs/>
          <w:color w:val="000000" w:themeColor="text1"/>
          <w:sz w:val="22"/>
          <w:szCs w:val="22"/>
        </w:rPr>
        <w:t>”)</w:t>
      </w:r>
      <w:r w:rsidR="00481264">
        <w:rPr>
          <w:rFonts w:ascii="Times New Roman" w:hAnsi="Times New Roman" w:cs="Times New Roman"/>
          <w:color w:val="000000" w:themeColor="text1"/>
          <w:sz w:val="22"/>
          <w:szCs w:val="22"/>
        </w:rPr>
        <w:t>,</w:t>
      </w:r>
    </w:p>
    <w:p w14:paraId="081880B3" w14:textId="77777777" w:rsidR="001A0E26" w:rsidRPr="00EF0CB9" w:rsidRDefault="001A0E26" w:rsidP="00A23681">
      <w:pPr>
        <w:pStyle w:val="Default"/>
        <w:spacing w:line="320" w:lineRule="exact"/>
        <w:ind w:left="720"/>
        <w:jc w:val="both"/>
        <w:rPr>
          <w:rFonts w:ascii="Times New Roman" w:hAnsi="Times New Roman" w:cs="Times New Roman"/>
          <w:bCs/>
          <w:color w:val="000000" w:themeColor="text1"/>
          <w:sz w:val="22"/>
          <w:szCs w:val="22"/>
        </w:rPr>
      </w:pPr>
    </w:p>
    <w:p w14:paraId="081880B4" w14:textId="77777777" w:rsidR="009B6A3F" w:rsidRPr="00EF0CB9" w:rsidRDefault="00000000" w:rsidP="009B6A3F">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14:paraId="081880B5" w14:textId="77777777" w:rsidR="00A23681" w:rsidRPr="00EF0CB9" w:rsidRDefault="00A23681" w:rsidP="003B001E">
      <w:pPr>
        <w:pStyle w:val="Default"/>
        <w:spacing w:line="320" w:lineRule="exact"/>
        <w:jc w:val="both"/>
        <w:rPr>
          <w:rFonts w:ascii="Times New Roman" w:hAnsi="Times New Roman" w:cs="Times New Roman"/>
          <w:color w:val="000000" w:themeColor="text1"/>
          <w:sz w:val="22"/>
          <w:szCs w:val="22"/>
        </w:rPr>
      </w:pPr>
    </w:p>
    <w:p w14:paraId="081880B6" w14:textId="77777777" w:rsidR="00103456" w:rsidRPr="00EF0CB9" w:rsidRDefault="00000000"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00D03637"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14:paraId="081880B7"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1880B8" w14:textId="77777777" w:rsidR="00103456" w:rsidRPr="00EF0CB9" w:rsidRDefault="00000000"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00D95C07" w:rsidRPr="00EF0CB9">
        <w:rPr>
          <w:rFonts w:ascii="Times New Roman" w:hAnsi="Times New Roman" w:cs="Times New Roman"/>
          <w:color w:val="000000" w:themeColor="text1"/>
          <w:sz w:val="22"/>
          <w:szCs w:val="22"/>
        </w:rPr>
        <w:t>Titulares de 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00EF0CB9" w:rsidRPr="00EF0CB9">
        <w:rPr>
          <w:rFonts w:ascii="Times New Roman" w:hAnsi="Times New Roman" w:cs="Times New Roman"/>
          <w:color w:val="000000" w:themeColor="text1"/>
          <w:sz w:val="22"/>
          <w:szCs w:val="22"/>
        </w:rPr>
        <w:t>Titulares de CRI</w:t>
      </w:r>
      <w:r w:rsidR="00D95C07"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14:paraId="081880B9" w14:textId="77777777" w:rsidR="00103456" w:rsidRPr="00EF0CB9" w:rsidRDefault="00103456" w:rsidP="009B6A3F">
      <w:pPr>
        <w:pStyle w:val="Default"/>
        <w:spacing w:line="320" w:lineRule="exact"/>
        <w:ind w:left="720"/>
        <w:jc w:val="both"/>
        <w:rPr>
          <w:rFonts w:ascii="Times New Roman" w:hAnsi="Times New Roman" w:cs="Times New Roman"/>
          <w:color w:val="000000" w:themeColor="text1"/>
          <w:sz w:val="22"/>
          <w:szCs w:val="22"/>
        </w:rPr>
      </w:pPr>
    </w:p>
    <w:p w14:paraId="081880BA" w14:textId="77777777" w:rsidR="00103456" w:rsidRPr="00EF0CB9" w:rsidRDefault="00000000"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14:paraId="081880BB"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1880BC" w14:textId="77777777" w:rsidR="00103456" w:rsidRPr="00EF0CB9" w:rsidRDefault="00000000"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004903AF" w:rsidRPr="00EF0CB9">
        <w:rPr>
          <w:rFonts w:ascii="Times New Roman" w:hAnsi="Times New Roman" w:cs="Times New Roman"/>
          <w:color w:val="000000" w:themeColor="text1"/>
          <w:sz w:val="22"/>
          <w:szCs w:val="22"/>
        </w:rPr>
        <w:t>el</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Presidente, Secretári</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w:t>
      </w:r>
      <w:r w:rsidR="0084194E" w:rsidRPr="00EF0CB9">
        <w:rPr>
          <w:rFonts w:ascii="Times New Roman" w:hAnsi="Times New Roman" w:cs="Times New Roman"/>
          <w:color w:val="000000" w:themeColor="text1"/>
          <w:sz w:val="22"/>
          <w:szCs w:val="22"/>
        </w:rPr>
        <w:t>Emissora</w:t>
      </w:r>
      <w:r w:rsidR="006F64CA" w:rsidRPr="00EF0CB9">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14:paraId="081880BD"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1880BE" w14:textId="77777777" w:rsidR="00103456" w:rsidRPr="00EF0CB9" w:rsidRDefault="00000000"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005865C6" w:rsidRPr="00EF0CB9">
        <w:rPr>
          <w:rFonts w:ascii="Times New Roman" w:hAnsi="Times New Roman" w:cs="Times New Roman"/>
          <w:color w:val="000000" w:themeColor="text1"/>
          <w:sz w:val="22"/>
          <w:szCs w:val="22"/>
        </w:rPr>
        <w:t xml:space="preserve"> Presidente </w:t>
      </w:r>
      <w:r w:rsidRPr="00EF0CB9">
        <w:rPr>
          <w:rFonts w:ascii="Times New Roman" w:hAnsi="Times New Roman" w:cs="Times New Roman"/>
          <w:color w:val="000000" w:themeColor="text1"/>
          <w:sz w:val="22"/>
          <w:szCs w:val="22"/>
        </w:rPr>
        <w:t xml:space="preserve">da mesa, nos termos do artigo </w:t>
      </w:r>
      <w:r w:rsidR="00D95C07" w:rsidRPr="00EF0CB9">
        <w:rPr>
          <w:rFonts w:ascii="Times New Roman" w:hAnsi="Times New Roman" w:cs="Times New Roman"/>
          <w:color w:val="000000" w:themeColor="text1"/>
          <w:sz w:val="22"/>
          <w:szCs w:val="22"/>
        </w:rPr>
        <w:t>35</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º</w:t>
      </w:r>
      <w:r w:rsidR="00D95C07" w:rsidRPr="00EF0CB9">
        <w:rPr>
          <w:rFonts w:ascii="Times New Roman" w:hAnsi="Times New Roman" w:cs="Times New Roman"/>
          <w:color w:val="000000" w:themeColor="text1"/>
          <w:sz w:val="22"/>
          <w:szCs w:val="22"/>
        </w:rPr>
        <w:t>, inciso I, alínea “a”</w:t>
      </w:r>
      <w:r w:rsidRPr="00EF0CB9">
        <w:rPr>
          <w:rFonts w:ascii="Times New Roman" w:hAnsi="Times New Roman" w:cs="Times New Roman"/>
          <w:color w:val="000000" w:themeColor="text1"/>
          <w:sz w:val="22"/>
          <w:szCs w:val="22"/>
        </w:rPr>
        <w:t xml:space="preserve">, da 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registr</w:t>
      </w:r>
      <w:r w:rsidR="00AC35A9" w:rsidRPr="00EF0CB9">
        <w:rPr>
          <w:rFonts w:ascii="Times New Roman" w:hAnsi="Times New Roman" w:cs="Times New Roman"/>
          <w:color w:val="000000" w:themeColor="text1"/>
          <w:sz w:val="22"/>
          <w:szCs w:val="22"/>
        </w:rPr>
        <w:t>ou</w:t>
      </w:r>
      <w:r w:rsidRPr="00EF0CB9">
        <w:rPr>
          <w:rFonts w:ascii="Times New Roman" w:hAnsi="Times New Roman" w:cs="Times New Roman"/>
          <w:color w:val="000000" w:themeColor="text1"/>
          <w:sz w:val="22"/>
          <w:szCs w:val="22"/>
        </w:rPr>
        <w:t xml:space="preserve"> a presença dos </w:t>
      </w:r>
      <w:r w:rsidR="00D95C07" w:rsidRPr="00EF0CB9">
        <w:rPr>
          <w:rFonts w:ascii="Times New Roman" w:hAnsi="Times New Roman" w:cs="Times New Roman"/>
          <w:color w:val="000000" w:themeColor="text1"/>
          <w:sz w:val="22"/>
          <w:szCs w:val="22"/>
        </w:rPr>
        <w:t>Titulares de 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14:paraId="081880BF" w14:textId="77777777" w:rsidR="00DA1301" w:rsidRPr="00EF0CB9" w:rsidRDefault="00DA1301" w:rsidP="003B001E">
      <w:pPr>
        <w:pStyle w:val="Default"/>
        <w:spacing w:line="320" w:lineRule="exact"/>
        <w:jc w:val="both"/>
        <w:rPr>
          <w:rFonts w:ascii="Times New Roman" w:hAnsi="Times New Roman" w:cs="Times New Roman"/>
          <w:color w:val="000000" w:themeColor="text1"/>
          <w:sz w:val="22"/>
          <w:szCs w:val="22"/>
        </w:rPr>
      </w:pPr>
    </w:p>
    <w:p w14:paraId="081880C0" w14:textId="77777777" w:rsidR="0035423D" w:rsidRPr="00EF0CB9" w:rsidRDefault="00000000"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00D03637" w:rsidRPr="00EF0CB9">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14:paraId="081880C1" w14:textId="77777777" w:rsidR="00606B7F" w:rsidRPr="00EF0CB9" w:rsidRDefault="00606B7F" w:rsidP="003B001E">
      <w:pPr>
        <w:pStyle w:val="Default"/>
        <w:spacing w:line="320" w:lineRule="exact"/>
        <w:jc w:val="both"/>
        <w:rPr>
          <w:rFonts w:ascii="Times New Roman" w:hAnsi="Times New Roman" w:cs="Times New Roman"/>
          <w:color w:val="000000" w:themeColor="text1"/>
          <w:sz w:val="22"/>
          <w:szCs w:val="22"/>
        </w:rPr>
      </w:pPr>
    </w:p>
    <w:p w14:paraId="081880C2" w14:textId="77777777" w:rsidR="00103456" w:rsidRPr="00EF0CB9" w:rsidRDefault="00000000" w:rsidP="003B001E">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São Paulo, </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de </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de 202</w:t>
      </w:r>
      <w:r w:rsidR="00C4632B" w:rsidRPr="00EF0CB9">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w:t>
      </w:r>
    </w:p>
    <w:p w14:paraId="081880C3" w14:textId="77777777" w:rsidR="00103456" w:rsidRPr="00EF0CB9" w:rsidRDefault="00103456" w:rsidP="003B001E">
      <w:pPr>
        <w:pStyle w:val="Default"/>
        <w:spacing w:line="320" w:lineRule="exact"/>
        <w:jc w:val="center"/>
        <w:rPr>
          <w:rFonts w:ascii="Times New Roman" w:hAnsi="Times New Roman" w:cs="Times New Roman"/>
          <w:color w:val="000000" w:themeColor="text1"/>
          <w:sz w:val="22"/>
          <w:szCs w:val="22"/>
        </w:rPr>
      </w:pPr>
    </w:p>
    <w:p w14:paraId="081880C4" w14:textId="77777777" w:rsidR="00103456" w:rsidRPr="00EF0CB9" w:rsidRDefault="00000000" w:rsidP="003B001E">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lastRenderedPageBreak/>
        <w:t>Certificamos que a presente é cópia fiel da ata original lavrada no livro próprio.</w:t>
      </w:r>
    </w:p>
    <w:p w14:paraId="081880C5"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p w14:paraId="081880C6"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A655ED" w14:paraId="081880CD" w14:textId="77777777" w:rsidTr="36D59DF8">
        <w:tc>
          <w:tcPr>
            <w:tcW w:w="4702" w:type="dxa"/>
          </w:tcPr>
          <w:p w14:paraId="081880C7" w14:textId="77777777" w:rsidR="00103456" w:rsidRPr="00EF0CB9" w:rsidRDefault="00000000"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81880C8" w14:textId="77777777" w:rsidR="006A776B" w:rsidRPr="00EF0CB9" w:rsidRDefault="00000000" w:rsidP="003B001E">
            <w:pPr>
              <w:spacing w:line="320" w:lineRule="exact"/>
              <w:jc w:val="center"/>
              <w:rPr>
                <w:color w:val="000000" w:themeColor="text1"/>
                <w:sz w:val="22"/>
                <w:szCs w:val="22"/>
              </w:rPr>
            </w:pPr>
            <w:r w:rsidRPr="00EF0CB9">
              <w:rPr>
                <w:color w:val="000000" w:themeColor="text1"/>
                <w:sz w:val="22"/>
                <w:szCs w:val="22"/>
              </w:rPr>
              <w:t>[●]</w:t>
            </w:r>
          </w:p>
          <w:p w14:paraId="081880C9" w14:textId="77777777" w:rsidR="00103456" w:rsidRPr="00EF0CB9" w:rsidRDefault="00000000" w:rsidP="003B001E">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14:paraId="081880CA" w14:textId="77777777" w:rsidR="00103456" w:rsidRPr="00EF0CB9" w:rsidRDefault="00000000"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81880CB" w14:textId="77777777" w:rsidR="006A776B" w:rsidRPr="00EF0CB9" w:rsidRDefault="00000000" w:rsidP="003B001E">
            <w:pPr>
              <w:spacing w:line="320" w:lineRule="exact"/>
              <w:jc w:val="center"/>
              <w:rPr>
                <w:color w:val="000000" w:themeColor="text1"/>
                <w:sz w:val="22"/>
                <w:szCs w:val="22"/>
              </w:rPr>
            </w:pPr>
            <w:r w:rsidRPr="00EF0CB9">
              <w:rPr>
                <w:color w:val="000000" w:themeColor="text1"/>
                <w:sz w:val="22"/>
                <w:szCs w:val="22"/>
              </w:rPr>
              <w:t>[●]</w:t>
            </w:r>
          </w:p>
          <w:p w14:paraId="081880CC" w14:textId="77777777" w:rsidR="00103456" w:rsidRPr="00EF0CB9" w:rsidRDefault="00000000" w:rsidP="003B001E">
            <w:pPr>
              <w:spacing w:line="320" w:lineRule="exact"/>
              <w:jc w:val="center"/>
              <w:rPr>
                <w:b/>
                <w:color w:val="000000" w:themeColor="text1"/>
                <w:sz w:val="22"/>
                <w:szCs w:val="22"/>
              </w:rPr>
            </w:pPr>
            <w:r w:rsidRPr="00EF0CB9">
              <w:rPr>
                <w:b/>
                <w:color w:val="000000" w:themeColor="text1"/>
                <w:sz w:val="22"/>
                <w:szCs w:val="22"/>
              </w:rPr>
              <w:t>Secretári</w:t>
            </w:r>
            <w:r w:rsidR="006A776B" w:rsidRPr="00EF0CB9">
              <w:rPr>
                <w:b/>
                <w:color w:val="000000" w:themeColor="text1"/>
                <w:sz w:val="22"/>
                <w:szCs w:val="22"/>
              </w:rPr>
              <w:t>[</w:t>
            </w:r>
            <w:r w:rsidR="00C4632B" w:rsidRPr="00EF0CB9">
              <w:rPr>
                <w:b/>
                <w:color w:val="000000" w:themeColor="text1"/>
                <w:sz w:val="22"/>
                <w:szCs w:val="22"/>
              </w:rPr>
              <w:t>o</w:t>
            </w:r>
            <w:r w:rsidR="006A776B" w:rsidRPr="00EF0CB9">
              <w:rPr>
                <w:b/>
                <w:color w:val="000000" w:themeColor="text1"/>
                <w:sz w:val="22"/>
                <w:szCs w:val="22"/>
              </w:rPr>
              <w:t>/a]</w:t>
            </w:r>
          </w:p>
        </w:tc>
      </w:tr>
    </w:tbl>
    <w:p w14:paraId="081880CE" w14:textId="77777777" w:rsidR="00103456" w:rsidRPr="00EF0CB9" w:rsidRDefault="00103456" w:rsidP="003B001E">
      <w:pPr>
        <w:pStyle w:val="Corpodetexto"/>
        <w:spacing w:line="320" w:lineRule="exact"/>
        <w:jc w:val="center"/>
        <w:rPr>
          <w:b/>
          <w:color w:val="000000" w:themeColor="text1"/>
          <w:sz w:val="22"/>
          <w:szCs w:val="22"/>
        </w:rPr>
      </w:pPr>
    </w:p>
    <w:p w14:paraId="081880CF" w14:textId="77777777" w:rsidR="00103456" w:rsidRPr="00EF0CB9" w:rsidRDefault="00000000"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14:paraId="081880D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A655ED" w14:paraId="081880D6" w14:textId="77777777" w:rsidTr="001839E0">
        <w:tc>
          <w:tcPr>
            <w:tcW w:w="4702" w:type="dxa"/>
          </w:tcPr>
          <w:p w14:paraId="081880D1" w14:textId="77777777" w:rsidR="00103456" w:rsidRPr="00EF0CB9" w:rsidRDefault="00000000"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81880D2" w14:textId="77777777" w:rsidR="006A776B" w:rsidRPr="00EF0CB9" w:rsidRDefault="00000000" w:rsidP="003B001E">
            <w:pPr>
              <w:spacing w:line="320" w:lineRule="exact"/>
              <w:jc w:val="center"/>
              <w:rPr>
                <w:color w:val="000000" w:themeColor="text1"/>
                <w:sz w:val="22"/>
                <w:szCs w:val="22"/>
              </w:rPr>
            </w:pPr>
            <w:r w:rsidRPr="00EF0CB9">
              <w:rPr>
                <w:color w:val="000000" w:themeColor="text1"/>
                <w:sz w:val="22"/>
                <w:szCs w:val="22"/>
              </w:rPr>
              <w:t>[●]</w:t>
            </w:r>
          </w:p>
          <w:p w14:paraId="081880D3" w14:textId="77777777" w:rsidR="00763909" w:rsidRPr="00EF0CB9" w:rsidRDefault="00000000" w:rsidP="003B001E">
            <w:pPr>
              <w:spacing w:line="320" w:lineRule="exact"/>
              <w:jc w:val="center"/>
              <w:rPr>
                <w:b/>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p>
          <w:p w14:paraId="081880D4" w14:textId="77777777" w:rsidR="00103456" w:rsidRPr="00EF0CB9" w:rsidRDefault="00000000" w:rsidP="003B001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14:paraId="081880D5" w14:textId="77777777" w:rsidR="00103456" w:rsidRPr="00EF0CB9" w:rsidRDefault="00103456" w:rsidP="003B001E">
            <w:pPr>
              <w:spacing w:line="320" w:lineRule="exact"/>
              <w:jc w:val="center"/>
              <w:rPr>
                <w:color w:val="000000" w:themeColor="text1"/>
                <w:sz w:val="22"/>
                <w:szCs w:val="22"/>
              </w:rPr>
            </w:pPr>
          </w:p>
        </w:tc>
      </w:tr>
    </w:tbl>
    <w:p w14:paraId="081880D7"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p w14:paraId="081880D8" w14:textId="77777777" w:rsidR="00F80E3B" w:rsidRPr="00EF0CB9" w:rsidRDefault="00F80E3B" w:rsidP="003B001E">
      <w:pPr>
        <w:pStyle w:val="Default"/>
        <w:spacing w:line="320" w:lineRule="exact"/>
        <w:rPr>
          <w:rFonts w:ascii="Times New Roman" w:hAnsi="Times New Roman" w:cs="Times New Roman"/>
          <w:b/>
          <w:color w:val="000000" w:themeColor="text1"/>
          <w:sz w:val="22"/>
          <w:szCs w:val="22"/>
        </w:rPr>
      </w:pPr>
    </w:p>
    <w:p w14:paraId="081880D9" w14:textId="77777777" w:rsidR="00103456" w:rsidRPr="00EF0CB9" w:rsidRDefault="00000000"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p>
    <w:p w14:paraId="081880DA"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firstRow="1" w:lastRow="1" w:firstColumn="1" w:lastColumn="1" w:noHBand="0" w:noVBand="0"/>
      </w:tblPr>
      <w:tblGrid>
        <w:gridCol w:w="4702"/>
        <w:gridCol w:w="4702"/>
      </w:tblGrid>
      <w:tr w:rsidR="00A655ED" w14:paraId="081880E3" w14:textId="77777777" w:rsidTr="6F28AC1A">
        <w:trPr>
          <w:trHeight w:val="884"/>
        </w:trPr>
        <w:tc>
          <w:tcPr>
            <w:tcW w:w="4702" w:type="dxa"/>
          </w:tcPr>
          <w:p w14:paraId="081880DB" w14:textId="77777777" w:rsidR="00103456" w:rsidRPr="00EF0CB9" w:rsidRDefault="00000000"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81880DC" w14:textId="77777777" w:rsidR="006A776B" w:rsidRPr="00EF0CB9" w:rsidRDefault="00000000" w:rsidP="003B001E">
            <w:pPr>
              <w:spacing w:line="320" w:lineRule="exact"/>
              <w:jc w:val="center"/>
              <w:rPr>
                <w:color w:val="000000" w:themeColor="text1"/>
                <w:sz w:val="22"/>
                <w:szCs w:val="22"/>
              </w:rPr>
            </w:pPr>
            <w:r w:rsidRPr="00EF0CB9">
              <w:rPr>
                <w:color w:val="000000" w:themeColor="text1"/>
                <w:sz w:val="22"/>
                <w:szCs w:val="22"/>
              </w:rPr>
              <w:t>[●]</w:t>
            </w:r>
          </w:p>
          <w:p w14:paraId="081880DD" w14:textId="77777777" w:rsidR="004E306C" w:rsidRPr="00EF0CB9" w:rsidRDefault="00000000" w:rsidP="003B001E">
            <w:pPr>
              <w:spacing w:line="320" w:lineRule="exact"/>
              <w:jc w:val="center"/>
              <w:rPr>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p>
          <w:p w14:paraId="081880DE" w14:textId="77777777" w:rsidR="00103456" w:rsidRPr="00EF0CB9" w:rsidRDefault="00000000"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c>
          <w:tcPr>
            <w:tcW w:w="4702" w:type="dxa"/>
          </w:tcPr>
          <w:p w14:paraId="081880DF" w14:textId="77777777" w:rsidR="00103456" w:rsidRPr="00EF0CB9" w:rsidRDefault="00000000"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81880E0" w14:textId="77777777" w:rsidR="006A776B" w:rsidRPr="00EF0CB9" w:rsidRDefault="00000000" w:rsidP="003B001E">
            <w:pPr>
              <w:spacing w:line="320" w:lineRule="exact"/>
              <w:jc w:val="center"/>
              <w:rPr>
                <w:color w:val="000000" w:themeColor="text1"/>
                <w:sz w:val="22"/>
                <w:szCs w:val="22"/>
              </w:rPr>
            </w:pPr>
            <w:r w:rsidRPr="00EF0CB9">
              <w:rPr>
                <w:color w:val="000000" w:themeColor="text1"/>
                <w:sz w:val="22"/>
                <w:szCs w:val="22"/>
              </w:rPr>
              <w:t>[●]</w:t>
            </w:r>
          </w:p>
          <w:p w14:paraId="081880E1" w14:textId="77777777" w:rsidR="006A776B" w:rsidRPr="00EF0CB9" w:rsidRDefault="00000000" w:rsidP="003B001E">
            <w:pPr>
              <w:spacing w:line="320" w:lineRule="exact"/>
              <w:jc w:val="center"/>
              <w:rPr>
                <w:color w:val="000000" w:themeColor="text1"/>
                <w:sz w:val="22"/>
                <w:szCs w:val="22"/>
              </w:rPr>
            </w:pPr>
            <w:r w:rsidRPr="00EF0CB9">
              <w:rPr>
                <w:color w:val="000000" w:themeColor="text1"/>
                <w:sz w:val="22"/>
                <w:szCs w:val="22"/>
              </w:rPr>
              <w:t>CPF: [●]</w:t>
            </w:r>
          </w:p>
          <w:p w14:paraId="081880E2" w14:textId="77777777" w:rsidR="00103456" w:rsidRPr="00EF0CB9" w:rsidRDefault="00000000"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r>
    </w:tbl>
    <w:p w14:paraId="081880E4" w14:textId="77777777" w:rsidR="001E2D25" w:rsidRPr="00EF0CB9" w:rsidRDefault="00000000" w:rsidP="003B001E">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14:paraId="081880E5" w14:textId="77777777" w:rsidR="001E2D25" w:rsidRPr="00EF0CB9" w:rsidRDefault="00000000" w:rsidP="003B001E">
      <w:pPr>
        <w:pStyle w:val="Corpodetexto"/>
        <w:spacing w:line="320" w:lineRule="exact"/>
        <w:jc w:val="center"/>
        <w:rPr>
          <w:color w:val="000000" w:themeColor="text1"/>
          <w:sz w:val="22"/>
          <w:szCs w:val="22"/>
        </w:rPr>
      </w:pPr>
      <w:r w:rsidRPr="00EF0CB9">
        <w:rPr>
          <w:b/>
          <w:bCs/>
          <w:color w:val="000000" w:themeColor="text1"/>
          <w:sz w:val="22"/>
          <w:szCs w:val="22"/>
        </w:rPr>
        <w:lastRenderedPageBreak/>
        <w:t>ANEXO I</w:t>
      </w:r>
    </w:p>
    <w:p w14:paraId="081880E6" w14:textId="77777777" w:rsidR="001E2D25" w:rsidRPr="00EF0CB9" w:rsidRDefault="001E2D25" w:rsidP="003B001E">
      <w:pPr>
        <w:widowControl/>
        <w:tabs>
          <w:tab w:val="left" w:pos="576"/>
          <w:tab w:val="left" w:pos="1152"/>
        </w:tabs>
        <w:autoSpaceDE/>
        <w:autoSpaceDN/>
        <w:adjustRightInd/>
        <w:spacing w:line="320" w:lineRule="exact"/>
        <w:ind w:right="-6"/>
        <w:jc w:val="center"/>
        <w:rPr>
          <w:color w:val="000000" w:themeColor="text1"/>
          <w:sz w:val="22"/>
          <w:szCs w:val="22"/>
        </w:rPr>
      </w:pPr>
    </w:p>
    <w:p w14:paraId="081880E7" w14:textId="77777777" w:rsidR="001E2D25" w:rsidRPr="00EF0CB9" w:rsidRDefault="00000000" w:rsidP="003B001E">
      <w:pPr>
        <w:pStyle w:val="Corpodetexto"/>
        <w:spacing w:line="320" w:lineRule="exact"/>
        <w:jc w:val="center"/>
        <w:rPr>
          <w:color w:val="000000" w:themeColor="text1"/>
          <w:sz w:val="22"/>
          <w:szCs w:val="22"/>
        </w:rPr>
      </w:pPr>
      <w:r w:rsidRPr="00EF0CB9">
        <w:rPr>
          <w:b/>
          <w:bCs/>
          <w:color w:val="000000" w:themeColor="text1"/>
          <w:sz w:val="22"/>
          <w:szCs w:val="22"/>
        </w:rPr>
        <w:t>Lista de</w:t>
      </w:r>
      <w:r w:rsidR="004437A4" w:rsidRPr="00EF0CB9">
        <w:rPr>
          <w:b/>
          <w:bCs/>
          <w:color w:val="000000" w:themeColor="text1"/>
          <w:sz w:val="22"/>
          <w:szCs w:val="22"/>
        </w:rPr>
        <w:t xml:space="preserve"> Presença d</w:t>
      </w:r>
      <w:r w:rsidRPr="00EF0CB9">
        <w:rPr>
          <w:b/>
          <w:bCs/>
          <w:color w:val="000000" w:themeColor="text1"/>
          <w:sz w:val="22"/>
          <w:szCs w:val="22"/>
        </w:rPr>
        <w:t xml:space="preserve">a Assembleia </w:t>
      </w:r>
      <w:r w:rsidR="00D95C07" w:rsidRPr="00EF0CB9">
        <w:rPr>
          <w:b/>
          <w:bCs/>
          <w:color w:val="000000" w:themeColor="text1"/>
          <w:sz w:val="22"/>
          <w:szCs w:val="22"/>
        </w:rPr>
        <w:t xml:space="preserve">Especial de Investidores de Certificados de Recebíveis </w:t>
      </w:r>
      <w:r w:rsidR="00CE3830" w:rsidRPr="00EF0CB9">
        <w:rPr>
          <w:b/>
          <w:bCs/>
          <w:color w:val="000000" w:themeColor="text1"/>
          <w:sz w:val="22"/>
          <w:szCs w:val="22"/>
        </w:rPr>
        <w:t>Imobiliários</w:t>
      </w:r>
      <w:r w:rsidRPr="00EF0CB9">
        <w:rPr>
          <w:b/>
          <w:bCs/>
          <w:color w:val="000000" w:themeColor="text1"/>
          <w:sz w:val="22"/>
          <w:szCs w:val="22"/>
        </w:rPr>
        <w:t xml:space="preserve"> da </w:t>
      </w:r>
      <w:r w:rsidR="00CE3830" w:rsidRPr="00EF0CB9">
        <w:rPr>
          <w:b/>
          <w:bCs/>
          <w:color w:val="000000" w:themeColor="text1"/>
          <w:sz w:val="22"/>
          <w:szCs w:val="22"/>
        </w:rPr>
        <w:t xml:space="preserve">275ª Série da 1ª Emissão </w:t>
      </w:r>
      <w:r w:rsidR="006A776B" w:rsidRPr="00EF0CB9">
        <w:rPr>
          <w:b/>
          <w:bCs/>
          <w:color w:val="000000" w:themeColor="text1"/>
          <w:sz w:val="22"/>
          <w:szCs w:val="22"/>
        </w:rPr>
        <w:t xml:space="preserve">da </w:t>
      </w:r>
      <w:r w:rsidR="00CE3830" w:rsidRPr="00EF0CB9">
        <w:rPr>
          <w:b/>
          <w:bCs/>
          <w:color w:val="000000" w:themeColor="text1"/>
          <w:sz w:val="22"/>
          <w:szCs w:val="22"/>
        </w:rPr>
        <w:t>Opea</w:t>
      </w:r>
      <w:r w:rsidR="00D95C07" w:rsidRPr="00EF0CB9">
        <w:rPr>
          <w:b/>
          <w:bCs/>
          <w:color w:val="000000" w:themeColor="text1"/>
          <w:sz w:val="22"/>
          <w:szCs w:val="22"/>
        </w:rPr>
        <w:t xml:space="preserve"> Securitizadora </w:t>
      </w:r>
      <w:r w:rsidR="006A776B" w:rsidRPr="00EF0CB9">
        <w:rPr>
          <w:b/>
          <w:bCs/>
          <w:color w:val="000000" w:themeColor="text1"/>
          <w:sz w:val="22"/>
          <w:szCs w:val="22"/>
        </w:rPr>
        <w:t xml:space="preserve">S.A., realizada em </w:t>
      </w:r>
      <w:r w:rsidR="006A776B" w:rsidRPr="00EF0CB9">
        <w:rPr>
          <w:b/>
          <w:bCs/>
          <w:color w:val="000000" w:themeColor="text1"/>
          <w:sz w:val="22"/>
          <w:szCs w:val="22"/>
          <w:highlight w:val="lightGray"/>
        </w:rPr>
        <w:t>[●]</w:t>
      </w:r>
      <w:r w:rsidR="006A776B" w:rsidRPr="00EF0CB9">
        <w:rPr>
          <w:b/>
          <w:bCs/>
          <w:color w:val="000000" w:themeColor="text1"/>
          <w:sz w:val="22"/>
          <w:szCs w:val="22"/>
        </w:rPr>
        <w:t xml:space="preserve"> de </w:t>
      </w:r>
      <w:r w:rsidR="006A776B" w:rsidRPr="00EF0CB9">
        <w:rPr>
          <w:b/>
          <w:bCs/>
          <w:color w:val="000000" w:themeColor="text1"/>
          <w:sz w:val="22"/>
          <w:szCs w:val="22"/>
          <w:highlight w:val="lightGray"/>
        </w:rPr>
        <w:t>[●]</w:t>
      </w:r>
      <w:r w:rsidR="006A776B" w:rsidRPr="00EF0CB9">
        <w:rPr>
          <w:b/>
          <w:bCs/>
          <w:color w:val="000000" w:themeColor="text1"/>
          <w:sz w:val="22"/>
          <w:szCs w:val="22"/>
        </w:rPr>
        <w:t xml:space="preserve"> de 2022</w:t>
      </w:r>
    </w:p>
    <w:p w14:paraId="081880E8" w14:textId="77777777" w:rsidR="001E2D25" w:rsidRPr="00EF0CB9" w:rsidRDefault="001E2D25" w:rsidP="003B001E">
      <w:pPr>
        <w:widowControl/>
        <w:autoSpaceDE/>
        <w:autoSpaceDN/>
        <w:adjustRightInd/>
        <w:spacing w:line="320" w:lineRule="exact"/>
        <w:jc w:val="center"/>
        <w:rPr>
          <w:b/>
          <w:bCs/>
          <w:color w:val="000000" w:themeColor="text1"/>
          <w:sz w:val="22"/>
          <w:szCs w:val="22"/>
        </w:rPr>
      </w:pPr>
    </w:p>
    <w:tbl>
      <w:tblPr>
        <w:tblStyle w:val="Tabelacomgrade"/>
        <w:tblW w:w="9516" w:type="dxa"/>
        <w:jc w:val="center"/>
        <w:tblLayout w:type="fixed"/>
        <w:tblLook w:val="04A0" w:firstRow="1" w:lastRow="0" w:firstColumn="1" w:lastColumn="0" w:noHBand="0" w:noVBand="1"/>
      </w:tblPr>
      <w:tblGrid>
        <w:gridCol w:w="5175"/>
        <w:gridCol w:w="1545"/>
        <w:gridCol w:w="2796"/>
      </w:tblGrid>
      <w:tr w:rsidR="00A655ED" w14:paraId="081880EC" w14:textId="77777777" w:rsidTr="006A776B">
        <w:trPr>
          <w:trHeight w:val="405"/>
          <w:jc w:val="center"/>
        </w:trPr>
        <w:tc>
          <w:tcPr>
            <w:tcW w:w="5175" w:type="dxa"/>
            <w:vAlign w:val="center"/>
          </w:tcPr>
          <w:p w14:paraId="081880E9" w14:textId="77777777" w:rsidR="6F28AC1A" w:rsidRPr="00EF0CB9" w:rsidRDefault="00000000" w:rsidP="003B001E">
            <w:pPr>
              <w:spacing w:line="320" w:lineRule="exact"/>
              <w:jc w:val="left"/>
              <w:rPr>
                <w:b/>
                <w:bCs/>
                <w:color w:val="000000" w:themeColor="text1"/>
                <w:sz w:val="22"/>
                <w:szCs w:val="22"/>
              </w:rPr>
            </w:pPr>
            <w:r w:rsidRPr="00EF0CB9">
              <w:rPr>
                <w:b/>
                <w:bCs/>
                <w:color w:val="000000" w:themeColor="text1"/>
                <w:sz w:val="22"/>
                <w:szCs w:val="22"/>
              </w:rPr>
              <w:t>Titulares de CRI</w:t>
            </w:r>
          </w:p>
        </w:tc>
        <w:tc>
          <w:tcPr>
            <w:tcW w:w="1545" w:type="dxa"/>
            <w:vAlign w:val="center"/>
          </w:tcPr>
          <w:p w14:paraId="081880EA" w14:textId="77777777" w:rsidR="6F28AC1A" w:rsidRPr="00EF0CB9" w:rsidRDefault="00000000" w:rsidP="003B001E">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14:paraId="081880EB" w14:textId="77777777" w:rsidR="6F28AC1A" w:rsidRPr="00EF0CB9" w:rsidRDefault="00000000" w:rsidP="003B001E">
            <w:pPr>
              <w:spacing w:line="320" w:lineRule="exact"/>
              <w:jc w:val="left"/>
              <w:rPr>
                <w:b/>
                <w:bCs/>
                <w:color w:val="000000" w:themeColor="text1"/>
                <w:sz w:val="22"/>
                <w:szCs w:val="22"/>
              </w:rPr>
            </w:pPr>
            <w:r w:rsidRPr="00EF0CB9">
              <w:rPr>
                <w:b/>
                <w:bCs/>
                <w:color w:val="000000" w:themeColor="text1"/>
                <w:sz w:val="22"/>
                <w:szCs w:val="22"/>
              </w:rPr>
              <w:t>Representante</w:t>
            </w:r>
          </w:p>
        </w:tc>
      </w:tr>
      <w:tr w:rsidR="00A655ED" w14:paraId="081880F0" w14:textId="77777777" w:rsidTr="00434069">
        <w:trPr>
          <w:jc w:val="center"/>
        </w:trPr>
        <w:tc>
          <w:tcPr>
            <w:tcW w:w="5175" w:type="dxa"/>
          </w:tcPr>
          <w:p w14:paraId="081880ED"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081880EE"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081880EF"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r>
      <w:tr w:rsidR="00A655ED" w14:paraId="081880F4" w14:textId="77777777" w:rsidTr="00434069">
        <w:trPr>
          <w:jc w:val="center"/>
        </w:trPr>
        <w:tc>
          <w:tcPr>
            <w:tcW w:w="5175" w:type="dxa"/>
          </w:tcPr>
          <w:p w14:paraId="081880F1"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081880F2"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081880F3"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r>
      <w:tr w:rsidR="00A655ED" w14:paraId="081880F8" w14:textId="77777777" w:rsidTr="00434069">
        <w:trPr>
          <w:jc w:val="center"/>
        </w:trPr>
        <w:tc>
          <w:tcPr>
            <w:tcW w:w="5175" w:type="dxa"/>
          </w:tcPr>
          <w:p w14:paraId="081880F5"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081880F6"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081880F7"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r>
      <w:tr w:rsidR="00A655ED" w14:paraId="081880FC" w14:textId="77777777" w:rsidTr="00434069">
        <w:trPr>
          <w:jc w:val="center"/>
        </w:trPr>
        <w:tc>
          <w:tcPr>
            <w:tcW w:w="5175" w:type="dxa"/>
          </w:tcPr>
          <w:p w14:paraId="081880F9"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081880FA"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081880FB" w14:textId="77777777" w:rsidR="006A776B" w:rsidRPr="00EF0CB9" w:rsidRDefault="00000000" w:rsidP="003B001E">
            <w:pPr>
              <w:spacing w:line="320" w:lineRule="exact"/>
              <w:jc w:val="left"/>
              <w:rPr>
                <w:color w:val="000000" w:themeColor="text1"/>
                <w:sz w:val="22"/>
                <w:szCs w:val="22"/>
              </w:rPr>
            </w:pPr>
            <w:r w:rsidRPr="00EF0CB9">
              <w:rPr>
                <w:color w:val="000000" w:themeColor="text1"/>
                <w:sz w:val="22"/>
                <w:szCs w:val="22"/>
              </w:rPr>
              <w:t>[●]</w:t>
            </w:r>
          </w:p>
        </w:tc>
      </w:tr>
    </w:tbl>
    <w:p w14:paraId="081880FD" w14:textId="77777777" w:rsidR="001E2D25" w:rsidRPr="00EF0CB9" w:rsidRDefault="001E2D25" w:rsidP="003B001E">
      <w:pPr>
        <w:widowControl/>
        <w:autoSpaceDE/>
        <w:autoSpaceDN/>
        <w:adjustRightInd/>
        <w:spacing w:line="320" w:lineRule="exact"/>
        <w:rPr>
          <w:color w:val="000000" w:themeColor="text1"/>
          <w:sz w:val="22"/>
          <w:szCs w:val="22"/>
        </w:rPr>
      </w:pPr>
    </w:p>
    <w:p w14:paraId="081880FE" w14:textId="77777777" w:rsidR="007C1BB4" w:rsidRPr="00EF0CB9" w:rsidRDefault="00000000">
      <w:pPr>
        <w:widowControl/>
        <w:autoSpaceDE/>
        <w:autoSpaceDN/>
        <w:adjustRightInd/>
        <w:jc w:val="left"/>
        <w:rPr>
          <w:color w:val="000000" w:themeColor="text1"/>
          <w:sz w:val="22"/>
          <w:szCs w:val="22"/>
        </w:rPr>
      </w:pPr>
      <w:r w:rsidRPr="00EF0CB9">
        <w:rPr>
          <w:color w:val="000000" w:themeColor="text1"/>
          <w:sz w:val="22"/>
          <w:szCs w:val="22"/>
        </w:rPr>
        <w:br w:type="page"/>
      </w:r>
    </w:p>
    <w:p w14:paraId="081880FF" w14:textId="77777777" w:rsidR="007C1BB4"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II </w:t>
      </w:r>
    </w:p>
    <w:p w14:paraId="08188100" w14:textId="77777777" w:rsidR="00CC2753" w:rsidRDefault="00CC2753" w:rsidP="007C1BB4">
      <w:pPr>
        <w:widowControl/>
        <w:autoSpaceDE/>
        <w:autoSpaceDN/>
        <w:adjustRightInd/>
        <w:spacing w:line="320" w:lineRule="exact"/>
        <w:jc w:val="center"/>
        <w:rPr>
          <w:b/>
          <w:bCs/>
          <w:color w:val="000000" w:themeColor="text1"/>
          <w:sz w:val="22"/>
          <w:szCs w:val="22"/>
        </w:rPr>
      </w:pPr>
    </w:p>
    <w:p w14:paraId="08188101" w14:textId="77777777" w:rsidR="00CC2753" w:rsidRDefault="00000000" w:rsidP="00CC2753">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14:paraId="08188102" w14:textId="77777777" w:rsidR="00CC2753" w:rsidRDefault="00CC2753" w:rsidP="00CC2753">
      <w:pPr>
        <w:spacing w:line="320" w:lineRule="exact"/>
        <w:jc w:val="center"/>
        <w:rPr>
          <w:b/>
          <w:sz w:val="22"/>
          <w:szCs w:val="22"/>
        </w:rPr>
      </w:pPr>
    </w:p>
    <w:tbl>
      <w:tblPr>
        <w:tblStyle w:val="Tabelacomgrade"/>
        <w:tblW w:w="0" w:type="auto"/>
        <w:tblLook w:val="04A0" w:firstRow="1" w:lastRow="0" w:firstColumn="1" w:lastColumn="0" w:noHBand="0" w:noVBand="1"/>
      </w:tblPr>
      <w:tblGrid>
        <w:gridCol w:w="4360"/>
        <w:gridCol w:w="4361"/>
      </w:tblGrid>
      <w:tr w:rsidR="00A655ED" w14:paraId="08188105" w14:textId="77777777" w:rsidTr="00983396">
        <w:tc>
          <w:tcPr>
            <w:tcW w:w="4360" w:type="dxa"/>
            <w:shd w:val="clear" w:color="auto" w:fill="D0CECE" w:themeFill="background2" w:themeFillShade="E6"/>
          </w:tcPr>
          <w:p w14:paraId="08188103" w14:textId="77777777" w:rsidR="00CC2753" w:rsidRDefault="00000000"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08188104" w14:textId="77777777" w:rsidR="00CC2753" w:rsidRDefault="00000000" w:rsidP="00983396">
            <w:pPr>
              <w:spacing w:line="320" w:lineRule="exact"/>
              <w:jc w:val="center"/>
              <w:rPr>
                <w:b/>
                <w:sz w:val="22"/>
                <w:szCs w:val="22"/>
              </w:rPr>
            </w:pPr>
            <w:r>
              <w:rPr>
                <w:b/>
                <w:sz w:val="22"/>
                <w:szCs w:val="22"/>
              </w:rPr>
              <w:t>Unidades objeto da Baixa das Hipotecas</w:t>
            </w:r>
          </w:p>
        </w:tc>
      </w:tr>
      <w:tr w:rsidR="00A655ED" w14:paraId="08188108" w14:textId="77777777" w:rsidTr="00983396">
        <w:tc>
          <w:tcPr>
            <w:tcW w:w="4360" w:type="dxa"/>
          </w:tcPr>
          <w:p w14:paraId="08188106" w14:textId="77777777" w:rsidR="00CC2753" w:rsidRPr="00983396" w:rsidRDefault="00000000" w:rsidP="00983396">
            <w:pPr>
              <w:spacing w:line="320" w:lineRule="exact"/>
              <w:jc w:val="center"/>
              <w:rPr>
                <w:bCs/>
                <w:sz w:val="22"/>
                <w:szCs w:val="22"/>
              </w:rPr>
            </w:pPr>
            <w:r w:rsidRPr="00983396">
              <w:rPr>
                <w:bCs/>
                <w:sz w:val="22"/>
                <w:szCs w:val="22"/>
              </w:rPr>
              <w:t>Moov Parque Maia</w:t>
            </w:r>
          </w:p>
        </w:tc>
        <w:tc>
          <w:tcPr>
            <w:tcW w:w="4361" w:type="dxa"/>
          </w:tcPr>
          <w:p w14:paraId="08188107"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0B" w14:textId="77777777" w:rsidTr="00983396">
        <w:tc>
          <w:tcPr>
            <w:tcW w:w="4360" w:type="dxa"/>
          </w:tcPr>
          <w:p w14:paraId="08188109" w14:textId="77777777" w:rsidR="00CC2753" w:rsidRPr="00983396" w:rsidRDefault="00000000" w:rsidP="00983396">
            <w:pPr>
              <w:spacing w:line="320" w:lineRule="exact"/>
              <w:jc w:val="center"/>
              <w:rPr>
                <w:bCs/>
                <w:sz w:val="22"/>
                <w:szCs w:val="22"/>
              </w:rPr>
            </w:pPr>
            <w:r w:rsidRPr="00983396">
              <w:rPr>
                <w:bCs/>
                <w:sz w:val="22"/>
                <w:szCs w:val="22"/>
              </w:rPr>
              <w:t>Belvedere Lorian Boulevard</w:t>
            </w:r>
          </w:p>
        </w:tc>
        <w:tc>
          <w:tcPr>
            <w:tcW w:w="4361" w:type="dxa"/>
          </w:tcPr>
          <w:p w14:paraId="0818810A"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0E" w14:textId="77777777" w:rsidTr="00983396">
        <w:tc>
          <w:tcPr>
            <w:tcW w:w="4360" w:type="dxa"/>
          </w:tcPr>
          <w:p w14:paraId="0818810C" w14:textId="77777777" w:rsidR="00CC2753" w:rsidRPr="00983396" w:rsidRDefault="00000000" w:rsidP="00983396">
            <w:pPr>
              <w:spacing w:line="320" w:lineRule="exact"/>
              <w:jc w:val="center"/>
              <w:rPr>
                <w:bCs/>
                <w:sz w:val="22"/>
                <w:szCs w:val="22"/>
              </w:rPr>
            </w:pPr>
            <w:r w:rsidRPr="00983396">
              <w:rPr>
                <w:bCs/>
                <w:sz w:val="22"/>
                <w:szCs w:val="22"/>
              </w:rPr>
              <w:t>Scena Tatuapé</w:t>
            </w:r>
          </w:p>
        </w:tc>
        <w:tc>
          <w:tcPr>
            <w:tcW w:w="4361" w:type="dxa"/>
          </w:tcPr>
          <w:p w14:paraId="0818810D"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11" w14:textId="77777777" w:rsidTr="00983396">
        <w:tc>
          <w:tcPr>
            <w:tcW w:w="4360" w:type="dxa"/>
          </w:tcPr>
          <w:p w14:paraId="0818810F" w14:textId="77777777" w:rsidR="00CC2753" w:rsidRPr="00983396" w:rsidRDefault="00000000" w:rsidP="00983396">
            <w:pPr>
              <w:spacing w:line="320" w:lineRule="exact"/>
              <w:jc w:val="center"/>
              <w:rPr>
                <w:bCs/>
                <w:sz w:val="22"/>
                <w:szCs w:val="22"/>
              </w:rPr>
            </w:pPr>
            <w:r w:rsidRPr="00983396">
              <w:rPr>
                <w:bCs/>
                <w:sz w:val="22"/>
                <w:szCs w:val="22"/>
              </w:rPr>
              <w:t>Gafisa Upside Paraíso</w:t>
            </w:r>
          </w:p>
        </w:tc>
        <w:tc>
          <w:tcPr>
            <w:tcW w:w="4361" w:type="dxa"/>
          </w:tcPr>
          <w:p w14:paraId="08188110"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14" w14:textId="77777777" w:rsidTr="00983396">
        <w:tc>
          <w:tcPr>
            <w:tcW w:w="4360" w:type="dxa"/>
          </w:tcPr>
          <w:p w14:paraId="08188112" w14:textId="77777777" w:rsidR="00CC2753" w:rsidRPr="00983396" w:rsidRDefault="00000000" w:rsidP="00983396">
            <w:pPr>
              <w:spacing w:line="320" w:lineRule="exact"/>
              <w:jc w:val="center"/>
              <w:rPr>
                <w:bCs/>
                <w:sz w:val="22"/>
                <w:szCs w:val="22"/>
              </w:rPr>
            </w:pPr>
            <w:r w:rsidRPr="00983396">
              <w:rPr>
                <w:bCs/>
                <w:sz w:val="22"/>
                <w:szCs w:val="22"/>
              </w:rPr>
              <w:t>Moov Estação Brás</w:t>
            </w:r>
          </w:p>
        </w:tc>
        <w:tc>
          <w:tcPr>
            <w:tcW w:w="4361" w:type="dxa"/>
          </w:tcPr>
          <w:p w14:paraId="08188113"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17" w14:textId="77777777" w:rsidTr="00983396">
        <w:tc>
          <w:tcPr>
            <w:tcW w:w="4360" w:type="dxa"/>
          </w:tcPr>
          <w:p w14:paraId="08188115" w14:textId="77777777" w:rsidR="00CC2753" w:rsidRPr="00983396" w:rsidRDefault="00000000" w:rsidP="00983396">
            <w:pPr>
              <w:spacing w:line="320" w:lineRule="exact"/>
              <w:jc w:val="center"/>
              <w:rPr>
                <w:bCs/>
                <w:sz w:val="22"/>
                <w:szCs w:val="22"/>
              </w:rPr>
            </w:pPr>
            <w:r w:rsidRPr="00983396">
              <w:rPr>
                <w:bCs/>
                <w:sz w:val="22"/>
                <w:szCs w:val="22"/>
              </w:rPr>
              <w:t>Moov Belém</w:t>
            </w:r>
          </w:p>
        </w:tc>
        <w:tc>
          <w:tcPr>
            <w:tcW w:w="4361" w:type="dxa"/>
          </w:tcPr>
          <w:p w14:paraId="08188116"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1A" w14:textId="77777777" w:rsidTr="00983396">
        <w:tc>
          <w:tcPr>
            <w:tcW w:w="4360" w:type="dxa"/>
          </w:tcPr>
          <w:p w14:paraId="08188118" w14:textId="77777777" w:rsidR="00CC2753" w:rsidRPr="00983396" w:rsidRDefault="00000000" w:rsidP="00983396">
            <w:pPr>
              <w:spacing w:line="320" w:lineRule="exact"/>
              <w:jc w:val="center"/>
              <w:rPr>
                <w:bCs/>
                <w:sz w:val="22"/>
                <w:szCs w:val="22"/>
              </w:rPr>
            </w:pPr>
            <w:r w:rsidRPr="00983396">
              <w:rPr>
                <w:bCs/>
                <w:sz w:val="22"/>
                <w:szCs w:val="22"/>
              </w:rPr>
              <w:t>Parque Ecoville – Torre Passaúna</w:t>
            </w:r>
          </w:p>
        </w:tc>
        <w:tc>
          <w:tcPr>
            <w:tcW w:w="4361" w:type="dxa"/>
          </w:tcPr>
          <w:p w14:paraId="08188119"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0818811B" w14:textId="77777777" w:rsidR="00CC2753" w:rsidRPr="00EF0CB9" w:rsidRDefault="00CC2753" w:rsidP="007C1BB4">
      <w:pPr>
        <w:widowControl/>
        <w:autoSpaceDE/>
        <w:autoSpaceDN/>
        <w:adjustRightInd/>
        <w:spacing w:line="320" w:lineRule="exact"/>
        <w:jc w:val="center"/>
        <w:rPr>
          <w:b/>
          <w:bCs/>
          <w:color w:val="000000" w:themeColor="text1"/>
          <w:sz w:val="22"/>
          <w:szCs w:val="22"/>
        </w:rPr>
      </w:pPr>
    </w:p>
    <w:p w14:paraId="0818811C"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1D" w14:textId="77777777" w:rsidR="00CC2753" w:rsidRDefault="00000000">
      <w:pPr>
        <w:widowControl/>
        <w:autoSpaceDE/>
        <w:autoSpaceDN/>
        <w:adjustRightInd/>
        <w:jc w:val="left"/>
        <w:rPr>
          <w:b/>
          <w:bCs/>
          <w:color w:val="000000" w:themeColor="text1"/>
          <w:sz w:val="22"/>
          <w:szCs w:val="22"/>
        </w:rPr>
      </w:pPr>
      <w:r>
        <w:rPr>
          <w:b/>
          <w:bCs/>
          <w:color w:val="000000" w:themeColor="text1"/>
          <w:sz w:val="22"/>
          <w:szCs w:val="22"/>
        </w:rPr>
        <w:br w:type="page"/>
      </w:r>
    </w:p>
    <w:p w14:paraId="0818811E" w14:textId="77777777" w:rsidR="00CC2753" w:rsidRDefault="00000000" w:rsidP="007B2EF8">
      <w:pPr>
        <w:widowControl/>
        <w:autoSpaceDE/>
        <w:autoSpaceDN/>
        <w:adjustRightInd/>
        <w:jc w:val="center"/>
        <w:rPr>
          <w:b/>
          <w:bCs/>
          <w:color w:val="000000" w:themeColor="text1"/>
          <w:sz w:val="22"/>
          <w:szCs w:val="22"/>
        </w:rPr>
      </w:pPr>
      <w:r>
        <w:rPr>
          <w:b/>
          <w:bCs/>
          <w:color w:val="000000" w:themeColor="text1"/>
          <w:sz w:val="22"/>
          <w:szCs w:val="22"/>
        </w:rPr>
        <w:lastRenderedPageBreak/>
        <w:t>ANEXO III</w:t>
      </w:r>
    </w:p>
    <w:p w14:paraId="0818811F" w14:textId="77777777" w:rsidR="00CC2753" w:rsidRDefault="00CC2753">
      <w:pPr>
        <w:widowControl/>
        <w:autoSpaceDE/>
        <w:autoSpaceDN/>
        <w:adjustRightInd/>
        <w:jc w:val="left"/>
        <w:rPr>
          <w:b/>
          <w:bCs/>
          <w:color w:val="000000" w:themeColor="text1"/>
          <w:sz w:val="22"/>
          <w:szCs w:val="22"/>
        </w:rPr>
      </w:pPr>
    </w:p>
    <w:p w14:paraId="08188120" w14:textId="77777777" w:rsidR="00CC2753" w:rsidRPr="003B15A6" w:rsidRDefault="00000000" w:rsidP="00CC2753">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14:paraId="08188121" w14:textId="77777777" w:rsidR="00CC2753" w:rsidRDefault="00CC2753" w:rsidP="00CC2753">
      <w:pPr>
        <w:spacing w:line="320" w:lineRule="exact"/>
        <w:jc w:val="center"/>
        <w:rPr>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A655ED" w14:paraId="08188124" w14:textId="77777777" w:rsidTr="00983396">
        <w:tc>
          <w:tcPr>
            <w:tcW w:w="4360" w:type="dxa"/>
            <w:shd w:val="clear" w:color="auto" w:fill="D0CECE" w:themeFill="background2" w:themeFillShade="E6"/>
          </w:tcPr>
          <w:p w14:paraId="08188122" w14:textId="77777777" w:rsidR="00CC2753" w:rsidRDefault="00000000"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08188123" w14:textId="77777777" w:rsidR="00CC2753" w:rsidRDefault="00000000" w:rsidP="00983396">
            <w:pPr>
              <w:spacing w:line="320" w:lineRule="exact"/>
              <w:jc w:val="center"/>
              <w:rPr>
                <w:b/>
                <w:sz w:val="22"/>
                <w:szCs w:val="22"/>
              </w:rPr>
            </w:pPr>
            <w:r>
              <w:rPr>
                <w:b/>
                <w:sz w:val="22"/>
                <w:szCs w:val="22"/>
              </w:rPr>
              <w:t>Unidades objeto de Alienação Fiduciária de Imóveis</w:t>
            </w:r>
          </w:p>
        </w:tc>
      </w:tr>
      <w:tr w:rsidR="00A655ED" w14:paraId="08188127" w14:textId="77777777" w:rsidTr="00983396">
        <w:tc>
          <w:tcPr>
            <w:tcW w:w="4360" w:type="dxa"/>
          </w:tcPr>
          <w:p w14:paraId="08188125" w14:textId="77777777" w:rsidR="00CC2753" w:rsidRPr="00983396" w:rsidRDefault="00000000" w:rsidP="00983396">
            <w:pPr>
              <w:spacing w:line="320" w:lineRule="exact"/>
              <w:jc w:val="center"/>
              <w:rPr>
                <w:bCs/>
                <w:sz w:val="22"/>
                <w:szCs w:val="22"/>
              </w:rPr>
            </w:pPr>
            <w:r w:rsidRPr="00983396">
              <w:rPr>
                <w:bCs/>
                <w:sz w:val="22"/>
                <w:szCs w:val="22"/>
              </w:rPr>
              <w:t>Moov Parque Maia</w:t>
            </w:r>
          </w:p>
        </w:tc>
        <w:tc>
          <w:tcPr>
            <w:tcW w:w="4361" w:type="dxa"/>
          </w:tcPr>
          <w:p w14:paraId="08188126"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2A" w14:textId="77777777" w:rsidTr="00983396">
        <w:tc>
          <w:tcPr>
            <w:tcW w:w="4360" w:type="dxa"/>
          </w:tcPr>
          <w:p w14:paraId="08188128" w14:textId="77777777" w:rsidR="00CC2753" w:rsidRPr="00983396" w:rsidRDefault="00000000" w:rsidP="00983396">
            <w:pPr>
              <w:spacing w:line="320" w:lineRule="exact"/>
              <w:jc w:val="center"/>
              <w:rPr>
                <w:bCs/>
                <w:sz w:val="22"/>
                <w:szCs w:val="22"/>
              </w:rPr>
            </w:pPr>
            <w:r w:rsidRPr="00983396">
              <w:rPr>
                <w:bCs/>
                <w:sz w:val="22"/>
                <w:szCs w:val="22"/>
              </w:rPr>
              <w:t>Belvedere Lorian Boulevard</w:t>
            </w:r>
          </w:p>
        </w:tc>
        <w:tc>
          <w:tcPr>
            <w:tcW w:w="4361" w:type="dxa"/>
          </w:tcPr>
          <w:p w14:paraId="08188129"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2D" w14:textId="77777777" w:rsidTr="00983396">
        <w:tc>
          <w:tcPr>
            <w:tcW w:w="4360" w:type="dxa"/>
          </w:tcPr>
          <w:p w14:paraId="0818812B" w14:textId="77777777" w:rsidR="00CC2753" w:rsidRPr="00983396" w:rsidRDefault="00000000" w:rsidP="00983396">
            <w:pPr>
              <w:spacing w:line="320" w:lineRule="exact"/>
              <w:jc w:val="center"/>
              <w:rPr>
                <w:bCs/>
                <w:sz w:val="22"/>
                <w:szCs w:val="22"/>
              </w:rPr>
            </w:pPr>
            <w:r w:rsidRPr="00983396">
              <w:rPr>
                <w:bCs/>
                <w:sz w:val="22"/>
                <w:szCs w:val="22"/>
              </w:rPr>
              <w:t>Scena Tatuapé</w:t>
            </w:r>
          </w:p>
        </w:tc>
        <w:tc>
          <w:tcPr>
            <w:tcW w:w="4361" w:type="dxa"/>
          </w:tcPr>
          <w:p w14:paraId="0818812C"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30" w14:textId="77777777" w:rsidTr="00983396">
        <w:tc>
          <w:tcPr>
            <w:tcW w:w="4360" w:type="dxa"/>
          </w:tcPr>
          <w:p w14:paraId="0818812E" w14:textId="77777777" w:rsidR="00CC2753" w:rsidRPr="00983396" w:rsidRDefault="00000000" w:rsidP="00983396">
            <w:pPr>
              <w:spacing w:line="320" w:lineRule="exact"/>
              <w:jc w:val="center"/>
              <w:rPr>
                <w:bCs/>
                <w:sz w:val="22"/>
                <w:szCs w:val="22"/>
              </w:rPr>
            </w:pPr>
            <w:r w:rsidRPr="00983396">
              <w:rPr>
                <w:bCs/>
                <w:sz w:val="22"/>
                <w:szCs w:val="22"/>
              </w:rPr>
              <w:t>Gafisa Upside Paraíso</w:t>
            </w:r>
          </w:p>
        </w:tc>
        <w:tc>
          <w:tcPr>
            <w:tcW w:w="4361" w:type="dxa"/>
          </w:tcPr>
          <w:p w14:paraId="0818812F"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33" w14:textId="77777777" w:rsidTr="00983396">
        <w:tc>
          <w:tcPr>
            <w:tcW w:w="4360" w:type="dxa"/>
          </w:tcPr>
          <w:p w14:paraId="08188131" w14:textId="77777777" w:rsidR="00CC2753" w:rsidRPr="00983396" w:rsidRDefault="00000000" w:rsidP="00983396">
            <w:pPr>
              <w:spacing w:line="320" w:lineRule="exact"/>
              <w:jc w:val="center"/>
              <w:rPr>
                <w:bCs/>
                <w:sz w:val="22"/>
                <w:szCs w:val="22"/>
              </w:rPr>
            </w:pPr>
            <w:r w:rsidRPr="00983396">
              <w:rPr>
                <w:bCs/>
                <w:sz w:val="22"/>
                <w:szCs w:val="22"/>
              </w:rPr>
              <w:t>Moov Estação Brás</w:t>
            </w:r>
          </w:p>
        </w:tc>
        <w:tc>
          <w:tcPr>
            <w:tcW w:w="4361" w:type="dxa"/>
          </w:tcPr>
          <w:p w14:paraId="08188132"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36" w14:textId="77777777" w:rsidTr="00983396">
        <w:tc>
          <w:tcPr>
            <w:tcW w:w="4360" w:type="dxa"/>
          </w:tcPr>
          <w:p w14:paraId="08188134" w14:textId="77777777" w:rsidR="00CC2753" w:rsidRPr="00983396" w:rsidRDefault="00000000" w:rsidP="00983396">
            <w:pPr>
              <w:spacing w:line="320" w:lineRule="exact"/>
              <w:jc w:val="center"/>
              <w:rPr>
                <w:bCs/>
                <w:sz w:val="22"/>
                <w:szCs w:val="22"/>
              </w:rPr>
            </w:pPr>
            <w:r w:rsidRPr="00983396">
              <w:rPr>
                <w:bCs/>
                <w:sz w:val="22"/>
                <w:szCs w:val="22"/>
              </w:rPr>
              <w:t>Moov Belém</w:t>
            </w:r>
          </w:p>
        </w:tc>
        <w:tc>
          <w:tcPr>
            <w:tcW w:w="4361" w:type="dxa"/>
          </w:tcPr>
          <w:p w14:paraId="08188135"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A655ED" w14:paraId="08188139" w14:textId="77777777" w:rsidTr="00983396">
        <w:tc>
          <w:tcPr>
            <w:tcW w:w="4360" w:type="dxa"/>
          </w:tcPr>
          <w:p w14:paraId="08188137" w14:textId="77777777" w:rsidR="00CC2753" w:rsidRPr="00983396" w:rsidRDefault="00000000" w:rsidP="00983396">
            <w:pPr>
              <w:spacing w:line="320" w:lineRule="exact"/>
              <w:jc w:val="center"/>
              <w:rPr>
                <w:bCs/>
                <w:sz w:val="22"/>
                <w:szCs w:val="22"/>
              </w:rPr>
            </w:pPr>
            <w:r w:rsidRPr="00983396">
              <w:rPr>
                <w:bCs/>
                <w:sz w:val="22"/>
                <w:szCs w:val="22"/>
              </w:rPr>
              <w:t>Parque Ecoville – Torre Passaúna</w:t>
            </w:r>
          </w:p>
        </w:tc>
        <w:tc>
          <w:tcPr>
            <w:tcW w:w="4361" w:type="dxa"/>
          </w:tcPr>
          <w:p w14:paraId="08188138" w14:textId="77777777" w:rsidR="00CC2753" w:rsidRDefault="00000000"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0818813A" w14:textId="77777777" w:rsidR="00CC2753" w:rsidRDefault="00CC2753">
      <w:pPr>
        <w:widowControl/>
        <w:autoSpaceDE/>
        <w:autoSpaceDN/>
        <w:adjustRightInd/>
        <w:jc w:val="left"/>
        <w:rPr>
          <w:b/>
          <w:bCs/>
          <w:color w:val="000000" w:themeColor="text1"/>
          <w:sz w:val="22"/>
          <w:szCs w:val="22"/>
        </w:rPr>
      </w:pPr>
    </w:p>
    <w:p w14:paraId="0818813B" w14:textId="77777777" w:rsidR="00CC2753" w:rsidRDefault="00000000">
      <w:pPr>
        <w:widowControl/>
        <w:autoSpaceDE/>
        <w:autoSpaceDN/>
        <w:adjustRightInd/>
        <w:jc w:val="left"/>
        <w:rPr>
          <w:b/>
          <w:bCs/>
          <w:color w:val="000000" w:themeColor="text1"/>
          <w:sz w:val="22"/>
          <w:szCs w:val="22"/>
        </w:rPr>
      </w:pPr>
      <w:r>
        <w:rPr>
          <w:b/>
          <w:bCs/>
          <w:color w:val="000000" w:themeColor="text1"/>
          <w:sz w:val="22"/>
          <w:szCs w:val="22"/>
        </w:rPr>
        <w:br w:type="page"/>
      </w:r>
    </w:p>
    <w:p w14:paraId="0818813C" w14:textId="77777777" w:rsidR="00CC2753" w:rsidRDefault="00000000"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lastRenderedPageBreak/>
        <w:t>ANEXO IV</w:t>
      </w:r>
    </w:p>
    <w:p w14:paraId="0818813D" w14:textId="77777777" w:rsidR="00CC2753" w:rsidRDefault="00CC2753" w:rsidP="007C1BB4">
      <w:pPr>
        <w:widowControl/>
        <w:autoSpaceDE/>
        <w:autoSpaceDN/>
        <w:adjustRightInd/>
        <w:spacing w:line="320" w:lineRule="exact"/>
        <w:jc w:val="center"/>
        <w:rPr>
          <w:b/>
          <w:bCs/>
          <w:color w:val="000000" w:themeColor="text1"/>
          <w:sz w:val="22"/>
          <w:szCs w:val="22"/>
        </w:rPr>
      </w:pPr>
    </w:p>
    <w:p w14:paraId="0818813E"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14:paraId="0818813F"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40" w14:textId="77777777" w:rsidR="007C1BB4" w:rsidRPr="00EF0CB9" w:rsidRDefault="00000000"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8188141"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8188142" w14:textId="77777777" w:rsidR="007C1BB4" w:rsidRPr="00EF0CB9" w:rsidRDefault="00000000">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14:paraId="08188143"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V</w:t>
      </w:r>
      <w:r w:rsidRPr="00EF0CB9">
        <w:rPr>
          <w:b/>
          <w:bCs/>
          <w:color w:val="000000" w:themeColor="text1"/>
          <w:sz w:val="22"/>
          <w:szCs w:val="22"/>
        </w:rPr>
        <w:t xml:space="preserve"> </w:t>
      </w:r>
    </w:p>
    <w:p w14:paraId="08188144"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45"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14:paraId="08188146"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47" w14:textId="77777777" w:rsidR="007C1BB4" w:rsidRPr="00EF0CB9" w:rsidRDefault="00000000"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8188148" w14:textId="77777777" w:rsidR="007C1BB4" w:rsidRPr="00EF0CB9" w:rsidRDefault="00000000">
      <w:pPr>
        <w:widowControl/>
        <w:autoSpaceDE/>
        <w:autoSpaceDN/>
        <w:adjustRightInd/>
        <w:jc w:val="left"/>
        <w:rPr>
          <w:color w:val="000000" w:themeColor="text1"/>
          <w:sz w:val="22"/>
          <w:szCs w:val="22"/>
        </w:rPr>
      </w:pPr>
      <w:r w:rsidRPr="00EF0CB9">
        <w:rPr>
          <w:color w:val="000000" w:themeColor="text1"/>
          <w:sz w:val="22"/>
          <w:szCs w:val="22"/>
        </w:rPr>
        <w:br w:type="page"/>
      </w:r>
    </w:p>
    <w:p w14:paraId="08188149"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w:t>
      </w:r>
      <w:r w:rsidRPr="00EF0CB9">
        <w:rPr>
          <w:b/>
          <w:bCs/>
          <w:color w:val="000000" w:themeColor="text1"/>
          <w:sz w:val="22"/>
          <w:szCs w:val="22"/>
        </w:rPr>
        <w:t xml:space="preserve"> </w:t>
      </w:r>
    </w:p>
    <w:p w14:paraId="0818814A"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4B"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14:paraId="0818814C"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4D" w14:textId="77777777" w:rsidR="007C1BB4" w:rsidRPr="00EF0CB9" w:rsidRDefault="00000000"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818814E"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818814F" w14:textId="77777777" w:rsidR="007C1BB4" w:rsidRPr="00EF0CB9" w:rsidRDefault="00000000">
      <w:pPr>
        <w:widowControl/>
        <w:autoSpaceDE/>
        <w:autoSpaceDN/>
        <w:adjustRightInd/>
        <w:jc w:val="left"/>
        <w:rPr>
          <w:color w:val="000000" w:themeColor="text1"/>
          <w:sz w:val="22"/>
          <w:szCs w:val="22"/>
        </w:rPr>
      </w:pPr>
      <w:r w:rsidRPr="00EF0CB9">
        <w:rPr>
          <w:color w:val="000000" w:themeColor="text1"/>
          <w:sz w:val="22"/>
          <w:szCs w:val="22"/>
        </w:rPr>
        <w:br w:type="page"/>
      </w:r>
    </w:p>
    <w:p w14:paraId="08188150"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II</w:t>
      </w:r>
      <w:r w:rsidRPr="00EF0CB9">
        <w:rPr>
          <w:b/>
          <w:bCs/>
          <w:color w:val="000000" w:themeColor="text1"/>
          <w:sz w:val="22"/>
          <w:szCs w:val="22"/>
        </w:rPr>
        <w:t xml:space="preserve"> </w:t>
      </w:r>
    </w:p>
    <w:p w14:paraId="0818815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52"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DOS TERMOS DE LIBERAÇÃO DE HIPOTECAS</w:t>
      </w:r>
    </w:p>
    <w:p w14:paraId="0818815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54" w14:textId="77777777" w:rsidR="007C1BB4" w:rsidRPr="00EF0CB9" w:rsidRDefault="00000000"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8188155"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8188156" w14:textId="77777777" w:rsidR="007C1BB4" w:rsidRPr="00EF0CB9" w:rsidRDefault="00000000">
      <w:pPr>
        <w:widowControl/>
        <w:autoSpaceDE/>
        <w:autoSpaceDN/>
        <w:adjustRightInd/>
        <w:jc w:val="left"/>
        <w:rPr>
          <w:color w:val="000000" w:themeColor="text1"/>
          <w:sz w:val="22"/>
          <w:szCs w:val="22"/>
        </w:rPr>
      </w:pPr>
      <w:r w:rsidRPr="00EF0CB9">
        <w:rPr>
          <w:color w:val="000000" w:themeColor="text1"/>
          <w:sz w:val="22"/>
          <w:szCs w:val="22"/>
        </w:rPr>
        <w:br w:type="page"/>
      </w:r>
    </w:p>
    <w:p w14:paraId="08188157"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VI</w:t>
      </w:r>
      <w:r w:rsidR="00CC2753">
        <w:rPr>
          <w:b/>
          <w:bCs/>
          <w:color w:val="000000" w:themeColor="text1"/>
          <w:sz w:val="22"/>
          <w:szCs w:val="22"/>
        </w:rPr>
        <w:t>II</w:t>
      </w:r>
      <w:r w:rsidRPr="00EF0CB9">
        <w:rPr>
          <w:b/>
          <w:bCs/>
          <w:color w:val="000000" w:themeColor="text1"/>
          <w:sz w:val="22"/>
          <w:szCs w:val="22"/>
        </w:rPr>
        <w:t xml:space="preserve"> </w:t>
      </w:r>
    </w:p>
    <w:p w14:paraId="08188158"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59"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DOS CONTRATOS DE ALIENAÇÃO FIDUCIÁRIA DE IMÓVEIS</w:t>
      </w:r>
    </w:p>
    <w:p w14:paraId="0818815A"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5B" w14:textId="77777777" w:rsidR="007C1BB4" w:rsidRPr="00EF0CB9" w:rsidRDefault="00000000"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818815C"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818815D" w14:textId="77777777" w:rsidR="007C1BB4" w:rsidRPr="00EF0CB9" w:rsidRDefault="00000000">
      <w:pPr>
        <w:widowControl/>
        <w:autoSpaceDE/>
        <w:autoSpaceDN/>
        <w:adjustRightInd/>
        <w:jc w:val="left"/>
        <w:rPr>
          <w:color w:val="000000" w:themeColor="text1"/>
          <w:sz w:val="22"/>
          <w:szCs w:val="22"/>
        </w:rPr>
      </w:pPr>
      <w:r w:rsidRPr="00EF0CB9">
        <w:rPr>
          <w:color w:val="000000" w:themeColor="text1"/>
          <w:sz w:val="22"/>
          <w:szCs w:val="22"/>
        </w:rPr>
        <w:br w:type="page"/>
      </w:r>
    </w:p>
    <w:p w14:paraId="0818815E"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IX</w:t>
      </w:r>
    </w:p>
    <w:p w14:paraId="0818815F"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60"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14:paraId="0818816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62" w14:textId="77777777" w:rsidR="007C1BB4" w:rsidRPr="00EF0CB9" w:rsidRDefault="00000000"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8188163" w14:textId="77777777" w:rsidR="007C1BB4" w:rsidRPr="00EF0CB9" w:rsidRDefault="00000000">
      <w:pPr>
        <w:widowControl/>
        <w:autoSpaceDE/>
        <w:autoSpaceDN/>
        <w:adjustRightInd/>
        <w:jc w:val="left"/>
        <w:rPr>
          <w:color w:val="000000" w:themeColor="text1"/>
          <w:sz w:val="22"/>
          <w:szCs w:val="22"/>
        </w:rPr>
      </w:pPr>
      <w:r w:rsidRPr="00EF0CB9">
        <w:rPr>
          <w:color w:val="000000" w:themeColor="text1"/>
          <w:sz w:val="22"/>
          <w:szCs w:val="22"/>
        </w:rPr>
        <w:br w:type="page"/>
      </w:r>
    </w:p>
    <w:p w14:paraId="08188164"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X</w:t>
      </w:r>
    </w:p>
    <w:p w14:paraId="08188165"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66" w14:textId="77777777" w:rsidR="007C1BB4" w:rsidRPr="00EF0CB9" w:rsidRDefault="00000000"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14:paraId="08188167"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08188168" w14:textId="77777777" w:rsidR="007C1BB4" w:rsidRPr="00EF0CB9" w:rsidRDefault="00000000"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8188169"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818816A" w14:textId="77777777" w:rsidR="007C1BB4" w:rsidRPr="00EF0CB9" w:rsidRDefault="007C1BB4" w:rsidP="007C1BB4">
      <w:pPr>
        <w:widowControl/>
        <w:autoSpaceDE/>
        <w:autoSpaceDN/>
        <w:adjustRightInd/>
        <w:spacing w:line="320" w:lineRule="exact"/>
        <w:jc w:val="center"/>
        <w:rPr>
          <w:color w:val="000000" w:themeColor="text1"/>
          <w:sz w:val="22"/>
          <w:szCs w:val="22"/>
        </w:rPr>
      </w:pPr>
    </w:p>
    <w:sectPr w:rsidR="007C1BB4" w:rsidRPr="00EF0CB9" w:rsidSect="00050F07">
      <w:headerReference w:type="default" r:id="rId11"/>
      <w:footerReference w:type="default" r:id="rId12"/>
      <w:type w:val="continuous"/>
      <w:pgSz w:w="12242" w:h="15842"/>
      <w:pgMar w:top="1560" w:right="1418" w:bottom="2127" w:left="1418"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initials="A">
    <w:p w14:paraId="326FAED5" w14:textId="77777777" w:rsidR="009B0959" w:rsidRDefault="009B0959" w:rsidP="00465A1E">
      <w:pPr>
        <w:pStyle w:val="Textodecomentrio"/>
      </w:pPr>
      <w:r>
        <w:rPr>
          <w:rStyle w:val="Refdecomentrio"/>
        </w:rPr>
        <w:annotationRef/>
      </w:r>
      <w:r>
        <w:t>Gentileza, refletir os comentários do Edital de Convocação.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6FAE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FAED5" w16cid:durableId="26EEC3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ED3F" w14:textId="77777777" w:rsidR="00EC0BA6" w:rsidRDefault="00EC0BA6">
      <w:r>
        <w:separator/>
      </w:r>
    </w:p>
  </w:endnote>
  <w:endnote w:type="continuationSeparator" w:id="0">
    <w:p w14:paraId="4CB27BD4" w14:textId="77777777" w:rsidR="00EC0BA6" w:rsidRDefault="00E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06237"/>
      <w:docPartObj>
        <w:docPartGallery w:val="Page Numbers (Bottom of Page)"/>
        <w:docPartUnique/>
      </w:docPartObj>
    </w:sdtPr>
    <w:sdtContent>
      <w:p w14:paraId="0818816D" w14:textId="77777777" w:rsidR="009B6A3F" w:rsidRDefault="00000000">
        <w:pPr>
          <w:pStyle w:val="Rodap"/>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14:paraId="0818816E" w14:textId="77777777" w:rsidR="009B6A3F" w:rsidRDefault="009B6A3F" w:rsidP="009B6A3F">
    <w:pPr>
      <w:pStyle w:val="Rodap"/>
      <w:tabs>
        <w:tab w:val="clear" w:pos="4419"/>
        <w:tab w:val="clear" w:pos="8838"/>
        <w:tab w:val="left" w:pos="5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9230" w14:textId="77777777" w:rsidR="00EC0BA6" w:rsidRDefault="00EC0BA6">
      <w:r>
        <w:separator/>
      </w:r>
    </w:p>
  </w:footnote>
  <w:footnote w:type="continuationSeparator" w:id="0">
    <w:p w14:paraId="6958DE5E" w14:textId="77777777" w:rsidR="00EC0BA6" w:rsidRDefault="00EC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816B" w14:textId="77777777" w:rsidR="001E64A9" w:rsidRPr="007B2EF8" w:rsidRDefault="00000000" w:rsidP="007B2EF8">
    <w:pPr>
      <w:pStyle w:val="Cabealho"/>
      <w:jc w:val="right"/>
      <w:rPr>
        <w:b/>
        <w:bCs/>
        <w:i/>
        <w:iCs/>
        <w:sz w:val="22"/>
        <w:szCs w:val="22"/>
      </w:rPr>
    </w:pPr>
    <w:r>
      <w:rPr>
        <w:noProof/>
      </w:rPr>
      <w:drawing>
        <wp:anchor distT="0" distB="0" distL="114300" distR="114300" simplePos="0" relativeHeight="251658240" behindDoc="0" locked="0" layoutInCell="1" allowOverlap="1" wp14:anchorId="0818816F" wp14:editId="08188170">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93130" name="Picture 3" descr="Preparo"/>
                  <pic:cNvPicPr>
                    <a:picLocks noChangeAspect="1" noChangeArrowheads="1"/>
                  </pic:cNvPicPr>
                </pic:nvPicPr>
                <pic:blipFill>
                  <a:blip r:embed="rId1" cstate="print">
                    <a:extLst>
                      <a:ext uri="{28A0092B-C50C-407E-A947-70E740481C1C}">
                        <a14:useLocalDpi xmlns:a14="http://schemas.microsoft.com/office/drawing/2010/main" val="0"/>
                      </a:ext>
                    </a:extLst>
                  </a:blip>
                  <a:srcRect t="35446" r="9633" b="35368"/>
                  <a:stretch>
                    <a:fillRect/>
                  </a:stretch>
                </pic:blipFill>
                <pic:spPr bwMode="auto">
                  <a:xfrm>
                    <a:off x="0" y="0"/>
                    <a:ext cx="1631852"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2EF8">
      <w:rPr>
        <w:b/>
        <w:bCs/>
        <w:i/>
        <w:iCs/>
        <w:sz w:val="22"/>
        <w:szCs w:val="22"/>
      </w:rPr>
      <w:t>Minuta Cescon Barrieu</w:t>
    </w:r>
  </w:p>
  <w:p w14:paraId="0818816C" w14:textId="77777777" w:rsidR="00132233" w:rsidRPr="007B2EF8" w:rsidRDefault="00000000" w:rsidP="007B2EF8">
    <w:pPr>
      <w:pStyle w:val="Cabealho"/>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r w:rsidRPr="007B2EF8">
      <w:rPr>
        <w:b/>
        <w:bCs/>
        <w:i/>
        <w:iCs/>
        <w:sz w:val="22"/>
        <w:szCs w:val="22"/>
      </w:rPr>
      <w:t>7.10.2022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3107F34"/>
    <w:lvl w:ilvl="0" w:tplc="33DCDAE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5CCC53F0">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A9FEF1CA">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54105ABE">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A5124068">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545CCF78">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C2585B40">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B682E2">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B8E85412">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20F81CCE">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tplc="86D88180">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B3FC6242">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1D269A3C">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6122A960">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59846F2C">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6D46A60A">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4C12DB7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26DE6CB4">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15:restartNumberingAfterBreak="0">
    <w:nsid w:val="2C696098"/>
    <w:multiLevelType w:val="hybridMultilevel"/>
    <w:tmpl w:val="D026FE00"/>
    <w:lvl w:ilvl="0" w:tplc="0BFC2E2E">
      <w:start w:val="1"/>
      <w:numFmt w:val="lowerRoman"/>
      <w:lvlText w:val="(%1)"/>
      <w:lvlJc w:val="left"/>
      <w:pPr>
        <w:ind w:left="3054" w:hanging="360"/>
      </w:pPr>
      <w:rPr>
        <w:rFonts w:hint="default"/>
        <w:b/>
        <w:bCs/>
        <w:sz w:val="22"/>
        <w:szCs w:val="22"/>
      </w:rPr>
    </w:lvl>
    <w:lvl w:ilvl="1" w:tplc="F75C3EEA" w:tentative="1">
      <w:start w:val="1"/>
      <w:numFmt w:val="lowerLetter"/>
      <w:lvlText w:val="%2."/>
      <w:lvlJc w:val="left"/>
      <w:pPr>
        <w:ind w:left="1440" w:hanging="360"/>
      </w:pPr>
    </w:lvl>
    <w:lvl w:ilvl="2" w:tplc="02B67E62" w:tentative="1">
      <w:start w:val="1"/>
      <w:numFmt w:val="lowerRoman"/>
      <w:lvlText w:val="%3."/>
      <w:lvlJc w:val="right"/>
      <w:pPr>
        <w:ind w:left="2160" w:hanging="180"/>
      </w:pPr>
    </w:lvl>
    <w:lvl w:ilvl="3" w:tplc="E04A3602" w:tentative="1">
      <w:start w:val="1"/>
      <w:numFmt w:val="decimal"/>
      <w:lvlText w:val="%4."/>
      <w:lvlJc w:val="left"/>
      <w:pPr>
        <w:ind w:left="2880" w:hanging="360"/>
      </w:pPr>
    </w:lvl>
    <w:lvl w:ilvl="4" w:tplc="3F922F0C" w:tentative="1">
      <w:start w:val="1"/>
      <w:numFmt w:val="lowerLetter"/>
      <w:lvlText w:val="%5."/>
      <w:lvlJc w:val="left"/>
      <w:pPr>
        <w:ind w:left="3600" w:hanging="360"/>
      </w:pPr>
    </w:lvl>
    <w:lvl w:ilvl="5" w:tplc="6C3A8A68" w:tentative="1">
      <w:start w:val="1"/>
      <w:numFmt w:val="lowerRoman"/>
      <w:lvlText w:val="%6."/>
      <w:lvlJc w:val="right"/>
      <w:pPr>
        <w:ind w:left="4320" w:hanging="180"/>
      </w:pPr>
    </w:lvl>
    <w:lvl w:ilvl="6" w:tplc="1EB6B5A0" w:tentative="1">
      <w:start w:val="1"/>
      <w:numFmt w:val="decimal"/>
      <w:lvlText w:val="%7."/>
      <w:lvlJc w:val="left"/>
      <w:pPr>
        <w:ind w:left="5040" w:hanging="360"/>
      </w:pPr>
    </w:lvl>
    <w:lvl w:ilvl="7" w:tplc="5256FC72" w:tentative="1">
      <w:start w:val="1"/>
      <w:numFmt w:val="lowerLetter"/>
      <w:lvlText w:val="%8."/>
      <w:lvlJc w:val="left"/>
      <w:pPr>
        <w:ind w:left="5760" w:hanging="360"/>
      </w:pPr>
    </w:lvl>
    <w:lvl w:ilvl="8" w:tplc="581ED132" w:tentative="1">
      <w:start w:val="1"/>
      <w:numFmt w:val="lowerRoman"/>
      <w:lvlText w:val="%9."/>
      <w:lvlJc w:val="right"/>
      <w:pPr>
        <w:ind w:left="6480" w:hanging="180"/>
      </w:pPr>
    </w:lvl>
  </w:abstractNum>
  <w:abstractNum w:abstractNumId="6" w15:restartNumberingAfterBreak="0">
    <w:nsid w:val="3CE02B9F"/>
    <w:multiLevelType w:val="hybridMultilevel"/>
    <w:tmpl w:val="B3FA0FE6"/>
    <w:lvl w:ilvl="0" w:tplc="92B6E424">
      <w:start w:val="1"/>
      <w:numFmt w:val="lowerLetter"/>
      <w:lvlText w:val="(%1)"/>
      <w:lvlJc w:val="left"/>
      <w:pPr>
        <w:ind w:left="720" w:hanging="360"/>
      </w:pPr>
      <w:rPr>
        <w:rFonts w:ascii="Times New Roman" w:hAnsi="Times New Roman" w:cs="Times New Roman" w:hint="default"/>
      </w:rPr>
    </w:lvl>
    <w:lvl w:ilvl="1" w:tplc="CEBA7596" w:tentative="1">
      <w:start w:val="1"/>
      <w:numFmt w:val="lowerLetter"/>
      <w:lvlText w:val="%2."/>
      <w:lvlJc w:val="left"/>
      <w:pPr>
        <w:ind w:left="1440" w:hanging="360"/>
      </w:pPr>
    </w:lvl>
    <w:lvl w:ilvl="2" w:tplc="5516A1EC" w:tentative="1">
      <w:start w:val="1"/>
      <w:numFmt w:val="lowerRoman"/>
      <w:lvlText w:val="%3."/>
      <w:lvlJc w:val="right"/>
      <w:pPr>
        <w:ind w:left="2160" w:hanging="180"/>
      </w:pPr>
    </w:lvl>
    <w:lvl w:ilvl="3" w:tplc="8DB4BCD6" w:tentative="1">
      <w:start w:val="1"/>
      <w:numFmt w:val="decimal"/>
      <w:lvlText w:val="%4."/>
      <w:lvlJc w:val="left"/>
      <w:pPr>
        <w:ind w:left="2880" w:hanging="360"/>
      </w:pPr>
    </w:lvl>
    <w:lvl w:ilvl="4" w:tplc="077A3C86" w:tentative="1">
      <w:start w:val="1"/>
      <w:numFmt w:val="lowerLetter"/>
      <w:lvlText w:val="%5."/>
      <w:lvlJc w:val="left"/>
      <w:pPr>
        <w:ind w:left="3600" w:hanging="360"/>
      </w:pPr>
    </w:lvl>
    <w:lvl w:ilvl="5" w:tplc="6D96A3B6" w:tentative="1">
      <w:start w:val="1"/>
      <w:numFmt w:val="lowerRoman"/>
      <w:lvlText w:val="%6."/>
      <w:lvlJc w:val="right"/>
      <w:pPr>
        <w:ind w:left="4320" w:hanging="180"/>
      </w:pPr>
    </w:lvl>
    <w:lvl w:ilvl="6" w:tplc="FA4CEAE4" w:tentative="1">
      <w:start w:val="1"/>
      <w:numFmt w:val="decimal"/>
      <w:lvlText w:val="%7."/>
      <w:lvlJc w:val="left"/>
      <w:pPr>
        <w:ind w:left="5040" w:hanging="360"/>
      </w:pPr>
    </w:lvl>
    <w:lvl w:ilvl="7" w:tplc="C4769AB8" w:tentative="1">
      <w:start w:val="1"/>
      <w:numFmt w:val="lowerLetter"/>
      <w:lvlText w:val="%8."/>
      <w:lvlJc w:val="left"/>
      <w:pPr>
        <w:ind w:left="5760" w:hanging="360"/>
      </w:pPr>
    </w:lvl>
    <w:lvl w:ilvl="8" w:tplc="EA6A649E" w:tentative="1">
      <w:start w:val="1"/>
      <w:numFmt w:val="lowerRoman"/>
      <w:lvlText w:val="%9."/>
      <w:lvlJc w:val="right"/>
      <w:pPr>
        <w:ind w:left="6480" w:hanging="180"/>
      </w:pPr>
    </w:lvl>
  </w:abstractNum>
  <w:abstractNum w:abstractNumId="7" w15:restartNumberingAfterBreak="0">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651B2"/>
    <w:multiLevelType w:val="hybridMultilevel"/>
    <w:tmpl w:val="13B0B72A"/>
    <w:lvl w:ilvl="0" w:tplc="1BD400D4">
      <w:start w:val="1"/>
      <w:numFmt w:val="lowerRoman"/>
      <w:lvlText w:val="(%1)"/>
      <w:lvlJc w:val="left"/>
      <w:pPr>
        <w:ind w:left="1080" w:hanging="720"/>
      </w:pPr>
      <w:rPr>
        <w:rFonts w:hint="default"/>
      </w:rPr>
    </w:lvl>
    <w:lvl w:ilvl="1" w:tplc="286039E0">
      <w:start w:val="1"/>
      <w:numFmt w:val="lowerLetter"/>
      <w:lvlText w:val="%2."/>
      <w:lvlJc w:val="left"/>
      <w:pPr>
        <w:ind w:left="1440" w:hanging="360"/>
      </w:pPr>
    </w:lvl>
    <w:lvl w:ilvl="2" w:tplc="983CB1CC" w:tentative="1">
      <w:start w:val="1"/>
      <w:numFmt w:val="lowerRoman"/>
      <w:lvlText w:val="%3."/>
      <w:lvlJc w:val="right"/>
      <w:pPr>
        <w:ind w:left="2160" w:hanging="180"/>
      </w:pPr>
    </w:lvl>
    <w:lvl w:ilvl="3" w:tplc="93243ABC" w:tentative="1">
      <w:start w:val="1"/>
      <w:numFmt w:val="decimal"/>
      <w:lvlText w:val="%4."/>
      <w:lvlJc w:val="left"/>
      <w:pPr>
        <w:ind w:left="2880" w:hanging="360"/>
      </w:pPr>
    </w:lvl>
    <w:lvl w:ilvl="4" w:tplc="B936FC48" w:tentative="1">
      <w:start w:val="1"/>
      <w:numFmt w:val="lowerLetter"/>
      <w:lvlText w:val="%5."/>
      <w:lvlJc w:val="left"/>
      <w:pPr>
        <w:ind w:left="3600" w:hanging="360"/>
      </w:pPr>
    </w:lvl>
    <w:lvl w:ilvl="5" w:tplc="20D02AA0" w:tentative="1">
      <w:start w:val="1"/>
      <w:numFmt w:val="lowerRoman"/>
      <w:lvlText w:val="%6."/>
      <w:lvlJc w:val="right"/>
      <w:pPr>
        <w:ind w:left="4320" w:hanging="180"/>
      </w:pPr>
    </w:lvl>
    <w:lvl w:ilvl="6" w:tplc="8696BF5A" w:tentative="1">
      <w:start w:val="1"/>
      <w:numFmt w:val="decimal"/>
      <w:lvlText w:val="%7."/>
      <w:lvlJc w:val="left"/>
      <w:pPr>
        <w:ind w:left="5040" w:hanging="360"/>
      </w:pPr>
    </w:lvl>
    <w:lvl w:ilvl="7" w:tplc="91E0A402" w:tentative="1">
      <w:start w:val="1"/>
      <w:numFmt w:val="lowerLetter"/>
      <w:lvlText w:val="%8."/>
      <w:lvlJc w:val="left"/>
      <w:pPr>
        <w:ind w:left="5760" w:hanging="360"/>
      </w:pPr>
    </w:lvl>
    <w:lvl w:ilvl="8" w:tplc="6FE4E614" w:tentative="1">
      <w:start w:val="1"/>
      <w:numFmt w:val="lowerRoman"/>
      <w:lvlText w:val="%9."/>
      <w:lvlJc w:val="right"/>
      <w:pPr>
        <w:ind w:left="6480" w:hanging="180"/>
      </w:pPr>
    </w:lvl>
  </w:abstractNum>
  <w:abstractNum w:abstractNumId="9"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779FA"/>
    <w:multiLevelType w:val="hybridMultilevel"/>
    <w:tmpl w:val="D026FE00"/>
    <w:lvl w:ilvl="0" w:tplc="ACB2A748">
      <w:start w:val="1"/>
      <w:numFmt w:val="lowerRoman"/>
      <w:lvlText w:val="(%1)"/>
      <w:lvlJc w:val="left"/>
      <w:pPr>
        <w:ind w:left="720" w:hanging="360"/>
      </w:pPr>
      <w:rPr>
        <w:rFonts w:hint="default"/>
        <w:b/>
        <w:bCs/>
        <w:sz w:val="22"/>
        <w:szCs w:val="22"/>
      </w:rPr>
    </w:lvl>
    <w:lvl w:ilvl="1" w:tplc="FD0A184C" w:tentative="1">
      <w:start w:val="1"/>
      <w:numFmt w:val="lowerLetter"/>
      <w:lvlText w:val="%2."/>
      <w:lvlJc w:val="left"/>
      <w:pPr>
        <w:ind w:left="1440" w:hanging="360"/>
      </w:pPr>
    </w:lvl>
    <w:lvl w:ilvl="2" w:tplc="6784ACFA" w:tentative="1">
      <w:start w:val="1"/>
      <w:numFmt w:val="lowerRoman"/>
      <w:lvlText w:val="%3."/>
      <w:lvlJc w:val="right"/>
      <w:pPr>
        <w:ind w:left="2160" w:hanging="180"/>
      </w:pPr>
    </w:lvl>
    <w:lvl w:ilvl="3" w:tplc="A246FD1E" w:tentative="1">
      <w:start w:val="1"/>
      <w:numFmt w:val="decimal"/>
      <w:lvlText w:val="%4."/>
      <w:lvlJc w:val="left"/>
      <w:pPr>
        <w:ind w:left="2880" w:hanging="360"/>
      </w:pPr>
    </w:lvl>
    <w:lvl w:ilvl="4" w:tplc="21C0163A" w:tentative="1">
      <w:start w:val="1"/>
      <w:numFmt w:val="lowerLetter"/>
      <w:lvlText w:val="%5."/>
      <w:lvlJc w:val="left"/>
      <w:pPr>
        <w:ind w:left="3600" w:hanging="360"/>
      </w:pPr>
    </w:lvl>
    <w:lvl w:ilvl="5" w:tplc="33361712" w:tentative="1">
      <w:start w:val="1"/>
      <w:numFmt w:val="lowerRoman"/>
      <w:lvlText w:val="%6."/>
      <w:lvlJc w:val="right"/>
      <w:pPr>
        <w:ind w:left="4320" w:hanging="180"/>
      </w:pPr>
    </w:lvl>
    <w:lvl w:ilvl="6" w:tplc="6C243CB6" w:tentative="1">
      <w:start w:val="1"/>
      <w:numFmt w:val="decimal"/>
      <w:lvlText w:val="%7."/>
      <w:lvlJc w:val="left"/>
      <w:pPr>
        <w:ind w:left="5040" w:hanging="360"/>
      </w:pPr>
    </w:lvl>
    <w:lvl w:ilvl="7" w:tplc="8CCE5380" w:tentative="1">
      <w:start w:val="1"/>
      <w:numFmt w:val="lowerLetter"/>
      <w:lvlText w:val="%8."/>
      <w:lvlJc w:val="left"/>
      <w:pPr>
        <w:ind w:left="5760" w:hanging="360"/>
      </w:pPr>
    </w:lvl>
    <w:lvl w:ilvl="8" w:tplc="C5BAFEC2" w:tentative="1">
      <w:start w:val="1"/>
      <w:numFmt w:val="lowerRoman"/>
      <w:lvlText w:val="%9."/>
      <w:lvlJc w:val="right"/>
      <w:pPr>
        <w:ind w:left="6480" w:hanging="180"/>
      </w:pPr>
    </w:lvl>
  </w:abstractNum>
  <w:num w:numId="1" w16cid:durableId="1885604197">
    <w:abstractNumId w:val="0"/>
  </w:num>
  <w:num w:numId="2" w16cid:durableId="976491130">
    <w:abstractNumId w:val="2"/>
  </w:num>
  <w:num w:numId="3" w16cid:durableId="786856089">
    <w:abstractNumId w:val="3"/>
  </w:num>
  <w:num w:numId="4" w16cid:durableId="1286354024">
    <w:abstractNumId w:val="7"/>
  </w:num>
  <w:num w:numId="5" w16cid:durableId="1593195822">
    <w:abstractNumId w:val="8"/>
  </w:num>
  <w:num w:numId="6" w16cid:durableId="1738474838">
    <w:abstractNumId w:val="6"/>
  </w:num>
  <w:num w:numId="7" w16cid:durableId="186720883">
    <w:abstractNumId w:val="4"/>
  </w:num>
  <w:num w:numId="8" w16cid:durableId="249965972">
    <w:abstractNumId w:val="5"/>
  </w:num>
  <w:num w:numId="9" w16cid:durableId="1968462850">
    <w:abstractNumId w:val="10"/>
  </w:num>
  <w:num w:numId="10" w16cid:durableId="166358600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035"/>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214"/>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49A8"/>
    <w:rsid w:val="00244BF2"/>
    <w:rsid w:val="002460CF"/>
    <w:rsid w:val="00246D3E"/>
    <w:rsid w:val="00247575"/>
    <w:rsid w:val="00247F2E"/>
    <w:rsid w:val="0025018D"/>
    <w:rsid w:val="002528AE"/>
    <w:rsid w:val="00252AC9"/>
    <w:rsid w:val="00253DB9"/>
    <w:rsid w:val="00254A8E"/>
    <w:rsid w:val="00255603"/>
    <w:rsid w:val="00255D1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7C3"/>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37A6"/>
    <w:rsid w:val="003678B6"/>
    <w:rsid w:val="00370799"/>
    <w:rsid w:val="00370E28"/>
    <w:rsid w:val="00371202"/>
    <w:rsid w:val="00373375"/>
    <w:rsid w:val="0037356A"/>
    <w:rsid w:val="003739FE"/>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5A6"/>
    <w:rsid w:val="003B1F46"/>
    <w:rsid w:val="003B2326"/>
    <w:rsid w:val="003B26C0"/>
    <w:rsid w:val="003B5E66"/>
    <w:rsid w:val="003C0BDB"/>
    <w:rsid w:val="003C0D63"/>
    <w:rsid w:val="003C0FF6"/>
    <w:rsid w:val="003C2F0B"/>
    <w:rsid w:val="003C3F1F"/>
    <w:rsid w:val="003C4650"/>
    <w:rsid w:val="003D054C"/>
    <w:rsid w:val="003D136E"/>
    <w:rsid w:val="003D4F94"/>
    <w:rsid w:val="003D5212"/>
    <w:rsid w:val="003D5C65"/>
    <w:rsid w:val="003D68C5"/>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9FB"/>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325B"/>
    <w:rsid w:val="006C3E42"/>
    <w:rsid w:val="006C58F1"/>
    <w:rsid w:val="006C75BA"/>
    <w:rsid w:val="006C7782"/>
    <w:rsid w:val="006C7C3D"/>
    <w:rsid w:val="006D19EE"/>
    <w:rsid w:val="006D3BAF"/>
    <w:rsid w:val="006D3DAB"/>
    <w:rsid w:val="006D58E3"/>
    <w:rsid w:val="006D7B68"/>
    <w:rsid w:val="006E17D5"/>
    <w:rsid w:val="006E469D"/>
    <w:rsid w:val="006E66BC"/>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1626E"/>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3C89"/>
    <w:rsid w:val="007E43F3"/>
    <w:rsid w:val="007E51C4"/>
    <w:rsid w:val="007E5984"/>
    <w:rsid w:val="007E79C0"/>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3396"/>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959"/>
    <w:rsid w:val="009B0B80"/>
    <w:rsid w:val="009B20E5"/>
    <w:rsid w:val="009B2777"/>
    <w:rsid w:val="009B339D"/>
    <w:rsid w:val="009B3B33"/>
    <w:rsid w:val="009B3CCB"/>
    <w:rsid w:val="009B4748"/>
    <w:rsid w:val="009B4D3E"/>
    <w:rsid w:val="009B52B8"/>
    <w:rsid w:val="009B5415"/>
    <w:rsid w:val="009B5A39"/>
    <w:rsid w:val="009B6A3F"/>
    <w:rsid w:val="009B6E0D"/>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27F7"/>
    <w:rsid w:val="009F5399"/>
    <w:rsid w:val="009F6AA8"/>
    <w:rsid w:val="009F7748"/>
    <w:rsid w:val="00A00CBA"/>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4689"/>
    <w:rsid w:val="00A57E9F"/>
    <w:rsid w:val="00A601C7"/>
    <w:rsid w:val="00A60769"/>
    <w:rsid w:val="00A617D2"/>
    <w:rsid w:val="00A62D2B"/>
    <w:rsid w:val="00A6524F"/>
    <w:rsid w:val="00A655ED"/>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E7C"/>
    <w:rsid w:val="00AC6C6F"/>
    <w:rsid w:val="00AD071C"/>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58A6"/>
    <w:rsid w:val="00B35AA7"/>
    <w:rsid w:val="00B37A68"/>
    <w:rsid w:val="00B405F6"/>
    <w:rsid w:val="00B414B2"/>
    <w:rsid w:val="00B41521"/>
    <w:rsid w:val="00B4209D"/>
    <w:rsid w:val="00B43018"/>
    <w:rsid w:val="00B43AA7"/>
    <w:rsid w:val="00B44151"/>
    <w:rsid w:val="00B462CB"/>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6442"/>
    <w:rsid w:val="00B71AE3"/>
    <w:rsid w:val="00B730B4"/>
    <w:rsid w:val="00B7493C"/>
    <w:rsid w:val="00B75A22"/>
    <w:rsid w:val="00B77A63"/>
    <w:rsid w:val="00B8023A"/>
    <w:rsid w:val="00B80A71"/>
    <w:rsid w:val="00B821F4"/>
    <w:rsid w:val="00B8540F"/>
    <w:rsid w:val="00B87C01"/>
    <w:rsid w:val="00B87FBD"/>
    <w:rsid w:val="00B91EF1"/>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42C9"/>
    <w:rsid w:val="00BE47E6"/>
    <w:rsid w:val="00BE7A70"/>
    <w:rsid w:val="00BF294A"/>
    <w:rsid w:val="00BF29DE"/>
    <w:rsid w:val="00BF39B3"/>
    <w:rsid w:val="00BF3C46"/>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51E"/>
    <w:rsid w:val="00CE3830"/>
    <w:rsid w:val="00CE40AA"/>
    <w:rsid w:val="00CE4975"/>
    <w:rsid w:val="00CE5F69"/>
    <w:rsid w:val="00CE7789"/>
    <w:rsid w:val="00CF082F"/>
    <w:rsid w:val="00CF232B"/>
    <w:rsid w:val="00CF2D41"/>
    <w:rsid w:val="00CF5370"/>
    <w:rsid w:val="00CF53C3"/>
    <w:rsid w:val="00CF5FA9"/>
    <w:rsid w:val="00D03637"/>
    <w:rsid w:val="00D046CE"/>
    <w:rsid w:val="00D061C9"/>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60E8"/>
    <w:rsid w:val="00D71D60"/>
    <w:rsid w:val="00D728DB"/>
    <w:rsid w:val="00D72BEA"/>
    <w:rsid w:val="00D736DF"/>
    <w:rsid w:val="00D73944"/>
    <w:rsid w:val="00D73E94"/>
    <w:rsid w:val="00D74247"/>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0BA6"/>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C5E"/>
    <w:rsid w:val="00F26284"/>
    <w:rsid w:val="00F26B54"/>
    <w:rsid w:val="00F3061C"/>
    <w:rsid w:val="00F30CDF"/>
    <w:rsid w:val="00F31069"/>
    <w:rsid w:val="00F33594"/>
    <w:rsid w:val="00F35A74"/>
    <w:rsid w:val="00F37F43"/>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1604"/>
    <w:rsid w:val="00FF2E3B"/>
    <w:rsid w:val="00FF323F"/>
    <w:rsid w:val="00FF37D9"/>
    <w:rsid w:val="00FF386B"/>
    <w:rsid w:val="00FF5676"/>
    <w:rsid w:val="00FF7179"/>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88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Ttulo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Ttulo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Ttulo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Ttulo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uiPriority w:val="9"/>
    <w:semiHidden/>
    <w:rPr>
      <w:b/>
      <w:bCs/>
      <w:i/>
      <w:iCs/>
      <w:sz w:val="26"/>
      <w:szCs w:val="26"/>
      <w:lang w:val="pt-BR"/>
    </w:rPr>
  </w:style>
  <w:style w:type="character" w:customStyle="1" w:styleId="Ttulo6Char">
    <w:name w:val="Título 6 Char"/>
    <w:aliases w:val="h6 Char"/>
    <w:link w:val="Ttulo6"/>
    <w:uiPriority w:val="9"/>
    <w:semiHidden/>
    <w:rPr>
      <w:b/>
      <w:bCs/>
      <w:lang w:val="pt-BR"/>
    </w:rPr>
  </w:style>
  <w:style w:type="character" w:customStyle="1" w:styleId="Ttulo7Char">
    <w:name w:val="Título 7 Char"/>
    <w:aliases w:val="h7 Char"/>
    <w:link w:val="Ttulo7"/>
    <w:uiPriority w:val="9"/>
    <w:semiHidden/>
    <w:rPr>
      <w:sz w:val="24"/>
      <w:szCs w:val="24"/>
      <w:lang w:val="pt-BR"/>
    </w:rPr>
  </w:style>
  <w:style w:type="character" w:customStyle="1" w:styleId="Ttulo8Char">
    <w:name w:val="Título 8 Char"/>
    <w:aliases w:val="h8 Char"/>
    <w:link w:val="Ttulo8"/>
    <w:uiPriority w:val="9"/>
    <w:semiHidden/>
    <w:rPr>
      <w:i/>
      <w:iCs/>
      <w:sz w:val="24"/>
      <w:szCs w:val="24"/>
      <w:lang w:val="pt-BR"/>
    </w:rPr>
  </w:style>
  <w:style w:type="character" w:customStyle="1" w:styleId="Ttulo9Char">
    <w:name w:val="Título 9 Char"/>
    <w:aliases w:val="h9 Char"/>
    <w:link w:val="Ttulo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lang w:eastAsia="x-none"/>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uiPriority w:val="99"/>
    <w:pPr>
      <w:spacing w:line="240" w:lineRule="atLeast"/>
      <w:jc w:val="center"/>
    </w:pPr>
    <w:rPr>
      <w:rFonts w:ascii="Times" w:hAnsi="Times" w:cs="Times"/>
      <w:sz w:val="24"/>
      <w:szCs w:val="24"/>
    </w:rPr>
  </w:style>
  <w:style w:type="paragraph" w:styleId="Corpodetexto">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Corpodetexto"/>
    <w:uiPriority w:val="99"/>
    <w:semiHidden/>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uiPriority w:val="99"/>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Bullets 1,Capítulo,Comum,Meu,Normal numerado,Nível 1,Paragraph,Parágrafo da Lista;Comum,Vitor T,Vitor Título,Vitor T’tulo"/>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Textodenotaderodap">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Textodenotaderodap"/>
    <w:uiPriority w:val="99"/>
    <w:semiHidden/>
    <w:rsid w:val="00B8540F"/>
    <w:rPr>
      <w:rFonts w:ascii="Times New Roman" w:hAnsi="Times New Roman"/>
    </w:rPr>
  </w:style>
  <w:style w:type="character" w:styleId="Refdenotaderodap">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elacomgrade">
    <w:name w:val="Table Grid"/>
    <w:basedOn w:val="Tabela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Comum Char,Meu Char,Normal numerado Char,Nível 1 Char,Paragraph Char,Parágrafo da Lista;Comum Char,Vitor T Char,Vitor Título Char,Vitor T’tulo Char"/>
    <w:link w:val="PargrafodaLista"/>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PargrafodaLista"/>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 S C B F - S P ! 1 6 5 0 1 6 6 9 . 8 < / d o c u m e n t i d >  
     < s e n d e r i d > V S I M O N I < / s e n d e r i d >  
     < s e n d e r e m a i l > V I T T O R I A . S I M O N I @ C E S C O N B A R R I E U . C O M . B R < / s e n d e r e m a i l >  
     < l a s t m o d i f i e d > 2 0 2 2 - 1 0 - 0 7 T 1 5 : 3 0 : 0 0 . 0 0 0 0 0 0 0 - 0 3 : 0 0 < / l a s t m o d i f i e d >  
     < d a t a b a s e > S C B F - S P < / d a t a b a s e >  
 < / p r o p e r t i e s > 
</file>

<file path=customXml/itemProps1.xml><?xml version="1.0" encoding="utf-8"?>
<ds:datastoreItem xmlns:ds="http://schemas.openxmlformats.org/officeDocument/2006/customXml" ds:itemID="{D1C152ED-B3B8-468E-B8FA-B35DF59E4C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4167</Words>
  <Characters>22508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2022-10-07T18:30:00Z</dcterms:created>
  <dcterms:modified xsi:type="dcterms:W3CDTF">2022-10-10T19:13:00Z</dcterms:modified>
</cp:coreProperties>
</file>