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56766" w:rsidRPr="0081398E" w:rsidP="0081398E" w14:paraId="56AFD1CE" w14:textId="77777777">
      <w:pPr>
        <w:spacing w:line="320" w:lineRule="exact"/>
        <w:jc w:val="center"/>
        <w:rPr>
          <w:b/>
          <w:smallCaps/>
          <w:sz w:val="22"/>
          <w:szCs w:val="22"/>
        </w:rPr>
      </w:pPr>
      <w:bookmarkStart w:id="0" w:name="_Hlk104908521"/>
      <w:r w:rsidRPr="0081398E">
        <w:rPr>
          <w:b/>
          <w:smallCaps/>
          <w:sz w:val="22"/>
          <w:szCs w:val="22"/>
        </w:rPr>
        <w:t>Opea Securitizadora S.A.</w:t>
      </w:r>
    </w:p>
    <w:p w:rsidR="0081398E" w:rsidRPr="0081398E" w:rsidP="0081398E" w14:paraId="69DE6C29" w14:textId="7180AC03">
      <w:pPr>
        <w:spacing w:line="320" w:lineRule="exact"/>
        <w:jc w:val="center"/>
        <w:rPr>
          <w:sz w:val="22"/>
          <w:szCs w:val="22"/>
        </w:rPr>
      </w:pPr>
      <w:bookmarkEnd w:id="0"/>
      <w:r w:rsidRPr="0081398E">
        <w:rPr>
          <w:sz w:val="22"/>
          <w:szCs w:val="22"/>
        </w:rPr>
        <w:t>CNPJ</w:t>
      </w:r>
      <w:r w:rsidR="00AF7B9B">
        <w:rPr>
          <w:sz w:val="22"/>
          <w:szCs w:val="22"/>
        </w:rPr>
        <w:t>/ME</w:t>
      </w:r>
      <w:r w:rsidRPr="0081398E">
        <w:rPr>
          <w:sz w:val="22"/>
          <w:szCs w:val="22"/>
        </w:rPr>
        <w:t xml:space="preserve"> nº 02.773.542/0001-22</w:t>
      </w:r>
    </w:p>
    <w:p w:rsidR="0081398E" w:rsidRPr="0081398E" w:rsidP="0081398E" w14:paraId="14E85051" w14:textId="77777777">
      <w:pPr>
        <w:spacing w:line="320" w:lineRule="exact"/>
        <w:jc w:val="center"/>
        <w:rPr>
          <w:sz w:val="22"/>
          <w:szCs w:val="22"/>
        </w:rPr>
      </w:pPr>
      <w:r w:rsidRPr="0081398E">
        <w:rPr>
          <w:sz w:val="22"/>
          <w:szCs w:val="22"/>
        </w:rPr>
        <w:t>Rua Hungria, nº 1.240, 6º andar, conjunto 62, Jardim Europa</w:t>
      </w:r>
    </w:p>
    <w:p w:rsidR="0081398E" w:rsidRPr="0081398E" w:rsidP="0081398E" w14:paraId="2F5DEAB9" w14:textId="77777777">
      <w:pPr>
        <w:spacing w:line="320" w:lineRule="exact"/>
        <w:jc w:val="center"/>
        <w:rPr>
          <w:sz w:val="22"/>
          <w:szCs w:val="22"/>
        </w:rPr>
      </w:pPr>
      <w:r w:rsidRPr="0081398E">
        <w:rPr>
          <w:sz w:val="22"/>
          <w:szCs w:val="22"/>
        </w:rPr>
        <w:t>CEP 01455-000 – São Paulo, SP</w:t>
      </w:r>
      <w:r w:rsidRPr="0081398E">
        <w:rPr>
          <w:sz w:val="22"/>
          <w:szCs w:val="22"/>
        </w:rPr>
        <w:t xml:space="preserve"> </w:t>
      </w:r>
    </w:p>
    <w:p w:rsidR="0081398E" w:rsidRPr="0081398E" w:rsidP="0081398E" w14:paraId="35A61416" w14:textId="77777777">
      <w:pPr>
        <w:spacing w:line="320" w:lineRule="exact"/>
        <w:jc w:val="center"/>
        <w:rPr>
          <w:b/>
          <w:color w:val="000000"/>
          <w:sz w:val="22"/>
          <w:szCs w:val="22"/>
        </w:rPr>
      </w:pPr>
    </w:p>
    <w:p w:rsidR="00B256AC" w:rsidRPr="0081398E" w:rsidP="0081398E" w14:paraId="503504D1" w14:textId="410296FF">
      <w:pPr>
        <w:spacing w:line="320" w:lineRule="exact"/>
        <w:jc w:val="center"/>
        <w:rPr>
          <w:b/>
          <w:color w:val="000000"/>
          <w:sz w:val="22"/>
          <w:szCs w:val="22"/>
        </w:rPr>
      </w:pPr>
      <w:r w:rsidRPr="0081398E">
        <w:rPr>
          <w:b/>
          <w:color w:val="000000"/>
          <w:sz w:val="22"/>
          <w:szCs w:val="22"/>
        </w:rPr>
        <w:t>INSTRUÇÃO DE VOTO A DISTÂNCIA</w:t>
      </w:r>
    </w:p>
    <w:p w:rsidR="009143B9" w:rsidRPr="0081398E" w:rsidP="0081398E" w14:paraId="1D06A191" w14:textId="77777777">
      <w:pPr>
        <w:spacing w:line="320" w:lineRule="exact"/>
        <w:jc w:val="center"/>
        <w:rPr>
          <w:b/>
          <w:color w:val="000000"/>
          <w:sz w:val="22"/>
          <w:szCs w:val="22"/>
        </w:rPr>
      </w:pPr>
    </w:p>
    <w:p w:rsidR="00DC762B" w:rsidP="0081398E" w14:paraId="41D2FF4B" w14:textId="01B0755B">
      <w:pPr>
        <w:spacing w:line="320" w:lineRule="exact"/>
        <w:jc w:val="center"/>
        <w:rPr>
          <w:b/>
          <w:bCs/>
          <w:color w:val="000000"/>
          <w:sz w:val="22"/>
          <w:szCs w:val="22"/>
        </w:rPr>
      </w:pPr>
      <w:bookmarkStart w:id="1" w:name="_Hlk104906543"/>
      <w:r w:rsidRPr="0081398E">
        <w:rPr>
          <w:b/>
          <w:bCs/>
          <w:color w:val="000000"/>
          <w:sz w:val="22"/>
          <w:szCs w:val="22"/>
        </w:rPr>
        <w:t xml:space="preserve">ASSEMBLEIA ESPECIAL DE </w:t>
      </w:r>
      <w:bookmarkStart w:id="2" w:name="_Hlk104908538"/>
      <w:r w:rsidR="00EF5BC7">
        <w:rPr>
          <w:b/>
          <w:bCs/>
          <w:color w:val="000000"/>
          <w:sz w:val="22"/>
          <w:szCs w:val="22"/>
        </w:rPr>
        <w:t>TITULARES</w:t>
      </w:r>
      <w:r w:rsidRPr="0081398E" w:rsidR="00EF5BC7">
        <w:rPr>
          <w:b/>
          <w:bCs/>
          <w:color w:val="000000"/>
          <w:sz w:val="22"/>
          <w:szCs w:val="22"/>
        </w:rPr>
        <w:t xml:space="preserve"> </w:t>
      </w:r>
      <w:r w:rsidRPr="0081398E">
        <w:rPr>
          <w:b/>
          <w:bCs/>
          <w:color w:val="000000"/>
          <w:sz w:val="22"/>
          <w:szCs w:val="22"/>
        </w:rPr>
        <w:t xml:space="preserve">DE CERTIFICADOS DE RECEBÍVEIS IMOBILIÁRIOS DA 275ª SÉRIE </w:t>
      </w:r>
      <w:r w:rsidRPr="00EF0CB9" w:rsidR="00EF5BC7">
        <w:rPr>
          <w:b/>
          <w:bCs/>
          <w:color w:val="000000" w:themeColor="text1"/>
          <w:sz w:val="22"/>
          <w:szCs w:val="22"/>
        </w:rPr>
        <w:t xml:space="preserve">(IF: </w:t>
      </w:r>
      <w:r w:rsidRPr="00243F0E" w:rsidR="00EF5BC7">
        <w:rPr>
          <w:b/>
          <w:bCs/>
          <w:color w:val="000000" w:themeColor="text1"/>
          <w:sz w:val="22"/>
          <w:szCs w:val="22"/>
        </w:rPr>
        <w:t>20I0668028</w:t>
      </w:r>
      <w:r w:rsidRPr="00EF0CB9" w:rsidR="00EF5BC7">
        <w:rPr>
          <w:b/>
          <w:bCs/>
          <w:color w:val="000000" w:themeColor="text1"/>
          <w:sz w:val="22"/>
          <w:szCs w:val="22"/>
        </w:rPr>
        <w:t>)</w:t>
      </w:r>
      <w:r w:rsidR="00EF5BC7">
        <w:rPr>
          <w:b/>
          <w:bCs/>
          <w:color w:val="000000" w:themeColor="text1"/>
          <w:sz w:val="22"/>
          <w:szCs w:val="22"/>
        </w:rPr>
        <w:t xml:space="preserve"> </w:t>
      </w:r>
      <w:r w:rsidRPr="0081398E">
        <w:rPr>
          <w:b/>
          <w:bCs/>
          <w:color w:val="000000"/>
          <w:sz w:val="22"/>
          <w:szCs w:val="22"/>
        </w:rPr>
        <w:t>DA 1ª EMISSÃO DA OPEA SECURITIZADORA S.A.</w:t>
      </w:r>
      <w:bookmarkEnd w:id="1"/>
      <w:bookmarkEnd w:id="2"/>
    </w:p>
    <w:p w:rsidR="0081398E" w:rsidRPr="0081398E" w:rsidP="0081398E" w14:paraId="2B03C853" w14:textId="77777777">
      <w:pPr>
        <w:spacing w:line="320" w:lineRule="exact"/>
        <w:jc w:val="center"/>
        <w:rPr>
          <w:b/>
          <w:color w:val="000000"/>
          <w:sz w:val="22"/>
          <w:szCs w:val="22"/>
        </w:rPr>
      </w:pPr>
    </w:p>
    <w:tbl>
      <w:tblPr>
        <w:tblStyle w:val="TableGrid"/>
        <w:tblW w:w="0" w:type="auto"/>
        <w:tblLook w:val="04A0"/>
      </w:tblPr>
      <w:tblGrid>
        <w:gridCol w:w="3964"/>
        <w:gridCol w:w="5387"/>
      </w:tblGrid>
      <w:tr w14:paraId="1E0DE618" w14:textId="77777777" w:rsidTr="00EA2399">
        <w:tblPrEx>
          <w:tblW w:w="0" w:type="auto"/>
          <w:tblLook w:val="04A0"/>
        </w:tblPrEx>
        <w:trPr>
          <w:trHeight w:val="453"/>
        </w:trPr>
        <w:tc>
          <w:tcPr>
            <w:tcW w:w="3964" w:type="dxa"/>
            <w:vAlign w:val="center"/>
          </w:tcPr>
          <w:p w:rsidR="009143B9" w:rsidRPr="0081398E" w:rsidP="0081398E" w14:paraId="5698CA91" w14:textId="00EF23E8">
            <w:pPr>
              <w:spacing w:line="320" w:lineRule="exact"/>
              <w:rPr>
                <w:color w:val="000000"/>
                <w:sz w:val="22"/>
                <w:szCs w:val="22"/>
              </w:rPr>
            </w:pPr>
            <w:r w:rsidRPr="0081398E">
              <w:rPr>
                <w:b/>
                <w:bCs/>
                <w:color w:val="000000"/>
                <w:sz w:val="22"/>
                <w:szCs w:val="22"/>
              </w:rPr>
              <w:t>Nome/Denominação</w:t>
            </w:r>
            <w:r w:rsidRPr="0081398E" w:rsidR="00AA67CA">
              <w:rPr>
                <w:b/>
                <w:bCs/>
                <w:color w:val="000000"/>
                <w:sz w:val="22"/>
                <w:szCs w:val="22"/>
              </w:rPr>
              <w:t xml:space="preserve"> </w:t>
            </w:r>
            <w:r w:rsidRPr="0081398E">
              <w:rPr>
                <w:b/>
                <w:bCs/>
                <w:color w:val="000000"/>
                <w:sz w:val="22"/>
                <w:szCs w:val="22"/>
              </w:rPr>
              <w:t xml:space="preserve">do </w:t>
            </w:r>
            <w:r w:rsidRPr="0081398E" w:rsidR="00EB1262">
              <w:rPr>
                <w:b/>
                <w:bCs/>
                <w:color w:val="000000"/>
                <w:sz w:val="22"/>
                <w:szCs w:val="22"/>
              </w:rPr>
              <w:t xml:space="preserve">Titular </w:t>
            </w:r>
            <w:r w:rsidRPr="0081398E" w:rsidR="00EF5BC7">
              <w:rPr>
                <w:b/>
                <w:bCs/>
                <w:color w:val="000000"/>
                <w:sz w:val="22"/>
                <w:szCs w:val="22"/>
              </w:rPr>
              <w:t>d</w:t>
            </w:r>
            <w:r w:rsidR="00EF5BC7">
              <w:rPr>
                <w:b/>
                <w:bCs/>
                <w:color w:val="000000"/>
                <w:sz w:val="22"/>
                <w:szCs w:val="22"/>
              </w:rPr>
              <w:t>os</w:t>
            </w:r>
            <w:r w:rsidRPr="0081398E" w:rsidR="00EF5BC7">
              <w:rPr>
                <w:b/>
                <w:bCs/>
                <w:color w:val="000000"/>
                <w:sz w:val="22"/>
                <w:szCs w:val="22"/>
              </w:rPr>
              <w:t xml:space="preserve"> </w:t>
            </w:r>
            <w:r w:rsidRPr="0081398E" w:rsidR="00EB1262">
              <w:rPr>
                <w:b/>
                <w:bCs/>
                <w:color w:val="000000"/>
                <w:sz w:val="22"/>
                <w:szCs w:val="22"/>
              </w:rPr>
              <w:t>CR</w:t>
            </w:r>
            <w:r w:rsidRPr="0081398E" w:rsidR="00456766">
              <w:rPr>
                <w:b/>
                <w:bCs/>
                <w:color w:val="000000"/>
                <w:sz w:val="22"/>
                <w:szCs w:val="22"/>
              </w:rPr>
              <w:t>I</w:t>
            </w:r>
            <w:r w:rsidRPr="0081398E" w:rsidR="00237677">
              <w:rPr>
                <w:b/>
                <w:bCs/>
                <w:color w:val="000000"/>
                <w:sz w:val="22"/>
                <w:szCs w:val="22"/>
              </w:rPr>
              <w:t xml:space="preserve"> (Em caso de fundo de investimento, preencher com os dados do gestor/administrador, conforme o caso, e incluir a lista de fundos representados ao final desta instrução de voto)</w:t>
            </w:r>
            <w:r w:rsidRPr="0081398E" w:rsidR="0079650E">
              <w:rPr>
                <w:b/>
                <w:bCs/>
                <w:color w:val="000000"/>
                <w:sz w:val="22"/>
                <w:szCs w:val="22"/>
              </w:rPr>
              <w:t>:</w:t>
            </w:r>
          </w:p>
        </w:tc>
        <w:tc>
          <w:tcPr>
            <w:tcW w:w="5387" w:type="dxa"/>
          </w:tcPr>
          <w:p w:rsidR="009143B9" w:rsidRPr="0081398E" w:rsidP="0081398E" w14:paraId="3EA01336" w14:textId="0321C121">
            <w:pPr>
              <w:spacing w:line="320" w:lineRule="exact"/>
              <w:jc w:val="both"/>
              <w:rPr>
                <w:color w:val="000000"/>
                <w:sz w:val="22"/>
                <w:szCs w:val="22"/>
              </w:rPr>
            </w:pPr>
          </w:p>
        </w:tc>
      </w:tr>
      <w:tr w14:paraId="7A3DE2C9" w14:textId="77777777" w:rsidTr="00EA2399">
        <w:tblPrEx>
          <w:tblW w:w="0" w:type="auto"/>
          <w:tblLook w:val="04A0"/>
        </w:tblPrEx>
        <w:trPr>
          <w:trHeight w:val="403"/>
        </w:trPr>
        <w:tc>
          <w:tcPr>
            <w:tcW w:w="3964" w:type="dxa"/>
            <w:vAlign w:val="center"/>
          </w:tcPr>
          <w:p w:rsidR="009143B9" w:rsidRPr="0081398E" w:rsidP="0081398E" w14:paraId="1640FAA4" w14:textId="71412A2F">
            <w:pPr>
              <w:spacing w:line="320" w:lineRule="exact"/>
              <w:rPr>
                <w:b/>
                <w:color w:val="000000"/>
                <w:sz w:val="22"/>
                <w:szCs w:val="22"/>
              </w:rPr>
            </w:pPr>
            <w:r w:rsidRPr="0081398E">
              <w:rPr>
                <w:b/>
                <w:bCs/>
                <w:color w:val="000000"/>
                <w:sz w:val="22"/>
                <w:szCs w:val="22"/>
              </w:rPr>
              <w:t xml:space="preserve">CPF/CNPJ do </w:t>
            </w:r>
            <w:r w:rsidRPr="0081398E" w:rsidR="00EB1262">
              <w:rPr>
                <w:b/>
                <w:bCs/>
                <w:color w:val="000000"/>
                <w:sz w:val="22"/>
                <w:szCs w:val="22"/>
              </w:rPr>
              <w:t xml:space="preserve">Titular </w:t>
            </w:r>
            <w:r w:rsidRPr="0081398E" w:rsidR="00EF5BC7">
              <w:rPr>
                <w:b/>
                <w:bCs/>
                <w:color w:val="000000"/>
                <w:sz w:val="22"/>
                <w:szCs w:val="22"/>
              </w:rPr>
              <w:t>d</w:t>
            </w:r>
            <w:r w:rsidR="00EF5BC7">
              <w:rPr>
                <w:b/>
                <w:bCs/>
                <w:color w:val="000000"/>
                <w:sz w:val="22"/>
                <w:szCs w:val="22"/>
              </w:rPr>
              <w:t>os</w:t>
            </w:r>
            <w:r w:rsidRPr="0081398E" w:rsidR="00EF5BC7">
              <w:rPr>
                <w:b/>
                <w:bCs/>
                <w:color w:val="000000"/>
                <w:sz w:val="22"/>
                <w:szCs w:val="22"/>
              </w:rPr>
              <w:t xml:space="preserve"> </w:t>
            </w:r>
            <w:r w:rsidRPr="0081398E" w:rsidR="00EB1262">
              <w:rPr>
                <w:b/>
                <w:bCs/>
                <w:color w:val="000000"/>
                <w:sz w:val="22"/>
                <w:szCs w:val="22"/>
              </w:rPr>
              <w:t>CR</w:t>
            </w:r>
            <w:r w:rsidRPr="0081398E" w:rsidR="00456766">
              <w:rPr>
                <w:b/>
                <w:bCs/>
                <w:color w:val="000000"/>
                <w:sz w:val="22"/>
                <w:szCs w:val="22"/>
              </w:rPr>
              <w:t>I</w:t>
            </w:r>
            <w:r w:rsidRPr="0081398E" w:rsidR="00237677">
              <w:rPr>
                <w:b/>
                <w:bCs/>
                <w:color w:val="000000"/>
                <w:sz w:val="22"/>
                <w:szCs w:val="22"/>
              </w:rPr>
              <w:t xml:space="preserve"> (Em caso de fundo de investimento, preencher com os dados do gestor/administrador, conforme o caso, e incluir a lista com o CNPJ dos fundos representados ao final desta instrução de voto)</w:t>
            </w:r>
            <w:r w:rsidRPr="0081398E" w:rsidR="0079650E">
              <w:rPr>
                <w:b/>
                <w:bCs/>
                <w:color w:val="000000"/>
                <w:sz w:val="22"/>
                <w:szCs w:val="22"/>
              </w:rPr>
              <w:t>:</w:t>
            </w:r>
            <w:r w:rsidRPr="0081398E" w:rsidR="00353283">
              <w:rPr>
                <w:b/>
                <w:bCs/>
                <w:color w:val="000000"/>
                <w:sz w:val="22"/>
                <w:szCs w:val="22"/>
              </w:rPr>
              <w:t xml:space="preserve"> </w:t>
            </w:r>
          </w:p>
        </w:tc>
        <w:tc>
          <w:tcPr>
            <w:tcW w:w="5387" w:type="dxa"/>
          </w:tcPr>
          <w:p w:rsidR="009143B9" w:rsidRPr="0081398E" w:rsidP="0081398E" w14:paraId="55DC29D6" w14:textId="40FAC2D7">
            <w:pPr>
              <w:spacing w:line="320" w:lineRule="exact"/>
              <w:jc w:val="both"/>
              <w:rPr>
                <w:color w:val="000000"/>
                <w:sz w:val="22"/>
                <w:szCs w:val="22"/>
              </w:rPr>
            </w:pPr>
          </w:p>
        </w:tc>
      </w:tr>
      <w:tr w14:paraId="0C98B7A8" w14:textId="77777777" w:rsidTr="00EA2399">
        <w:tblPrEx>
          <w:tblW w:w="0" w:type="auto"/>
          <w:tblLook w:val="04A0"/>
        </w:tblPrEx>
        <w:trPr>
          <w:trHeight w:val="437"/>
        </w:trPr>
        <w:tc>
          <w:tcPr>
            <w:tcW w:w="3964" w:type="dxa"/>
          </w:tcPr>
          <w:p w:rsidR="009143B9" w:rsidRPr="0081398E" w:rsidP="0081398E" w14:paraId="33323660" w14:textId="0D700ED4">
            <w:pPr>
              <w:spacing w:line="320" w:lineRule="exact"/>
              <w:jc w:val="both"/>
              <w:rPr>
                <w:b/>
                <w:color w:val="000000"/>
                <w:sz w:val="22"/>
                <w:szCs w:val="22"/>
              </w:rPr>
            </w:pPr>
            <w:r w:rsidRPr="0081398E">
              <w:rPr>
                <w:b/>
                <w:color w:val="000000"/>
                <w:sz w:val="22"/>
                <w:szCs w:val="22"/>
              </w:rPr>
              <w:t xml:space="preserve">E-mail </w:t>
            </w:r>
            <w:r w:rsidRPr="0081398E" w:rsidR="00353283">
              <w:rPr>
                <w:b/>
                <w:bCs/>
                <w:color w:val="000000"/>
                <w:sz w:val="22"/>
                <w:szCs w:val="22"/>
              </w:rPr>
              <w:t>para Contato</w:t>
            </w:r>
            <w:r w:rsidRPr="0081398E">
              <w:rPr>
                <w:b/>
                <w:color w:val="000000"/>
                <w:sz w:val="22"/>
                <w:szCs w:val="22"/>
              </w:rPr>
              <w:t>:</w:t>
            </w:r>
          </w:p>
        </w:tc>
        <w:tc>
          <w:tcPr>
            <w:tcW w:w="5387" w:type="dxa"/>
          </w:tcPr>
          <w:p w:rsidR="009143B9" w:rsidRPr="0081398E" w:rsidP="0081398E" w14:paraId="285CD65F" w14:textId="77777777">
            <w:pPr>
              <w:spacing w:line="320" w:lineRule="exact"/>
              <w:jc w:val="both"/>
              <w:rPr>
                <w:color w:val="000000"/>
                <w:sz w:val="22"/>
                <w:szCs w:val="22"/>
              </w:rPr>
            </w:pPr>
          </w:p>
        </w:tc>
      </w:tr>
      <w:tr w14:paraId="4A11B3B3" w14:textId="77777777" w:rsidTr="00EA2399">
        <w:tblPrEx>
          <w:tblW w:w="0" w:type="auto"/>
          <w:tblLook w:val="04A0"/>
        </w:tblPrEx>
        <w:trPr>
          <w:trHeight w:val="401"/>
        </w:trPr>
        <w:tc>
          <w:tcPr>
            <w:tcW w:w="3964" w:type="dxa"/>
          </w:tcPr>
          <w:p w:rsidR="009143B9" w:rsidRPr="0081398E" w:rsidP="0081398E" w14:paraId="59CA63E6" w14:textId="1EF588CD">
            <w:pPr>
              <w:spacing w:line="320" w:lineRule="exact"/>
              <w:jc w:val="both"/>
              <w:rPr>
                <w:b/>
                <w:color w:val="000000"/>
                <w:sz w:val="22"/>
                <w:szCs w:val="22"/>
              </w:rPr>
            </w:pPr>
            <w:r w:rsidRPr="0081398E">
              <w:rPr>
                <w:b/>
                <w:bCs/>
                <w:color w:val="000000"/>
                <w:sz w:val="22"/>
                <w:szCs w:val="22"/>
              </w:rPr>
              <w:t>Telefone</w:t>
            </w:r>
            <w:r w:rsidRPr="0081398E" w:rsidR="00353283">
              <w:rPr>
                <w:b/>
                <w:bCs/>
                <w:color w:val="000000"/>
                <w:sz w:val="22"/>
                <w:szCs w:val="22"/>
              </w:rPr>
              <w:t>(</w:t>
            </w:r>
            <w:r w:rsidRPr="0081398E">
              <w:rPr>
                <w:b/>
                <w:bCs/>
                <w:color w:val="000000"/>
                <w:sz w:val="22"/>
                <w:szCs w:val="22"/>
              </w:rPr>
              <w:t>s</w:t>
            </w:r>
            <w:r w:rsidRPr="0081398E" w:rsidR="00353283">
              <w:rPr>
                <w:b/>
                <w:bCs/>
                <w:color w:val="000000"/>
                <w:sz w:val="22"/>
                <w:szCs w:val="22"/>
              </w:rPr>
              <w:t>)</w:t>
            </w:r>
            <w:r w:rsidRPr="0081398E">
              <w:rPr>
                <w:b/>
                <w:color w:val="000000"/>
                <w:sz w:val="22"/>
                <w:szCs w:val="22"/>
              </w:rPr>
              <w:t xml:space="preserve"> para Contato:</w:t>
            </w:r>
          </w:p>
        </w:tc>
        <w:tc>
          <w:tcPr>
            <w:tcW w:w="5387" w:type="dxa"/>
          </w:tcPr>
          <w:p w:rsidR="009143B9" w:rsidRPr="0081398E" w:rsidP="0081398E" w14:paraId="44674D6A" w14:textId="77777777">
            <w:pPr>
              <w:spacing w:line="320" w:lineRule="exact"/>
              <w:jc w:val="both"/>
              <w:rPr>
                <w:color w:val="000000"/>
                <w:sz w:val="22"/>
                <w:szCs w:val="22"/>
              </w:rPr>
            </w:pPr>
          </w:p>
        </w:tc>
      </w:tr>
    </w:tbl>
    <w:p w:rsidR="0022141E" w:rsidRPr="0081398E" w:rsidP="0081398E" w14:paraId="2427ABDA" w14:textId="77777777">
      <w:pPr>
        <w:spacing w:line="320" w:lineRule="exact"/>
        <w:jc w:val="both"/>
        <w:rPr>
          <w:color w:val="000000"/>
          <w:sz w:val="22"/>
          <w:szCs w:val="22"/>
        </w:rPr>
      </w:pPr>
    </w:p>
    <w:p w:rsidR="009E04B3" w:rsidRPr="0081398E" w:rsidP="0081398E" w14:paraId="2ABE14E7" w14:textId="3BC92197">
      <w:pPr>
        <w:spacing w:line="320" w:lineRule="exact"/>
        <w:jc w:val="both"/>
        <w:rPr>
          <w:color w:val="000000"/>
          <w:sz w:val="22"/>
          <w:szCs w:val="22"/>
        </w:rPr>
      </w:pPr>
      <w:r w:rsidRPr="0081398E">
        <w:rPr>
          <w:color w:val="000000"/>
          <w:sz w:val="22"/>
          <w:szCs w:val="22"/>
        </w:rPr>
        <w:t>Termos iniciados por letra maiúscula utilizados nesta instrução de voto a distância (</w:t>
      </w:r>
      <w:r w:rsidRPr="0081398E" w:rsidR="00036927">
        <w:rPr>
          <w:color w:val="000000"/>
          <w:sz w:val="22"/>
          <w:szCs w:val="22"/>
        </w:rPr>
        <w:t>“</w:t>
      </w:r>
      <w:r w:rsidRPr="0081398E">
        <w:rPr>
          <w:color w:val="000000"/>
          <w:sz w:val="22"/>
          <w:szCs w:val="22"/>
          <w:u w:val="single"/>
        </w:rPr>
        <w:t>Instrução de Voto</w:t>
      </w:r>
      <w:r w:rsidRPr="0081398E" w:rsidR="00036927">
        <w:rPr>
          <w:color w:val="000000"/>
          <w:sz w:val="22"/>
          <w:szCs w:val="22"/>
        </w:rPr>
        <w:t>”</w:t>
      </w:r>
      <w:r w:rsidRPr="0081398E">
        <w:rPr>
          <w:color w:val="000000"/>
          <w:sz w:val="22"/>
          <w:szCs w:val="22"/>
        </w:rPr>
        <w:t xml:space="preserve">) da Assembleia </w:t>
      </w:r>
      <w:r w:rsidRPr="0081398E" w:rsidR="00EB1262">
        <w:rPr>
          <w:color w:val="000000"/>
          <w:sz w:val="22"/>
          <w:szCs w:val="22"/>
        </w:rPr>
        <w:t xml:space="preserve">Especial de </w:t>
      </w:r>
      <w:r w:rsidR="00EF5BC7">
        <w:rPr>
          <w:color w:val="000000"/>
          <w:sz w:val="22"/>
          <w:szCs w:val="22"/>
        </w:rPr>
        <w:t xml:space="preserve">Titulares </w:t>
      </w:r>
      <w:r w:rsidRPr="0081398E" w:rsidR="00EB1262">
        <w:rPr>
          <w:color w:val="000000"/>
          <w:sz w:val="22"/>
          <w:szCs w:val="22"/>
        </w:rPr>
        <w:t xml:space="preserve">de Certificados de Recebíveis </w:t>
      </w:r>
      <w:r w:rsidRPr="0081398E" w:rsidR="00456766">
        <w:rPr>
          <w:color w:val="000000"/>
          <w:sz w:val="22"/>
          <w:szCs w:val="22"/>
        </w:rPr>
        <w:t>Imobiliários</w:t>
      </w:r>
      <w:r w:rsidRPr="0081398E" w:rsidR="00EB1262">
        <w:rPr>
          <w:color w:val="000000"/>
          <w:sz w:val="22"/>
          <w:szCs w:val="22"/>
        </w:rPr>
        <w:t xml:space="preserve"> da </w:t>
      </w:r>
      <w:r w:rsidRPr="0081398E" w:rsidR="00456766">
        <w:rPr>
          <w:sz w:val="22"/>
          <w:szCs w:val="22"/>
        </w:rPr>
        <w:t xml:space="preserve">275ª Série da 1ª Emissão </w:t>
      </w:r>
      <w:r w:rsidRPr="0081398E" w:rsidR="00EB1262">
        <w:rPr>
          <w:color w:val="000000"/>
          <w:sz w:val="22"/>
          <w:szCs w:val="22"/>
        </w:rPr>
        <w:t xml:space="preserve">da </w:t>
      </w:r>
      <w:r w:rsidRPr="0081398E" w:rsidR="00456766">
        <w:rPr>
          <w:color w:val="000000"/>
          <w:sz w:val="22"/>
          <w:szCs w:val="22"/>
        </w:rPr>
        <w:t>Opea</w:t>
      </w:r>
      <w:r w:rsidRPr="0081398E" w:rsidR="00EB1262">
        <w:rPr>
          <w:color w:val="000000"/>
          <w:sz w:val="22"/>
          <w:szCs w:val="22"/>
        </w:rPr>
        <w:t xml:space="preserve"> Securitizadora S.A.</w:t>
      </w:r>
      <w:r w:rsidRPr="0081398E">
        <w:rPr>
          <w:color w:val="000000"/>
          <w:sz w:val="22"/>
          <w:szCs w:val="22"/>
        </w:rPr>
        <w:t xml:space="preserve"> </w:t>
      </w:r>
      <w:r w:rsidR="002C64EC">
        <w:rPr>
          <w:color w:val="000000"/>
          <w:sz w:val="22"/>
          <w:szCs w:val="22"/>
        </w:rPr>
        <w:t>(</w:t>
      </w:r>
      <w:r w:rsidRPr="0081398E" w:rsidR="002C64EC">
        <w:rPr>
          <w:sz w:val="22"/>
          <w:szCs w:val="22"/>
        </w:rPr>
        <w:t>CNPJ</w:t>
      </w:r>
      <w:r w:rsidR="002C64EC">
        <w:rPr>
          <w:sz w:val="22"/>
          <w:szCs w:val="22"/>
        </w:rPr>
        <w:t>/ME</w:t>
      </w:r>
      <w:r w:rsidRPr="0081398E" w:rsidR="002C64EC">
        <w:rPr>
          <w:sz w:val="22"/>
          <w:szCs w:val="22"/>
        </w:rPr>
        <w:t xml:space="preserve"> nº 02.773.542/0001-22</w:t>
      </w:r>
      <w:r w:rsidR="002C64EC">
        <w:rPr>
          <w:sz w:val="22"/>
          <w:szCs w:val="22"/>
        </w:rPr>
        <w:t xml:space="preserve">) </w:t>
      </w:r>
      <w:r w:rsidRPr="0081398E">
        <w:rPr>
          <w:color w:val="000000"/>
          <w:sz w:val="22"/>
          <w:szCs w:val="22"/>
        </w:rPr>
        <w:t>(</w:t>
      </w:r>
      <w:r w:rsidRPr="0081398E" w:rsidR="00036927">
        <w:rPr>
          <w:color w:val="000000"/>
          <w:sz w:val="22"/>
          <w:szCs w:val="22"/>
        </w:rPr>
        <w:t>“</w:t>
      </w:r>
      <w:r w:rsidRPr="0081398E" w:rsidR="00EB1262">
        <w:rPr>
          <w:color w:val="000000"/>
          <w:sz w:val="22"/>
          <w:szCs w:val="22"/>
          <w:u w:val="single"/>
        </w:rPr>
        <w:t>Emissora</w:t>
      </w:r>
      <w:r w:rsidRPr="0081398E" w:rsidR="00036927">
        <w:rPr>
          <w:color w:val="000000"/>
          <w:sz w:val="22"/>
          <w:szCs w:val="22"/>
        </w:rPr>
        <w:t>”</w:t>
      </w:r>
      <w:r w:rsidRPr="0081398E">
        <w:rPr>
          <w:color w:val="000000"/>
          <w:sz w:val="22"/>
          <w:szCs w:val="22"/>
        </w:rPr>
        <w:t xml:space="preserve">), a ser realizada </w:t>
      </w:r>
      <w:r w:rsidRPr="00AF7B9B">
        <w:rPr>
          <w:b/>
          <w:color w:val="000000"/>
          <w:sz w:val="22"/>
          <w:szCs w:val="22"/>
          <w:u w:val="single"/>
        </w:rPr>
        <w:t>exclusivamente de forma digital e remota</w:t>
      </w:r>
      <w:r w:rsidRPr="0081398E">
        <w:rPr>
          <w:color w:val="000000"/>
          <w:sz w:val="22"/>
          <w:szCs w:val="22"/>
        </w:rPr>
        <w:t xml:space="preserve">, </w:t>
      </w:r>
      <w:r w:rsidRPr="00AF7B9B" w:rsidR="00AF7B9B">
        <w:rPr>
          <w:color w:val="000000"/>
          <w:sz w:val="22"/>
          <w:szCs w:val="22"/>
        </w:rPr>
        <w:t>nos termos do artigo 26, §3º, da Resolução da Comissão de Valores Mobiliários (“</w:t>
      </w:r>
      <w:r w:rsidRPr="00AF7B9B" w:rsidR="00AF7B9B">
        <w:rPr>
          <w:color w:val="000000"/>
          <w:sz w:val="22"/>
          <w:szCs w:val="22"/>
          <w:u w:val="single"/>
        </w:rPr>
        <w:t>CVM</w:t>
      </w:r>
      <w:r w:rsidRPr="00AF7B9B" w:rsidR="00AF7B9B">
        <w:rPr>
          <w:color w:val="000000"/>
          <w:sz w:val="22"/>
          <w:szCs w:val="22"/>
        </w:rPr>
        <w:t>”) nº 60, de 23 de dezembro de 2022</w:t>
      </w:r>
      <w:r w:rsidR="00AF7B9B">
        <w:rPr>
          <w:color w:val="000000"/>
          <w:sz w:val="22"/>
          <w:szCs w:val="22"/>
        </w:rPr>
        <w:t xml:space="preserve">, </w:t>
      </w:r>
      <w:r w:rsidRPr="0081398E">
        <w:rPr>
          <w:color w:val="000000"/>
          <w:sz w:val="22"/>
          <w:szCs w:val="22"/>
        </w:rPr>
        <w:t xml:space="preserve">em </w:t>
      </w:r>
      <w:bookmarkStart w:id="3" w:name="_Hlk104906607"/>
      <w:r w:rsidRPr="00AF7B9B" w:rsidR="00036927">
        <w:rPr>
          <w:b/>
          <w:color w:val="000000"/>
          <w:sz w:val="22"/>
          <w:szCs w:val="22"/>
          <w:u w:val="single"/>
        </w:rPr>
        <w:t>[●]</w:t>
      </w:r>
      <w:bookmarkEnd w:id="3"/>
      <w:r w:rsidRPr="00AF7B9B" w:rsidR="00036927">
        <w:rPr>
          <w:b/>
          <w:color w:val="000000"/>
          <w:sz w:val="22"/>
          <w:szCs w:val="22"/>
          <w:u w:val="single"/>
        </w:rPr>
        <w:t xml:space="preserve"> de [●] de 2022</w:t>
      </w:r>
      <w:r w:rsidRPr="0081398E">
        <w:rPr>
          <w:color w:val="000000"/>
          <w:sz w:val="22"/>
          <w:szCs w:val="22"/>
        </w:rPr>
        <w:t xml:space="preserve">, às </w:t>
      </w:r>
      <w:r w:rsidRPr="00AF7B9B" w:rsidR="00036927">
        <w:rPr>
          <w:b/>
          <w:color w:val="000000"/>
          <w:sz w:val="22"/>
          <w:szCs w:val="22"/>
          <w:u w:val="single"/>
        </w:rPr>
        <w:t>[●]</w:t>
      </w:r>
      <w:r w:rsidRPr="0081398E">
        <w:rPr>
          <w:color w:val="000000"/>
          <w:sz w:val="22"/>
          <w:szCs w:val="22"/>
        </w:rPr>
        <w:t xml:space="preserve"> horas</w:t>
      </w:r>
      <w:r w:rsidR="00AF7B9B">
        <w:rPr>
          <w:color w:val="000000"/>
          <w:sz w:val="22"/>
          <w:szCs w:val="22"/>
        </w:rPr>
        <w:t>[</w:t>
      </w:r>
      <w:r w:rsidRPr="00AF7B9B">
        <w:rPr>
          <w:color w:val="000000"/>
          <w:sz w:val="22"/>
          <w:szCs w:val="22"/>
          <w:highlight w:val="lightGray"/>
        </w:rPr>
        <w:t xml:space="preserve">, conforme </w:t>
      </w:r>
      <w:r w:rsidRPr="00AF7B9B" w:rsidR="00AF7B9B">
        <w:rPr>
          <w:color w:val="000000" w:themeColor="text1"/>
          <w:sz w:val="22"/>
          <w:szCs w:val="22"/>
          <w:highlight w:val="lightGray"/>
        </w:rPr>
        <w:t>e</w:t>
      </w:r>
      <w:r w:rsidRPr="007B2EF8" w:rsidR="00AF7B9B">
        <w:rPr>
          <w:color w:val="000000" w:themeColor="text1"/>
          <w:sz w:val="22"/>
          <w:szCs w:val="22"/>
          <w:highlight w:val="lightGray"/>
        </w:rPr>
        <w:t>dital de convocação publicado no “</w:t>
      </w:r>
      <w:r w:rsidRPr="007B2EF8" w:rsidR="00AF7B9B">
        <w:rPr>
          <w:bCs/>
          <w:i/>
          <w:iCs/>
          <w:color w:val="000000" w:themeColor="text1"/>
          <w:sz w:val="22"/>
          <w:szCs w:val="22"/>
          <w:highlight w:val="lightGray"/>
        </w:rPr>
        <w:t>Valor Econômico</w:t>
      </w:r>
      <w:r w:rsidRPr="007B2EF8" w:rsidR="00AF7B9B">
        <w:rPr>
          <w:bCs/>
          <w:color w:val="000000" w:themeColor="text1"/>
          <w:sz w:val="22"/>
          <w:szCs w:val="22"/>
          <w:highlight w:val="lightGray"/>
        </w:rPr>
        <w:t>” (“</w:t>
      </w:r>
      <w:r w:rsidRPr="007B2EF8" w:rsidR="00AF7B9B">
        <w:rPr>
          <w:color w:val="000000" w:themeColor="text1"/>
          <w:sz w:val="22"/>
          <w:szCs w:val="22"/>
          <w:highlight w:val="lightGray"/>
          <w:u w:val="single"/>
        </w:rPr>
        <w:t>Jornal de Publicação</w:t>
      </w:r>
      <w:r w:rsidRPr="007B2EF8" w:rsidR="00AF7B9B">
        <w:rPr>
          <w:color w:val="000000" w:themeColor="text1"/>
          <w:sz w:val="22"/>
          <w:szCs w:val="22"/>
          <w:highlight w:val="lightGray"/>
        </w:rPr>
        <w:t>”) nas edições dos dias [●], [●] e [●] de [●] de 2022, com divulgação simultânea na página do Jornal de Publicação na internet, nos termos do artigo 289 da Lei nº 6.404, de 15 de dezembro de 1976, conforme alterada</w:t>
      </w:r>
      <w:r w:rsidR="00AF7B9B">
        <w:rPr>
          <w:color w:val="000000"/>
          <w:sz w:val="22"/>
          <w:szCs w:val="22"/>
        </w:rPr>
        <w:t>]</w:t>
      </w:r>
      <w:r w:rsidRPr="0081398E" w:rsidR="00870283">
        <w:rPr>
          <w:color w:val="000000"/>
          <w:sz w:val="22"/>
          <w:szCs w:val="22"/>
        </w:rPr>
        <w:t xml:space="preserve"> </w:t>
      </w:r>
      <w:r w:rsidRPr="0081398E">
        <w:rPr>
          <w:color w:val="000000"/>
          <w:sz w:val="22"/>
          <w:szCs w:val="22"/>
        </w:rPr>
        <w:t>(</w:t>
      </w:r>
      <w:r w:rsidRPr="0081398E" w:rsidR="00036927">
        <w:rPr>
          <w:color w:val="000000"/>
          <w:sz w:val="22"/>
          <w:szCs w:val="22"/>
        </w:rPr>
        <w:t>“</w:t>
      </w:r>
      <w:r w:rsidRPr="0081398E">
        <w:rPr>
          <w:color w:val="000000"/>
          <w:sz w:val="22"/>
          <w:szCs w:val="22"/>
          <w:u w:val="single"/>
        </w:rPr>
        <w:t xml:space="preserve">Assembleia </w:t>
      </w:r>
      <w:r w:rsidRPr="0081398E" w:rsidR="00EB1262">
        <w:rPr>
          <w:color w:val="000000"/>
          <w:sz w:val="22"/>
          <w:szCs w:val="22"/>
          <w:u w:val="single"/>
        </w:rPr>
        <w:t>Especial</w:t>
      </w:r>
      <w:r w:rsidRPr="0081398E" w:rsidR="00036927">
        <w:rPr>
          <w:color w:val="000000"/>
          <w:sz w:val="22"/>
          <w:szCs w:val="22"/>
        </w:rPr>
        <w:t>”</w:t>
      </w:r>
      <w:r w:rsidRPr="0081398E">
        <w:rPr>
          <w:color w:val="000000"/>
          <w:sz w:val="22"/>
          <w:szCs w:val="22"/>
        </w:rPr>
        <w:t>), que não estiverem aqui definidos têm o significado que lhes fo</w:t>
      </w:r>
      <w:r w:rsidR="00AF7B9B">
        <w:rPr>
          <w:color w:val="000000"/>
          <w:sz w:val="22"/>
          <w:szCs w:val="22"/>
        </w:rPr>
        <w:t>rem</w:t>
      </w:r>
      <w:r w:rsidRPr="0081398E">
        <w:rPr>
          <w:color w:val="000000"/>
          <w:sz w:val="22"/>
          <w:szCs w:val="22"/>
        </w:rPr>
        <w:t xml:space="preserve"> </w:t>
      </w:r>
      <w:r w:rsidRPr="00AF7B9B">
        <w:rPr>
          <w:color w:val="000000"/>
          <w:sz w:val="22"/>
          <w:szCs w:val="22"/>
        </w:rPr>
        <w:t>atribuído</w:t>
      </w:r>
      <w:r w:rsidRPr="00AF7B9B" w:rsidR="00AF7B9B">
        <w:rPr>
          <w:color w:val="000000"/>
          <w:sz w:val="22"/>
          <w:szCs w:val="22"/>
        </w:rPr>
        <w:t>s</w:t>
      </w:r>
      <w:r w:rsidRPr="00AF7B9B">
        <w:rPr>
          <w:color w:val="000000"/>
          <w:sz w:val="22"/>
          <w:szCs w:val="22"/>
        </w:rPr>
        <w:t xml:space="preserve"> no </w:t>
      </w:r>
      <w:bookmarkStart w:id="4" w:name="_Hlk104908935"/>
      <w:bookmarkStart w:id="5" w:name="_Hlk104905560"/>
      <w:r w:rsidRPr="00AF7B9B" w:rsidR="00AF7B9B">
        <w:rPr>
          <w:color w:val="000000" w:themeColor="text1"/>
          <w:sz w:val="22"/>
          <w:szCs w:val="22"/>
        </w:rPr>
        <w:t>“</w:t>
      </w:r>
      <w:r w:rsidRPr="00AF7B9B" w:rsidR="00AF7B9B">
        <w:rPr>
          <w:i/>
          <w:iCs/>
          <w:color w:val="000000" w:themeColor="text1"/>
          <w:sz w:val="22"/>
          <w:szCs w:val="22"/>
        </w:rPr>
        <w:t>Termo de Securitização de Créditos Imobiliários da 275ª Série da 1ª Emissão de Certificados de Recebíveis Imobiliários da RB Capital Companhia de Securitização</w:t>
      </w:r>
      <w:r w:rsidRPr="00AF7B9B" w:rsidR="00AF7B9B">
        <w:rPr>
          <w:color w:val="000000" w:themeColor="text1"/>
          <w:sz w:val="22"/>
          <w:szCs w:val="22"/>
        </w:rPr>
        <w:t xml:space="preserve">”, celebrado em 15 de setembro de 2020, entre a </w:t>
      </w:r>
      <w:r w:rsidRPr="00AF7B9B" w:rsidR="00AF7B9B">
        <w:rPr>
          <w:color w:val="000000" w:themeColor="text1"/>
          <w:sz w:val="22"/>
          <w:szCs w:val="22"/>
        </w:rPr>
        <w:t>Emissora e a Simplific Pavarini Distribuidora de Títulos e Valores Mobiliários Ltda. (CNPJ/ME sob o nº 15.227.994/0004-01) (“</w:t>
      </w:r>
      <w:r w:rsidRPr="00AF7B9B" w:rsidR="00AF7B9B">
        <w:rPr>
          <w:color w:val="000000" w:themeColor="text1"/>
          <w:sz w:val="22"/>
          <w:szCs w:val="22"/>
          <w:u w:val="single"/>
        </w:rPr>
        <w:t>Agente Fiduciário</w:t>
      </w:r>
      <w:r w:rsidRPr="00AF7B9B" w:rsidR="00AF7B9B">
        <w:rPr>
          <w:color w:val="000000" w:themeColor="text1"/>
          <w:sz w:val="22"/>
          <w:szCs w:val="22"/>
        </w:rPr>
        <w:t>”), conforme aditado de tempos em tempos (“</w:t>
      </w:r>
      <w:r w:rsidRPr="00AF7B9B" w:rsidR="00AF7B9B">
        <w:rPr>
          <w:color w:val="000000" w:themeColor="text1"/>
          <w:sz w:val="22"/>
          <w:szCs w:val="22"/>
          <w:u w:val="single"/>
        </w:rPr>
        <w:t>Termo de Securitização</w:t>
      </w:r>
      <w:r w:rsidRPr="00AF7B9B" w:rsidR="00AF7B9B">
        <w:rPr>
          <w:color w:val="000000" w:themeColor="text1"/>
          <w:sz w:val="22"/>
          <w:szCs w:val="22"/>
        </w:rPr>
        <w:t>”)</w:t>
      </w:r>
      <w:r w:rsidR="009B41DC">
        <w:rPr>
          <w:color w:val="000000" w:themeColor="text1"/>
          <w:sz w:val="22"/>
          <w:szCs w:val="22"/>
        </w:rPr>
        <w:t xml:space="preserve"> ou no</w:t>
      </w:r>
      <w:r w:rsidRPr="00B15136" w:rsidR="00B15136">
        <w:rPr>
          <w:color w:val="000000" w:themeColor="text1"/>
          <w:sz w:val="22"/>
          <w:szCs w:val="22"/>
        </w:rPr>
        <w:t xml:space="preserve"> “</w:t>
      </w:r>
      <w:r w:rsidRPr="00B15136" w:rsidR="00B15136">
        <w:rPr>
          <w:i/>
          <w:iCs/>
          <w:color w:val="000000" w:themeColor="text1"/>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Pr="00B15136" w:rsidR="00B15136">
        <w:rPr>
          <w:color w:val="000000" w:themeColor="text1"/>
          <w:sz w:val="22"/>
          <w:szCs w:val="22"/>
        </w:rPr>
        <w:t>”, datado de 15 de setembro de 2020, conforme aditado de tempos em tempos,</w:t>
      </w:r>
      <w:r w:rsidR="00B15136">
        <w:rPr>
          <w:color w:val="000000" w:themeColor="text1"/>
          <w:sz w:val="22"/>
          <w:szCs w:val="22"/>
        </w:rPr>
        <w:t xml:space="preserve"> celebrado entre a </w:t>
      </w:r>
      <w:r w:rsidRPr="0016670F" w:rsidR="00B15136">
        <w:rPr>
          <w:sz w:val="22"/>
          <w:szCs w:val="22"/>
        </w:rPr>
        <w:t>Novum Directiones Investimentos e Participações em Empreendimentos Imobiliários S.A.</w:t>
      </w:r>
      <w:r w:rsidRPr="0016670F" w:rsidR="00B15136">
        <w:rPr>
          <w:b/>
          <w:bCs/>
          <w:sz w:val="22"/>
          <w:szCs w:val="22"/>
        </w:rPr>
        <w:t xml:space="preserve"> </w:t>
      </w:r>
      <w:r w:rsidRPr="0016670F" w:rsidR="00B15136">
        <w:rPr>
          <w:sz w:val="22"/>
          <w:szCs w:val="22"/>
        </w:rPr>
        <w:t>(CNPJ/ME sob o nº 34.861.820/0001-90)</w:t>
      </w:r>
      <w:r w:rsidR="00B15136">
        <w:rPr>
          <w:sz w:val="22"/>
          <w:szCs w:val="22"/>
        </w:rPr>
        <w:t xml:space="preserve"> (“</w:t>
      </w:r>
      <w:r w:rsidRPr="007E74AD" w:rsidR="00B15136">
        <w:rPr>
          <w:sz w:val="22"/>
          <w:szCs w:val="22"/>
          <w:u w:val="single"/>
        </w:rPr>
        <w:t>Novum</w:t>
      </w:r>
      <w:r w:rsidR="00B15136">
        <w:rPr>
          <w:sz w:val="22"/>
          <w:szCs w:val="22"/>
        </w:rPr>
        <w:t>”)</w:t>
      </w:r>
      <w:r w:rsidR="00B15136">
        <w:rPr>
          <w:color w:val="000000" w:themeColor="text1"/>
          <w:sz w:val="22"/>
          <w:szCs w:val="22"/>
        </w:rPr>
        <w:t xml:space="preserve">, a Emissora e a </w:t>
      </w:r>
      <w:r w:rsidRPr="00EF0CB9" w:rsidR="00B15136">
        <w:rPr>
          <w:color w:val="000000" w:themeColor="text1"/>
          <w:sz w:val="22"/>
          <w:szCs w:val="22"/>
        </w:rPr>
        <w:t>Gafisa S.A. (CNPJ/ME sob o nº 01.545.826/0001-07) (“</w:t>
      </w:r>
      <w:r w:rsidRPr="00EF0CB9" w:rsidR="00B15136">
        <w:rPr>
          <w:color w:val="000000" w:themeColor="text1"/>
          <w:sz w:val="22"/>
          <w:szCs w:val="22"/>
          <w:u w:val="single"/>
        </w:rPr>
        <w:t>Fiadora</w:t>
      </w:r>
      <w:r w:rsidRPr="00EF0CB9" w:rsidR="00B15136">
        <w:rPr>
          <w:color w:val="000000" w:themeColor="text1"/>
          <w:sz w:val="22"/>
          <w:szCs w:val="22"/>
        </w:rPr>
        <w:t>”</w:t>
      </w:r>
      <w:r w:rsidR="00B15136">
        <w:rPr>
          <w:color w:val="000000" w:themeColor="text1"/>
          <w:sz w:val="22"/>
          <w:szCs w:val="22"/>
        </w:rPr>
        <w:t>), com a interveniência anuência do Agente Fiduciário</w:t>
      </w:r>
      <w:r w:rsidRPr="00AF7B9B" w:rsidR="00AF7B9B">
        <w:rPr>
          <w:color w:val="000000" w:themeColor="text1"/>
          <w:sz w:val="22"/>
          <w:szCs w:val="22"/>
        </w:rPr>
        <w:t>.</w:t>
      </w:r>
      <w:bookmarkEnd w:id="4"/>
      <w:bookmarkEnd w:id="5"/>
      <w:r w:rsidRPr="0081398E" w:rsidR="004E404F">
        <w:rPr>
          <w:color w:val="000000"/>
          <w:sz w:val="22"/>
          <w:szCs w:val="22"/>
        </w:rPr>
        <w:t xml:space="preserve"> </w:t>
      </w:r>
      <w:r w:rsidRPr="00EF0CB9" w:rsidR="00AF7B9B">
        <w:rPr>
          <w:color w:val="000000" w:themeColor="text1"/>
          <w:sz w:val="22"/>
          <w:szCs w:val="22"/>
        </w:rPr>
        <w:t>[</w:t>
      </w:r>
      <w:r w:rsidRPr="00EF0CB9" w:rsidR="00AF7B9B">
        <w:rPr>
          <w:b/>
          <w:bCs/>
          <w:color w:val="000000" w:themeColor="text1"/>
          <w:sz w:val="22"/>
          <w:szCs w:val="22"/>
          <w:highlight w:val="yellow"/>
        </w:rPr>
        <w:t>Nota Cescon Barrieu</w:t>
      </w:r>
      <w:r w:rsidRPr="00EF0CB9" w:rsidR="00AF7B9B">
        <w:rPr>
          <w:color w:val="000000" w:themeColor="text1"/>
          <w:sz w:val="22"/>
          <w:szCs w:val="22"/>
          <w:highlight w:val="yellow"/>
        </w:rPr>
        <w:t xml:space="preserve">: </w:t>
      </w:r>
      <w:r w:rsidR="002F50F3">
        <w:rPr>
          <w:color w:val="000000" w:themeColor="text1"/>
          <w:sz w:val="22"/>
          <w:szCs w:val="22"/>
          <w:highlight w:val="yellow"/>
        </w:rPr>
        <w:t>favor confirmar jornal e datas de publicação</w:t>
      </w:r>
      <w:r w:rsidRPr="00EF0CB9" w:rsidR="00AF7B9B">
        <w:rPr>
          <w:color w:val="000000" w:themeColor="text1"/>
          <w:sz w:val="22"/>
          <w:szCs w:val="22"/>
        </w:rPr>
        <w:t>]</w:t>
      </w:r>
    </w:p>
    <w:p w:rsidR="00D554FD" w:rsidRPr="0081398E" w:rsidP="0081398E" w14:paraId="10928CDE" w14:textId="77777777">
      <w:pPr>
        <w:spacing w:line="320" w:lineRule="exact"/>
        <w:jc w:val="both"/>
        <w:rPr>
          <w:color w:val="000000"/>
          <w:sz w:val="22"/>
          <w:szCs w:val="22"/>
        </w:rPr>
      </w:pPr>
    </w:p>
    <w:p w:rsidR="00E50AE3" w:rsidRPr="0081398E" w:rsidP="0081398E" w14:paraId="7B110515" w14:textId="77777777">
      <w:pPr>
        <w:spacing w:line="320" w:lineRule="exact"/>
        <w:jc w:val="both"/>
        <w:textAlignment w:val="baseline"/>
        <w:rPr>
          <w:rFonts w:eastAsia="Tahoma"/>
          <w:b/>
          <w:spacing w:val="2"/>
          <w:sz w:val="22"/>
          <w:szCs w:val="22"/>
        </w:rPr>
      </w:pPr>
      <w:r w:rsidRPr="0081398E">
        <w:rPr>
          <w:rFonts w:eastAsia="Tahoma"/>
          <w:b/>
          <w:spacing w:val="2"/>
          <w:sz w:val="22"/>
          <w:szCs w:val="22"/>
        </w:rPr>
        <w:t>Orientações para preenchimento da Instrução de Voto</w:t>
      </w:r>
    </w:p>
    <w:p w:rsidR="00E50AE3" w:rsidRPr="0081398E" w:rsidP="0081398E" w14:paraId="56FCDE41" w14:textId="77777777">
      <w:pPr>
        <w:spacing w:line="320" w:lineRule="exact"/>
        <w:jc w:val="both"/>
        <w:rPr>
          <w:sz w:val="22"/>
          <w:szCs w:val="22"/>
        </w:rPr>
      </w:pPr>
    </w:p>
    <w:p w:rsidR="00E50AE3" w:rsidRPr="0081398E" w:rsidP="0081398E" w14:paraId="3DE7458C" w14:textId="77777777">
      <w:pPr>
        <w:spacing w:line="320" w:lineRule="exact"/>
        <w:jc w:val="both"/>
        <w:rPr>
          <w:sz w:val="22"/>
          <w:szCs w:val="22"/>
        </w:rPr>
      </w:pPr>
      <w:r w:rsidRPr="0081398E">
        <w:rPr>
          <w:sz w:val="22"/>
          <w:szCs w:val="22"/>
        </w:rPr>
        <w:t xml:space="preserve">Para que esta Instrução de Voto seja considerada válida e os votos ali proferidos sejam contabilizados no quórum da Assembleia Especial, deverão ser observados os seguintes requisitos: </w:t>
      </w:r>
    </w:p>
    <w:p w:rsidR="00E50AE3" w:rsidRPr="0081398E" w:rsidP="0081398E" w14:paraId="6C63CED8" w14:textId="77777777">
      <w:pPr>
        <w:spacing w:line="320" w:lineRule="exact"/>
        <w:jc w:val="both"/>
        <w:rPr>
          <w:sz w:val="22"/>
          <w:szCs w:val="22"/>
        </w:rPr>
      </w:pPr>
    </w:p>
    <w:p w:rsidR="00E50AE3" w:rsidRPr="0081398E" w:rsidP="0081398E" w14:paraId="4C031D25" w14:textId="2E8606E1">
      <w:pPr>
        <w:pStyle w:val="ListParagraph"/>
        <w:widowControl/>
        <w:numPr>
          <w:ilvl w:val="0"/>
          <w:numId w:val="8"/>
        </w:numPr>
        <w:autoSpaceDE/>
        <w:autoSpaceDN/>
        <w:adjustRightInd/>
        <w:spacing w:line="320" w:lineRule="exact"/>
        <w:ind w:left="0" w:firstLine="0"/>
        <w:rPr>
          <w:sz w:val="22"/>
          <w:szCs w:val="22"/>
        </w:rPr>
      </w:pPr>
      <w:r w:rsidRPr="0081398E">
        <w:rPr>
          <w:sz w:val="22"/>
          <w:szCs w:val="22"/>
        </w:rPr>
        <w:t xml:space="preserve">todos os campos deverão ser preenchidos, incluindo a indicação do nome ou denominação social completa do Titular </w:t>
      </w:r>
      <w:r w:rsidRPr="0081398E" w:rsidR="00EF5BC7">
        <w:rPr>
          <w:sz w:val="22"/>
          <w:szCs w:val="22"/>
        </w:rPr>
        <w:t>d</w:t>
      </w:r>
      <w:r w:rsidR="00EF5BC7">
        <w:rPr>
          <w:sz w:val="22"/>
          <w:szCs w:val="22"/>
        </w:rPr>
        <w:t>os</w:t>
      </w:r>
      <w:r w:rsidRPr="0081398E" w:rsidR="00EF5BC7">
        <w:rPr>
          <w:sz w:val="22"/>
          <w:szCs w:val="22"/>
        </w:rPr>
        <w:t xml:space="preserve"> </w:t>
      </w:r>
      <w:r w:rsidRPr="0081398E">
        <w:rPr>
          <w:sz w:val="22"/>
          <w:szCs w:val="22"/>
        </w:rPr>
        <w:t>CRI e o número do CPF ou CNPJ, bem como indicação de endereço eletrônico e telefone para eventuais contatos;</w:t>
      </w:r>
    </w:p>
    <w:p w:rsidR="00E50AE3" w:rsidRPr="0081398E" w:rsidP="0081398E" w14:paraId="2E81E4D7" w14:textId="77777777">
      <w:pPr>
        <w:pStyle w:val="ListParagraph"/>
        <w:spacing w:line="320" w:lineRule="exact"/>
        <w:ind w:left="0"/>
        <w:rPr>
          <w:sz w:val="22"/>
          <w:szCs w:val="22"/>
        </w:rPr>
      </w:pPr>
    </w:p>
    <w:p w:rsidR="00E50AE3" w:rsidRPr="0081398E" w:rsidP="0081398E" w14:paraId="4834E21F" w14:textId="77777777">
      <w:pPr>
        <w:pStyle w:val="ListParagraph"/>
        <w:widowControl/>
        <w:numPr>
          <w:ilvl w:val="0"/>
          <w:numId w:val="8"/>
        </w:numPr>
        <w:autoSpaceDE/>
        <w:autoSpaceDN/>
        <w:adjustRightInd/>
        <w:spacing w:line="320" w:lineRule="exact"/>
        <w:ind w:left="0" w:firstLine="0"/>
        <w:rPr>
          <w:sz w:val="22"/>
          <w:szCs w:val="22"/>
        </w:rPr>
      </w:pPr>
      <w:r w:rsidRPr="0081398E">
        <w:rPr>
          <w:sz w:val="22"/>
          <w:szCs w:val="22"/>
        </w:rPr>
        <w:t>o voto em cada deliberação deverá ser assinalado apenas em um dos campos (“aprovar”, “rejeitar” ou “abster-se”), sendo desconsideradas as Instruções de Voto rasuradas;</w:t>
      </w:r>
    </w:p>
    <w:p w:rsidR="00E50AE3" w:rsidRPr="0081398E" w:rsidP="0081398E" w14:paraId="2FD3AD2F" w14:textId="77777777">
      <w:pPr>
        <w:pStyle w:val="ListParagraph"/>
        <w:spacing w:line="320" w:lineRule="exact"/>
        <w:ind w:left="0"/>
        <w:rPr>
          <w:sz w:val="22"/>
          <w:szCs w:val="22"/>
        </w:rPr>
      </w:pPr>
    </w:p>
    <w:p w:rsidR="00E50AE3" w:rsidRPr="0081398E" w:rsidP="0081398E" w14:paraId="66A7A975" w14:textId="66C2B59C">
      <w:pPr>
        <w:pStyle w:val="ListParagraph"/>
        <w:widowControl/>
        <w:numPr>
          <w:ilvl w:val="0"/>
          <w:numId w:val="8"/>
        </w:numPr>
        <w:autoSpaceDE/>
        <w:autoSpaceDN/>
        <w:adjustRightInd/>
        <w:spacing w:line="320" w:lineRule="exact"/>
        <w:ind w:left="0" w:firstLine="0"/>
        <w:rPr>
          <w:sz w:val="22"/>
          <w:szCs w:val="22"/>
        </w:rPr>
      </w:pPr>
      <w:r w:rsidRPr="0081398E">
        <w:rPr>
          <w:sz w:val="22"/>
          <w:szCs w:val="22"/>
        </w:rPr>
        <w:t xml:space="preserve">ao final, o Titular </w:t>
      </w:r>
      <w:r w:rsidRPr="0081398E" w:rsidR="00EF5BC7">
        <w:rPr>
          <w:sz w:val="22"/>
          <w:szCs w:val="22"/>
        </w:rPr>
        <w:t>d</w:t>
      </w:r>
      <w:r w:rsidR="00EF5BC7">
        <w:rPr>
          <w:sz w:val="22"/>
          <w:szCs w:val="22"/>
        </w:rPr>
        <w:t>os</w:t>
      </w:r>
      <w:r w:rsidRPr="0081398E" w:rsidR="00EF5BC7">
        <w:rPr>
          <w:sz w:val="22"/>
          <w:szCs w:val="22"/>
        </w:rPr>
        <w:t xml:space="preserve"> </w:t>
      </w:r>
      <w:r w:rsidRPr="0081398E">
        <w:rPr>
          <w:sz w:val="22"/>
          <w:szCs w:val="22"/>
        </w:rPr>
        <w:t>CRI ou seu(s) representante(s) legal(is) deverá(ão) assinar a Instrução de Voto, informando, ainda, a data de local de assinatura; e</w:t>
      </w:r>
    </w:p>
    <w:p w:rsidR="00E50AE3" w:rsidRPr="0081398E" w:rsidP="0081398E" w14:paraId="491CCEFC" w14:textId="77777777">
      <w:pPr>
        <w:pStyle w:val="ListParagraph"/>
        <w:spacing w:line="320" w:lineRule="exact"/>
        <w:ind w:left="0"/>
        <w:rPr>
          <w:sz w:val="22"/>
          <w:szCs w:val="22"/>
        </w:rPr>
      </w:pPr>
    </w:p>
    <w:p w:rsidR="00E50AE3" w:rsidRPr="0081398E" w:rsidP="0081398E" w14:paraId="713D7F72" w14:textId="77777777">
      <w:pPr>
        <w:pStyle w:val="ListParagraph"/>
        <w:widowControl/>
        <w:numPr>
          <w:ilvl w:val="0"/>
          <w:numId w:val="8"/>
        </w:numPr>
        <w:autoSpaceDE/>
        <w:autoSpaceDN/>
        <w:adjustRightInd/>
        <w:spacing w:line="320" w:lineRule="exact"/>
        <w:ind w:left="0" w:firstLine="0"/>
        <w:rPr>
          <w:sz w:val="22"/>
          <w:szCs w:val="22"/>
        </w:rPr>
      </w:pPr>
      <w:r w:rsidRPr="0081398E">
        <w:rPr>
          <w:sz w:val="22"/>
          <w:szCs w:val="22"/>
        </w:rPr>
        <w:t>a entrega da Instrução de Voto deverá observar a regulamentação aplicável, assim como as orientações abaixo.</w:t>
      </w:r>
    </w:p>
    <w:p w:rsidR="00E50AE3" w:rsidRPr="0081398E" w:rsidP="0081398E" w14:paraId="5F4F39D0" w14:textId="77777777">
      <w:pPr>
        <w:spacing w:line="320" w:lineRule="exact"/>
        <w:jc w:val="both"/>
        <w:rPr>
          <w:sz w:val="22"/>
          <w:szCs w:val="22"/>
        </w:rPr>
      </w:pPr>
    </w:p>
    <w:p w:rsidR="00E50AE3" w:rsidRPr="0081398E" w:rsidP="0081398E" w14:paraId="7D69D513" w14:textId="77777777">
      <w:pPr>
        <w:spacing w:line="320" w:lineRule="exact"/>
        <w:jc w:val="both"/>
        <w:textAlignment w:val="baseline"/>
        <w:rPr>
          <w:rFonts w:eastAsia="Tahoma"/>
          <w:b/>
          <w:spacing w:val="2"/>
          <w:sz w:val="22"/>
          <w:szCs w:val="22"/>
        </w:rPr>
      </w:pPr>
      <w:r w:rsidRPr="0081398E">
        <w:rPr>
          <w:rFonts w:eastAsia="Tahoma"/>
          <w:b/>
          <w:spacing w:val="2"/>
          <w:sz w:val="22"/>
          <w:szCs w:val="22"/>
        </w:rPr>
        <w:t>Orientações para envio da Instrução de Voto</w:t>
      </w:r>
    </w:p>
    <w:p w:rsidR="00E50AE3" w:rsidRPr="0081398E" w:rsidP="0081398E" w14:paraId="6020250C" w14:textId="77777777">
      <w:pPr>
        <w:spacing w:line="320" w:lineRule="exact"/>
        <w:jc w:val="both"/>
        <w:rPr>
          <w:sz w:val="22"/>
          <w:szCs w:val="22"/>
        </w:rPr>
      </w:pPr>
    </w:p>
    <w:p w:rsidR="00E50AE3" w:rsidRPr="0081398E" w:rsidP="0081398E" w14:paraId="4C3A33F8" w14:textId="56BE13A3">
      <w:pPr>
        <w:spacing w:line="320" w:lineRule="exact"/>
        <w:jc w:val="both"/>
        <w:rPr>
          <w:sz w:val="22"/>
          <w:szCs w:val="22"/>
        </w:rPr>
      </w:pPr>
      <w:r w:rsidRPr="0081398E">
        <w:rPr>
          <w:sz w:val="22"/>
          <w:szCs w:val="22"/>
        </w:rPr>
        <w:t xml:space="preserve">O Titular </w:t>
      </w:r>
      <w:r w:rsidRPr="0081398E" w:rsidR="00EF5BC7">
        <w:rPr>
          <w:sz w:val="22"/>
          <w:szCs w:val="22"/>
        </w:rPr>
        <w:t>d</w:t>
      </w:r>
      <w:r w:rsidR="00EF5BC7">
        <w:rPr>
          <w:sz w:val="22"/>
          <w:szCs w:val="22"/>
        </w:rPr>
        <w:t>os</w:t>
      </w:r>
      <w:r w:rsidRPr="0081398E" w:rsidR="00EF5BC7">
        <w:rPr>
          <w:sz w:val="22"/>
          <w:szCs w:val="22"/>
        </w:rPr>
        <w:t xml:space="preserve"> </w:t>
      </w:r>
      <w:r w:rsidRPr="0081398E">
        <w:rPr>
          <w:sz w:val="22"/>
          <w:szCs w:val="22"/>
        </w:rPr>
        <w:t xml:space="preserve">CRI que optar por exercer seu direito de voto a distância por esta Instrução de Voto deverá enviar os documentos abaixo indicados: </w:t>
      </w:r>
    </w:p>
    <w:p w:rsidR="00E50AE3" w:rsidRPr="0081398E" w:rsidP="0081398E" w14:paraId="6FE89F89" w14:textId="77777777">
      <w:pPr>
        <w:spacing w:line="320" w:lineRule="exact"/>
        <w:jc w:val="both"/>
        <w:rPr>
          <w:sz w:val="22"/>
          <w:szCs w:val="22"/>
        </w:rPr>
      </w:pPr>
    </w:p>
    <w:p w:rsidR="00E50AE3" w:rsidRPr="0081398E" w:rsidP="0081398E" w14:paraId="4A3D40EE" w14:textId="458BFA93">
      <w:pPr>
        <w:pStyle w:val="ListParagraph"/>
        <w:widowControl/>
        <w:numPr>
          <w:ilvl w:val="0"/>
          <w:numId w:val="9"/>
        </w:numPr>
        <w:autoSpaceDE/>
        <w:autoSpaceDN/>
        <w:adjustRightInd/>
        <w:spacing w:line="320" w:lineRule="exact"/>
        <w:ind w:left="0" w:firstLine="0"/>
        <w:rPr>
          <w:sz w:val="22"/>
          <w:szCs w:val="22"/>
        </w:rPr>
      </w:pPr>
      <w:r w:rsidRPr="0081398E">
        <w:rPr>
          <w:sz w:val="22"/>
          <w:szCs w:val="22"/>
        </w:rPr>
        <w:t>Instrução de Voto devidamente preenchida</w:t>
      </w:r>
      <w:r>
        <w:rPr>
          <w:sz w:val="22"/>
          <w:szCs w:val="22"/>
        </w:rPr>
        <w:t xml:space="preserve"> </w:t>
      </w:r>
      <w:r w:rsidRPr="0081398E">
        <w:rPr>
          <w:sz w:val="22"/>
          <w:szCs w:val="22"/>
        </w:rPr>
        <w:t>e assinada</w:t>
      </w:r>
      <w:r>
        <w:rPr>
          <w:sz w:val="22"/>
          <w:szCs w:val="22"/>
        </w:rPr>
        <w:t xml:space="preserve"> fisicamente ou de forma eletrônica</w:t>
      </w:r>
      <w:r w:rsidRPr="002F2D30">
        <w:t xml:space="preserve"> </w:t>
      </w:r>
      <w:r w:rsidRPr="002F2D30">
        <w:rPr>
          <w:sz w:val="22"/>
          <w:szCs w:val="22"/>
        </w:rPr>
        <w:t>por meio de plataforma para assinaturas eletrônicas, com ou sem certificados digitais emitidos pela ICP-Brasil</w:t>
      </w:r>
      <w:r w:rsidRPr="0081398E">
        <w:rPr>
          <w:sz w:val="22"/>
          <w:szCs w:val="22"/>
        </w:rPr>
        <w:t>. Não será exigido o reconhecimento de firma de assinaturas, notarização ou consularização na Instrução de Voto</w:t>
      </w:r>
      <w:r w:rsidRPr="0081398E">
        <w:rPr>
          <w:sz w:val="22"/>
          <w:szCs w:val="22"/>
        </w:rPr>
        <w:t>.</w:t>
      </w:r>
      <w:r>
        <w:rPr>
          <w:sz w:val="22"/>
          <w:szCs w:val="22"/>
        </w:rPr>
        <w:t xml:space="preserve"> [</w:t>
      </w:r>
      <w:r w:rsidRPr="00A64254">
        <w:rPr>
          <w:b/>
          <w:bCs/>
          <w:sz w:val="22"/>
          <w:szCs w:val="22"/>
          <w:highlight w:val="cyan"/>
        </w:rPr>
        <w:t>Nota Master</w:t>
      </w:r>
      <w:r w:rsidRPr="00F41633">
        <w:rPr>
          <w:sz w:val="22"/>
          <w:szCs w:val="22"/>
          <w:highlight w:val="cyan"/>
        </w:rPr>
        <w:t xml:space="preserve">: Cescon, o a Instrução de Voto pode ser assinada eletronicamente, certo? Existem plataformas digitais que não possuem a função “rubricar”, assim entendem que seria pertinente incluir que, em caso de </w:t>
      </w:r>
      <w:r w:rsidRPr="00F41633">
        <w:rPr>
          <w:sz w:val="22"/>
          <w:szCs w:val="22"/>
          <w:highlight w:val="cyan"/>
        </w:rPr>
        <w:t>assinatura eletrônica, a plataforma a ser utilizada deve necessariamente dispor dessa função? Ou a rubrica pode ser dispensada</w:t>
      </w:r>
      <w:r>
        <w:rPr>
          <w:sz w:val="22"/>
          <w:szCs w:val="22"/>
          <w:highlight w:val="cyan"/>
        </w:rPr>
        <w:t xml:space="preserve"> em caso de assinatura eletronica</w:t>
      </w:r>
      <w:r w:rsidRPr="00F41633">
        <w:rPr>
          <w:sz w:val="22"/>
          <w:szCs w:val="22"/>
          <w:highlight w:val="cyan"/>
        </w:rPr>
        <w:t>?</w:t>
      </w:r>
      <w:r>
        <w:rPr>
          <w:sz w:val="22"/>
          <w:szCs w:val="22"/>
        </w:rPr>
        <w:t>] [</w:t>
      </w:r>
      <w:r w:rsidRPr="00A64254">
        <w:rPr>
          <w:b/>
          <w:bCs/>
          <w:sz w:val="22"/>
          <w:szCs w:val="22"/>
          <w:highlight w:val="yellow"/>
        </w:rPr>
        <w:t xml:space="preserve">Nota Cescon Barrieu: </w:t>
      </w:r>
      <w:r w:rsidRPr="00A64254">
        <w:rPr>
          <w:sz w:val="22"/>
          <w:szCs w:val="22"/>
          <w:highlight w:val="yellow"/>
        </w:rPr>
        <w:t>time Opea, favor confirmar se estão de acordo com as alterações sugeridas pelo Banco Master</w:t>
      </w:r>
      <w:r>
        <w:rPr>
          <w:sz w:val="22"/>
          <w:szCs w:val="22"/>
        </w:rPr>
        <w:t>]</w:t>
      </w:r>
    </w:p>
    <w:p w:rsidR="00E50AE3" w:rsidRPr="0081398E" w:rsidP="0081398E" w14:paraId="2AF0D589" w14:textId="77777777">
      <w:pPr>
        <w:pStyle w:val="ListParagraph"/>
        <w:spacing w:line="320" w:lineRule="exact"/>
        <w:ind w:left="0"/>
        <w:rPr>
          <w:sz w:val="22"/>
          <w:szCs w:val="22"/>
        </w:rPr>
      </w:pPr>
    </w:p>
    <w:p w:rsidR="00E50AE3" w:rsidRPr="0081398E" w:rsidP="0081398E" w14:paraId="743CB1E6" w14:textId="77777777">
      <w:pPr>
        <w:pStyle w:val="ListParagraph"/>
        <w:widowControl/>
        <w:numPr>
          <w:ilvl w:val="0"/>
          <w:numId w:val="9"/>
        </w:numPr>
        <w:autoSpaceDE/>
        <w:autoSpaceDN/>
        <w:adjustRightInd/>
        <w:spacing w:line="320" w:lineRule="exact"/>
        <w:ind w:left="0" w:firstLine="0"/>
        <w:rPr>
          <w:sz w:val="22"/>
          <w:szCs w:val="22"/>
          <w:lang w:val="x-none"/>
        </w:rPr>
      </w:pPr>
      <w:r w:rsidRPr="0081398E">
        <w:rPr>
          <w:sz w:val="22"/>
          <w:szCs w:val="22"/>
        </w:rPr>
        <w:t>Documentos de identificação e representação:</w:t>
      </w:r>
    </w:p>
    <w:p w:rsidR="00E50AE3" w:rsidRPr="0081398E" w:rsidP="0081398E" w14:paraId="5781A92F" w14:textId="77777777">
      <w:pPr>
        <w:spacing w:line="320" w:lineRule="exact"/>
        <w:jc w:val="both"/>
        <w:rPr>
          <w:sz w:val="22"/>
          <w:szCs w:val="22"/>
        </w:rPr>
      </w:pPr>
    </w:p>
    <w:p w:rsidR="00E50AE3" w:rsidRPr="0081398E" w:rsidP="0081398E" w14:paraId="244447D1" w14:textId="2618A3BC">
      <w:pPr>
        <w:pStyle w:val="ListParagraph"/>
        <w:widowControl/>
        <w:numPr>
          <w:ilvl w:val="0"/>
          <w:numId w:val="10"/>
        </w:numPr>
        <w:autoSpaceDE/>
        <w:autoSpaceDN/>
        <w:adjustRightInd/>
        <w:spacing w:line="320" w:lineRule="exact"/>
        <w:ind w:left="0" w:firstLine="0"/>
        <w:rPr>
          <w:sz w:val="22"/>
          <w:szCs w:val="22"/>
        </w:rPr>
      </w:pPr>
      <w:r w:rsidRPr="00EF5BC7">
        <w:rPr>
          <w:b/>
          <w:bCs/>
          <w:sz w:val="22"/>
          <w:szCs w:val="22"/>
        </w:rPr>
        <w:t>participante pessoa física</w:t>
      </w:r>
      <w:r w:rsidRPr="00EF5BC7">
        <w:rPr>
          <w:sz w:val="22"/>
          <w:szCs w:val="22"/>
        </w:rPr>
        <w:t xml:space="preserve">: cópia digitalizada de documento de identidade do Titular dos CRI; </w:t>
      </w:r>
      <w:r w:rsidRPr="00EF5BC7">
        <w:rPr>
          <w:sz w:val="22"/>
          <w:szCs w:val="22"/>
          <w:u w:val="single"/>
        </w:rPr>
        <w:t>caso representado por procurador</w:t>
      </w:r>
      <w:r w:rsidRPr="00EF5BC7">
        <w:rPr>
          <w:sz w:val="22"/>
          <w:szCs w:val="22"/>
        </w:rPr>
        <w:t xml:space="preserve">, também deverá ser enviada cópia digitalizada da respectiva procuração com firma reconhecida ou assinatura eletrônica com certificado digital, com poderes específicos para sua representação na Assembleia </w:t>
      </w:r>
      <w:r>
        <w:rPr>
          <w:sz w:val="22"/>
          <w:szCs w:val="22"/>
        </w:rPr>
        <w:t xml:space="preserve">Especial </w:t>
      </w:r>
      <w:r w:rsidRPr="00EF5BC7">
        <w:rPr>
          <w:sz w:val="22"/>
          <w:szCs w:val="22"/>
        </w:rPr>
        <w:t>e outorgada há menos de 1 (um) ano, acompanhada do documento de identidade do procurador</w:t>
      </w:r>
      <w:r w:rsidRPr="0081398E">
        <w:rPr>
          <w:sz w:val="22"/>
          <w:szCs w:val="22"/>
        </w:rPr>
        <w:t>;</w:t>
      </w:r>
    </w:p>
    <w:p w:rsidR="00E50AE3" w:rsidRPr="0081398E" w:rsidP="0081398E" w14:paraId="6A83EB4C" w14:textId="77777777">
      <w:pPr>
        <w:pStyle w:val="ListParagraph"/>
        <w:spacing w:line="320" w:lineRule="exact"/>
        <w:ind w:left="0"/>
        <w:rPr>
          <w:sz w:val="22"/>
          <w:szCs w:val="22"/>
        </w:rPr>
      </w:pPr>
    </w:p>
    <w:p w:rsidR="00E3050C" w:rsidP="0081398E" w14:paraId="755A57A0" w14:textId="77777777">
      <w:pPr>
        <w:pStyle w:val="ListParagraph"/>
        <w:widowControl/>
        <w:numPr>
          <w:ilvl w:val="0"/>
          <w:numId w:val="10"/>
        </w:numPr>
        <w:autoSpaceDE/>
        <w:autoSpaceDN/>
        <w:adjustRightInd/>
        <w:spacing w:line="320" w:lineRule="exact"/>
        <w:ind w:left="0" w:firstLine="0"/>
        <w:rPr>
          <w:sz w:val="22"/>
          <w:szCs w:val="22"/>
        </w:rPr>
      </w:pPr>
      <w:r w:rsidRPr="00EF5BC7">
        <w:rPr>
          <w:b/>
          <w:bCs/>
          <w:sz w:val="22"/>
          <w:szCs w:val="22"/>
        </w:rPr>
        <w:t>demais participantes</w:t>
      </w:r>
      <w:r w:rsidRPr="00EF5BC7">
        <w:rPr>
          <w:sz w:val="22"/>
          <w:szCs w:val="22"/>
        </w:rPr>
        <w:t xml:space="preserve">: cópia digitalizada do estatuto/contrato social (ou documento equivalente), acompanhado de documento societário que comprove a representação legal do Titular dos CRI (i.e. ata de eleição da diretoria) e cópia digitalizada de documento de identidade do representante legal; </w:t>
      </w:r>
      <w:r w:rsidRPr="00EF5BC7">
        <w:rPr>
          <w:sz w:val="22"/>
          <w:szCs w:val="22"/>
          <w:u w:val="single"/>
        </w:rPr>
        <w:t>caso representado por procurador</w:t>
      </w:r>
      <w:r w:rsidRPr="00EF5BC7">
        <w:rPr>
          <w:sz w:val="22"/>
          <w:szCs w:val="22"/>
        </w:rPr>
        <w:t>, também deverá ser enviada cópia digitalizada da respectiva procuração com firma reconhecida ou assinatura eletrônica com certificado digital, com poderes específicos para sua representação na Assembleia</w:t>
      </w:r>
      <w:r w:rsidR="00B15136">
        <w:rPr>
          <w:sz w:val="22"/>
          <w:szCs w:val="22"/>
        </w:rPr>
        <w:t xml:space="preserve"> Especial</w:t>
      </w:r>
      <w:r w:rsidRPr="00EF5BC7">
        <w:rPr>
          <w:sz w:val="22"/>
          <w:szCs w:val="22"/>
        </w:rPr>
        <w:t xml:space="preserve"> e outorgada há menos de 1 (um) ano, acompanhada do documento de identidade do procurador</w:t>
      </w:r>
      <w:r>
        <w:rPr>
          <w:sz w:val="22"/>
          <w:szCs w:val="22"/>
        </w:rPr>
        <w:t>; e</w:t>
      </w:r>
    </w:p>
    <w:p w:rsidR="00E3050C" w:rsidRPr="00A64254" w:rsidP="00A64254" w14:paraId="58EEA47C" w14:textId="77777777">
      <w:pPr>
        <w:pStyle w:val="ListParagraph"/>
        <w:rPr>
          <w:sz w:val="22"/>
          <w:szCs w:val="22"/>
        </w:rPr>
      </w:pPr>
    </w:p>
    <w:p w:rsidR="00E50AE3" w:rsidRPr="0081398E" w:rsidP="0081398E" w14:paraId="1ADC3BA5" w14:textId="774D8953">
      <w:pPr>
        <w:pStyle w:val="ListParagraph"/>
        <w:widowControl/>
        <w:numPr>
          <w:ilvl w:val="0"/>
          <w:numId w:val="10"/>
        </w:numPr>
        <w:autoSpaceDE/>
        <w:autoSpaceDN/>
        <w:adjustRightInd/>
        <w:spacing w:line="320" w:lineRule="exact"/>
        <w:ind w:left="0" w:firstLine="0"/>
        <w:rPr>
          <w:sz w:val="22"/>
          <w:szCs w:val="22"/>
        </w:rPr>
      </w:pPr>
      <w:bookmarkStart w:id="6" w:name="_Hlk117594028"/>
      <w:r w:rsidRPr="00F41633">
        <w:rPr>
          <w:b/>
          <w:bCs/>
          <w:sz w:val="22"/>
          <w:szCs w:val="22"/>
        </w:rPr>
        <w:t>quando fundo de investimento</w:t>
      </w:r>
      <w:r>
        <w:rPr>
          <w:sz w:val="22"/>
          <w:szCs w:val="22"/>
        </w:rPr>
        <w:t>:</w:t>
      </w:r>
      <w:r w:rsidRPr="002F2D30">
        <w:rPr>
          <w:sz w:val="22"/>
          <w:szCs w:val="22"/>
        </w:rPr>
        <w:t xml:space="preserve"> (1) último regulamento consolidado do fundo; (2) estatuto ou contrato social do seu administrador ou gestor, conforme o caso, observada a política de voto do fundo e documentos societários que comprovem os poderes de representação em Assembleia Geral de Titulares de CRI; e (3) documento de identidade válido com foto do representante legal</w:t>
      </w:r>
      <w:bookmarkEnd w:id="6"/>
      <w:r w:rsidRPr="002F2D30">
        <w:rPr>
          <w:sz w:val="22"/>
          <w:szCs w:val="22"/>
        </w:rPr>
        <w:t>.</w:t>
      </w:r>
    </w:p>
    <w:p w:rsidR="00E50AE3" w:rsidRPr="0081398E" w:rsidP="0081398E" w14:paraId="407DD5FE" w14:textId="4A661C8D">
      <w:pPr>
        <w:spacing w:line="320" w:lineRule="exact"/>
        <w:jc w:val="both"/>
        <w:rPr>
          <w:sz w:val="22"/>
          <w:szCs w:val="22"/>
        </w:rPr>
      </w:pPr>
      <w:r w:rsidRPr="0081398E">
        <w:rPr>
          <w:sz w:val="22"/>
          <w:szCs w:val="22"/>
        </w:rPr>
        <w:t xml:space="preserve"> </w:t>
      </w:r>
    </w:p>
    <w:p w:rsidR="00E50AE3" w:rsidP="0081398E" w14:paraId="3687408C" w14:textId="5A3FFE57">
      <w:pPr>
        <w:spacing w:line="320" w:lineRule="exact"/>
        <w:jc w:val="both"/>
        <w:rPr>
          <w:sz w:val="22"/>
          <w:szCs w:val="22"/>
        </w:rPr>
      </w:pPr>
      <w:r w:rsidRPr="0081398E">
        <w:rPr>
          <w:sz w:val="22"/>
          <w:szCs w:val="22"/>
        </w:rPr>
        <w:t>O envio desta Instrução de Voto e dos documentos necessários para participação na Assembleia Especial deverá ser realizado preferencialmente até 2 (dois) Dias Úteis antes da data de realização da Assembleia Especial</w:t>
      </w:r>
      <w:r w:rsidRPr="0081398E">
        <w:rPr>
          <w:rFonts w:eastAsia="Calibri"/>
          <w:sz w:val="22"/>
          <w:szCs w:val="22"/>
        </w:rPr>
        <w:t>,</w:t>
      </w:r>
      <w:r w:rsidR="00E3050C">
        <w:rPr>
          <w:rFonts w:eastAsia="Calibri"/>
          <w:sz w:val="22"/>
          <w:szCs w:val="22"/>
        </w:rPr>
        <w:t xml:space="preserve"> </w:t>
      </w:r>
      <w:r w:rsidRPr="0081398E">
        <w:rPr>
          <w:rFonts w:eastAsia="Calibri"/>
          <w:sz w:val="22"/>
          <w:szCs w:val="22"/>
        </w:rPr>
        <w:t xml:space="preserve">para os endereços eletrônicos </w:t>
      </w:r>
      <w:bookmarkStart w:id="7" w:name="_Hlk104905798"/>
      <w:r w:rsidR="00EF5BC7">
        <w:rPr>
          <w:sz w:val="22"/>
          <w:szCs w:val="22"/>
        </w:rPr>
        <w:t>ri@opeacapital.com</w:t>
      </w:r>
      <w:bookmarkEnd w:id="7"/>
      <w:r w:rsidRPr="0081398E">
        <w:rPr>
          <w:rFonts w:eastAsia="Calibri"/>
          <w:sz w:val="22"/>
          <w:szCs w:val="22"/>
        </w:rPr>
        <w:t xml:space="preserve">, </w:t>
      </w:r>
      <w:r w:rsidRPr="0081398E">
        <w:rPr>
          <w:sz w:val="22"/>
          <w:szCs w:val="22"/>
        </w:rPr>
        <w:t xml:space="preserve">com cópia para o endereço eletrônico </w:t>
      </w:r>
      <w:r w:rsidRPr="007E74AD" w:rsidR="00251A55">
        <w:rPr>
          <w:sz w:val="22"/>
          <w:szCs w:val="22"/>
        </w:rPr>
        <w:t>spestruturacao@simplificpavarini.com.br</w:t>
      </w:r>
      <w:r w:rsidRPr="00EF5BC7">
        <w:rPr>
          <w:sz w:val="22"/>
          <w:szCs w:val="22"/>
        </w:rPr>
        <w:t>.</w:t>
      </w:r>
    </w:p>
    <w:p w:rsidR="009B41DC" w:rsidP="0081398E" w14:paraId="213C97B6" w14:textId="2C166AAA">
      <w:pPr>
        <w:spacing w:line="320" w:lineRule="exact"/>
        <w:jc w:val="both"/>
        <w:rPr>
          <w:sz w:val="22"/>
          <w:szCs w:val="22"/>
        </w:rPr>
      </w:pPr>
    </w:p>
    <w:p w:rsidR="009B41DC" w:rsidRPr="0016670F" w:rsidP="0081398E" w14:paraId="7306BDD7" w14:textId="16CA3EB6">
      <w:pPr>
        <w:spacing w:line="320" w:lineRule="exact"/>
        <w:jc w:val="both"/>
        <w:rPr>
          <w:sz w:val="22"/>
          <w:szCs w:val="22"/>
        </w:rPr>
      </w:pPr>
      <w:r>
        <w:rPr>
          <w:sz w:val="22"/>
          <w:szCs w:val="22"/>
        </w:rPr>
        <w:t>Os votos recebidos até o início da Assembleia Especial por meio a Instrução de Voto serão computados como presença para fins de apuração de quórum de as deliberações serão tomadas pelos votos dos presentes na plataforma digital, observados os quóruns previstos no Termo de Securitização.</w:t>
      </w:r>
    </w:p>
    <w:p w:rsidR="00E50AE3" w:rsidRPr="0081398E" w:rsidP="0081398E" w14:paraId="7DC41B70" w14:textId="77777777">
      <w:pPr>
        <w:spacing w:line="320" w:lineRule="exact"/>
        <w:jc w:val="both"/>
        <w:rPr>
          <w:rFonts w:eastAsia="Calibri"/>
          <w:color w:val="000000"/>
          <w:sz w:val="22"/>
          <w:szCs w:val="22"/>
        </w:rPr>
      </w:pPr>
    </w:p>
    <w:p w:rsidR="00E50AE3" w:rsidRPr="0081398E" w:rsidP="0081398E" w14:paraId="675D9D0F" w14:textId="60C0DB2F">
      <w:pPr>
        <w:spacing w:line="320" w:lineRule="exact"/>
        <w:jc w:val="both"/>
        <w:rPr>
          <w:rFonts w:eastAsia="Calibri"/>
          <w:color w:val="000000"/>
          <w:sz w:val="22"/>
          <w:szCs w:val="22"/>
        </w:rPr>
      </w:pPr>
      <w:r w:rsidRPr="0081398E">
        <w:rPr>
          <w:rFonts w:eastAsia="Calibri"/>
          <w:color w:val="000000"/>
          <w:sz w:val="22"/>
          <w:szCs w:val="22"/>
        </w:rPr>
        <w:t xml:space="preserve">Caso a Emissora e o Agente Fiduciário recebam mais de uma Instrução de Voto do mesmo Titular </w:t>
      </w:r>
      <w:r w:rsidRPr="0081398E" w:rsidR="00EF5BC7">
        <w:rPr>
          <w:rFonts w:eastAsia="Calibri"/>
          <w:color w:val="000000"/>
          <w:sz w:val="22"/>
          <w:szCs w:val="22"/>
        </w:rPr>
        <w:t>d</w:t>
      </w:r>
      <w:r w:rsidR="00EF5BC7">
        <w:rPr>
          <w:rFonts w:eastAsia="Calibri"/>
          <w:color w:val="000000"/>
          <w:sz w:val="22"/>
          <w:szCs w:val="22"/>
        </w:rPr>
        <w:t>os</w:t>
      </w:r>
      <w:r w:rsidRPr="0081398E" w:rsidR="00EF5BC7">
        <w:rPr>
          <w:rFonts w:eastAsia="Calibri"/>
          <w:color w:val="000000"/>
          <w:sz w:val="22"/>
          <w:szCs w:val="22"/>
        </w:rPr>
        <w:t xml:space="preserve"> </w:t>
      </w:r>
      <w:r w:rsidRPr="0081398E">
        <w:rPr>
          <w:rFonts w:eastAsia="Calibri"/>
          <w:color w:val="000000"/>
          <w:sz w:val="22"/>
          <w:szCs w:val="22"/>
        </w:rPr>
        <w:t xml:space="preserve">CRI, será considerada, para fins de contagem de votos na Assembleia Especial, a Instrução de Voto mais recente enviada por tal Titular </w:t>
      </w:r>
      <w:r w:rsidRPr="0081398E" w:rsidR="00EF5BC7">
        <w:rPr>
          <w:rFonts w:eastAsia="Calibri"/>
          <w:color w:val="000000"/>
          <w:sz w:val="22"/>
          <w:szCs w:val="22"/>
        </w:rPr>
        <w:t>d</w:t>
      </w:r>
      <w:r w:rsidR="00EF5BC7">
        <w:rPr>
          <w:rFonts w:eastAsia="Calibri"/>
          <w:color w:val="000000"/>
          <w:sz w:val="22"/>
          <w:szCs w:val="22"/>
        </w:rPr>
        <w:t>os</w:t>
      </w:r>
      <w:r w:rsidRPr="0081398E" w:rsidR="00EF5BC7">
        <w:rPr>
          <w:rFonts w:eastAsia="Calibri"/>
          <w:color w:val="000000"/>
          <w:sz w:val="22"/>
          <w:szCs w:val="22"/>
        </w:rPr>
        <w:t xml:space="preserve"> </w:t>
      </w:r>
      <w:r w:rsidRPr="0081398E">
        <w:rPr>
          <w:rFonts w:eastAsia="Calibri"/>
          <w:color w:val="000000"/>
          <w:sz w:val="22"/>
          <w:szCs w:val="22"/>
        </w:rPr>
        <w:t>CRI ou seu representante legal.</w:t>
      </w:r>
    </w:p>
    <w:p w:rsidR="00E50AE3" w:rsidRPr="0081398E" w:rsidP="0081398E" w14:paraId="0D5F2E94" w14:textId="77777777">
      <w:pPr>
        <w:spacing w:line="320" w:lineRule="exact"/>
        <w:jc w:val="both"/>
        <w:rPr>
          <w:rFonts w:eastAsia="Calibri"/>
          <w:color w:val="000000"/>
          <w:sz w:val="22"/>
          <w:szCs w:val="22"/>
        </w:rPr>
      </w:pPr>
    </w:p>
    <w:p w:rsidR="00E50AE3" w:rsidRPr="0081398E" w:rsidP="0081398E" w14:paraId="178AAD59" w14:textId="77777777">
      <w:pPr>
        <w:spacing w:line="320" w:lineRule="exact"/>
        <w:jc w:val="both"/>
        <w:rPr>
          <w:rFonts w:eastAsia="Calibri"/>
          <w:color w:val="000000"/>
          <w:sz w:val="22"/>
          <w:szCs w:val="22"/>
        </w:rPr>
      </w:pPr>
      <w:r w:rsidRPr="0081398E">
        <w:rPr>
          <w:rFonts w:eastAsia="Calibri"/>
          <w:color w:val="000000"/>
          <w:sz w:val="22"/>
          <w:szCs w:val="22"/>
        </w:rPr>
        <w:t>A efetiva data de recebimento do voto será a data de recebimento, pela Emissora, da Instrução de Voto e de todos os documentos que a acompanham, em formato eletrônico, conforme indicado acima.</w:t>
      </w:r>
    </w:p>
    <w:p w:rsidR="00E50AE3" w:rsidRPr="0081398E" w:rsidP="0081398E" w14:paraId="3E28F10B" w14:textId="77777777">
      <w:pPr>
        <w:spacing w:line="320" w:lineRule="exact"/>
        <w:jc w:val="both"/>
        <w:rPr>
          <w:rFonts w:eastAsia="Calibri"/>
          <w:color w:val="000000"/>
          <w:sz w:val="22"/>
          <w:szCs w:val="22"/>
        </w:rPr>
      </w:pPr>
    </w:p>
    <w:p w:rsidR="00E50AE3" w:rsidRPr="0081398E" w:rsidP="0081398E" w14:paraId="43B4184D" w14:textId="77777777">
      <w:pPr>
        <w:spacing w:line="320" w:lineRule="exact"/>
        <w:jc w:val="both"/>
        <w:rPr>
          <w:rFonts w:eastAsia="Calibri"/>
          <w:color w:val="000000"/>
          <w:sz w:val="22"/>
          <w:szCs w:val="22"/>
        </w:rPr>
      </w:pPr>
      <w:r w:rsidRPr="0081398E">
        <w:rPr>
          <w:rFonts w:eastAsia="Calibri"/>
          <w:color w:val="000000"/>
          <w:sz w:val="22"/>
          <w:szCs w:val="22"/>
        </w:rPr>
        <w:t xml:space="preserve">A Instrução de Voto e os documentos que a acompanham deverão observar o formato PDF e o limite de até 20 MB para envio dos anexos. </w:t>
      </w:r>
    </w:p>
    <w:p w:rsidR="00E50AE3" w:rsidRPr="0081398E" w:rsidP="0081398E" w14:paraId="6F150BA0" w14:textId="77777777">
      <w:pPr>
        <w:spacing w:line="320" w:lineRule="exact"/>
        <w:jc w:val="both"/>
        <w:rPr>
          <w:rFonts w:eastAsia="Calibri"/>
          <w:color w:val="000000"/>
          <w:sz w:val="22"/>
          <w:szCs w:val="22"/>
        </w:rPr>
      </w:pPr>
    </w:p>
    <w:p w:rsidR="00E50AE3" w:rsidRPr="0081398E" w:rsidP="0081398E" w14:paraId="156BE82C" w14:textId="3E34FF72">
      <w:pPr>
        <w:spacing w:line="320" w:lineRule="exact"/>
        <w:jc w:val="both"/>
        <w:rPr>
          <w:rFonts w:eastAsia="Calibri"/>
          <w:color w:val="000000"/>
          <w:sz w:val="22"/>
          <w:szCs w:val="22"/>
        </w:rPr>
      </w:pPr>
      <w:r w:rsidRPr="0081398E">
        <w:rPr>
          <w:rFonts w:eastAsia="Calibri"/>
          <w:color w:val="000000"/>
          <w:sz w:val="22"/>
          <w:szCs w:val="22"/>
        </w:rPr>
        <w:t xml:space="preserve">O Titular </w:t>
      </w:r>
      <w:r w:rsidRPr="0081398E" w:rsidR="00EF5BC7">
        <w:rPr>
          <w:rFonts w:eastAsia="Calibri"/>
          <w:color w:val="000000"/>
          <w:sz w:val="22"/>
          <w:szCs w:val="22"/>
        </w:rPr>
        <w:t>d</w:t>
      </w:r>
      <w:r w:rsidR="00EF5BC7">
        <w:rPr>
          <w:rFonts w:eastAsia="Calibri"/>
          <w:color w:val="000000"/>
          <w:sz w:val="22"/>
          <w:szCs w:val="22"/>
        </w:rPr>
        <w:t>os</w:t>
      </w:r>
      <w:r w:rsidRPr="0081398E" w:rsidR="00EF5BC7">
        <w:rPr>
          <w:rFonts w:eastAsia="Calibri"/>
          <w:color w:val="000000"/>
          <w:sz w:val="22"/>
          <w:szCs w:val="22"/>
        </w:rPr>
        <w:t xml:space="preserve"> </w:t>
      </w:r>
      <w:r w:rsidRPr="0081398E">
        <w:rPr>
          <w:rFonts w:eastAsia="Calibri"/>
          <w:color w:val="000000"/>
          <w:sz w:val="22"/>
          <w:szCs w:val="22"/>
        </w:rPr>
        <w:t>CRI que fizer o envio da Instrução de Voto e esta for considerada válida</w:t>
      </w:r>
      <w:r w:rsidR="00E3050C">
        <w:rPr>
          <w:rFonts w:eastAsia="Calibri"/>
          <w:color w:val="000000"/>
          <w:sz w:val="22"/>
          <w:szCs w:val="22"/>
        </w:rPr>
        <w:t>,</w:t>
      </w:r>
      <w:r w:rsidRPr="0081398E">
        <w:rPr>
          <w:rFonts w:eastAsia="Calibri"/>
          <w:color w:val="000000"/>
          <w:sz w:val="22"/>
          <w:szCs w:val="22"/>
        </w:rPr>
        <w:t xml:space="preserve"> receberá, no endereço de correio eletrônico nela indicado, o convite individual para, caso seja do seu interesse, participar da Assembleia Especial por meio digital.</w:t>
      </w:r>
    </w:p>
    <w:p w:rsidR="00E50AE3" w:rsidRPr="0081398E" w:rsidP="0081398E" w14:paraId="67B69AF3" w14:textId="77777777">
      <w:pPr>
        <w:spacing w:line="320" w:lineRule="exact"/>
        <w:jc w:val="both"/>
        <w:rPr>
          <w:rFonts w:eastAsia="Calibri"/>
          <w:color w:val="000000"/>
          <w:sz w:val="22"/>
          <w:szCs w:val="22"/>
        </w:rPr>
      </w:pPr>
    </w:p>
    <w:p w:rsidR="00E50AE3" w:rsidRPr="0081398E" w:rsidP="0081398E" w14:paraId="63635A9B" w14:textId="23D56440">
      <w:pPr>
        <w:spacing w:line="320" w:lineRule="exact"/>
        <w:jc w:val="both"/>
        <w:rPr>
          <w:rFonts w:eastAsia="Calibri"/>
          <w:sz w:val="22"/>
          <w:szCs w:val="22"/>
        </w:rPr>
      </w:pPr>
      <w:r w:rsidRPr="0081398E">
        <w:rPr>
          <w:rFonts w:eastAsia="Calibri"/>
          <w:color w:val="000000"/>
          <w:sz w:val="22"/>
          <w:szCs w:val="22"/>
        </w:rPr>
        <w:t xml:space="preserve">O Titular </w:t>
      </w:r>
      <w:r w:rsidRPr="0081398E" w:rsidR="00EF5BC7">
        <w:rPr>
          <w:rFonts w:eastAsia="Calibri"/>
          <w:color w:val="000000"/>
          <w:sz w:val="22"/>
          <w:szCs w:val="22"/>
        </w:rPr>
        <w:t>d</w:t>
      </w:r>
      <w:r w:rsidR="00EF5BC7">
        <w:rPr>
          <w:rFonts w:eastAsia="Calibri"/>
          <w:color w:val="000000"/>
          <w:sz w:val="22"/>
          <w:szCs w:val="22"/>
        </w:rPr>
        <w:t>os</w:t>
      </w:r>
      <w:r w:rsidRPr="0081398E" w:rsidR="00EF5BC7">
        <w:rPr>
          <w:rFonts w:eastAsia="Calibri"/>
          <w:color w:val="000000"/>
          <w:sz w:val="22"/>
          <w:szCs w:val="22"/>
        </w:rPr>
        <w:t xml:space="preserve"> </w:t>
      </w:r>
      <w:r w:rsidRPr="0081398E">
        <w:rPr>
          <w:rFonts w:eastAsia="Calibri"/>
          <w:color w:val="000000"/>
          <w:sz w:val="22"/>
          <w:szCs w:val="22"/>
        </w:rPr>
        <w:t xml:space="preserve">CRI que fizer o envio da Instrução de Voto e esta for considerada válida, terá sua participação e votos computados de forma automática e não precisará necessariamente acessar o </w:t>
      </w:r>
      <w:r w:rsidRPr="0081398E">
        <w:rPr>
          <w:rFonts w:eastAsia="Calibri"/>
          <w:i/>
          <w:color w:val="000000"/>
          <w:sz w:val="22"/>
          <w:szCs w:val="22"/>
        </w:rPr>
        <w:t>link</w:t>
      </w:r>
      <w:r w:rsidRPr="0081398E">
        <w:rPr>
          <w:rFonts w:eastAsia="Calibri"/>
          <w:color w:val="000000"/>
          <w:sz w:val="22"/>
          <w:szCs w:val="22"/>
        </w:rPr>
        <w:t>, sem prejuízo da possibilidade de sua simples participação na Assembleia Especial</w:t>
      </w:r>
      <w:r w:rsidRPr="0081398E">
        <w:rPr>
          <w:rFonts w:eastAsia="Calibri"/>
          <w:sz w:val="22"/>
          <w:szCs w:val="22"/>
        </w:rPr>
        <w:t xml:space="preserve">. </w:t>
      </w:r>
    </w:p>
    <w:p w:rsidR="00E50AE3" w:rsidRPr="0081398E" w:rsidP="0081398E" w14:paraId="7597CF96" w14:textId="77777777">
      <w:pPr>
        <w:spacing w:line="320" w:lineRule="exact"/>
        <w:jc w:val="both"/>
        <w:rPr>
          <w:rFonts w:eastAsia="Calibri"/>
          <w:sz w:val="22"/>
          <w:szCs w:val="22"/>
        </w:rPr>
      </w:pPr>
    </w:p>
    <w:p w:rsidR="00E50AE3" w:rsidRPr="0081398E" w:rsidP="0081398E" w14:paraId="5C03A12E" w14:textId="4C73B102">
      <w:pPr>
        <w:spacing w:line="320" w:lineRule="exact"/>
        <w:jc w:val="both"/>
        <w:rPr>
          <w:rFonts w:eastAsia="Calibri"/>
          <w:sz w:val="22"/>
          <w:szCs w:val="22"/>
        </w:rPr>
      </w:pPr>
      <w:r w:rsidRPr="0081398E">
        <w:rPr>
          <w:rFonts w:eastAsia="Calibri"/>
          <w:sz w:val="22"/>
          <w:szCs w:val="22"/>
        </w:rPr>
        <w:t xml:space="preserve">Contudo, caso o Titular </w:t>
      </w:r>
      <w:r w:rsidRPr="0081398E" w:rsidR="00EF5BC7">
        <w:rPr>
          <w:rFonts w:eastAsia="Calibri"/>
          <w:sz w:val="22"/>
          <w:szCs w:val="22"/>
        </w:rPr>
        <w:t>d</w:t>
      </w:r>
      <w:r w:rsidR="00EF5BC7">
        <w:rPr>
          <w:rFonts w:eastAsia="Calibri"/>
          <w:sz w:val="22"/>
          <w:szCs w:val="22"/>
        </w:rPr>
        <w:t>os</w:t>
      </w:r>
      <w:r w:rsidRPr="0081398E" w:rsidR="00EF5BC7">
        <w:rPr>
          <w:rFonts w:eastAsia="Calibri"/>
          <w:sz w:val="22"/>
          <w:szCs w:val="22"/>
        </w:rPr>
        <w:t xml:space="preserve"> </w:t>
      </w:r>
      <w:r w:rsidRPr="0081398E">
        <w:rPr>
          <w:rFonts w:eastAsia="Calibri"/>
          <w:sz w:val="22"/>
          <w:szCs w:val="22"/>
        </w:rPr>
        <w:t xml:space="preserve">CRI que fizer o envio de Instrução de Voto válida participe da Assembleia Especial por meio de acesso ao </w:t>
      </w:r>
      <w:r w:rsidRPr="0081398E">
        <w:rPr>
          <w:rFonts w:eastAsia="Calibri"/>
          <w:i/>
          <w:sz w:val="22"/>
          <w:szCs w:val="22"/>
        </w:rPr>
        <w:t>link</w:t>
      </w:r>
      <w:r w:rsidRPr="0081398E">
        <w:rPr>
          <w:rFonts w:eastAsia="Calibri"/>
          <w:sz w:val="22"/>
          <w:szCs w:val="22"/>
        </w:rPr>
        <w:t xml:space="preserve"> e, cumulativamente, manifeste seu voto no ato de realização da Assembleia Especial, a Instrução de Voto anteriormente enviada será desconsiderada.</w:t>
      </w:r>
    </w:p>
    <w:p w:rsidR="00E50AE3" w:rsidRPr="0081398E" w:rsidP="0081398E" w14:paraId="124B4CF0" w14:textId="77777777">
      <w:pPr>
        <w:spacing w:line="320" w:lineRule="exact"/>
        <w:jc w:val="both"/>
        <w:rPr>
          <w:color w:val="000000"/>
          <w:sz w:val="22"/>
          <w:szCs w:val="22"/>
        </w:rPr>
      </w:pPr>
    </w:p>
    <w:p w:rsidR="0022141E" w:rsidRPr="0081398E" w:rsidP="0081398E" w14:paraId="79318221" w14:textId="77777777">
      <w:pPr>
        <w:spacing w:line="320" w:lineRule="exact"/>
        <w:jc w:val="both"/>
        <w:rPr>
          <w:color w:val="000000"/>
          <w:sz w:val="22"/>
          <w:szCs w:val="22"/>
        </w:rPr>
      </w:pPr>
      <w:r w:rsidRPr="0081398E">
        <w:rPr>
          <w:b/>
          <w:color w:val="000000"/>
          <w:sz w:val="22"/>
          <w:szCs w:val="22"/>
        </w:rPr>
        <w:t>MANIFESTAÇÃO DE VOTO</w:t>
      </w:r>
      <w:r w:rsidRPr="0081398E">
        <w:rPr>
          <w:color w:val="000000"/>
          <w:sz w:val="22"/>
          <w:szCs w:val="22"/>
        </w:rPr>
        <w:t>:</w:t>
      </w:r>
    </w:p>
    <w:p w:rsidR="0022141E" w:rsidRPr="0081398E" w:rsidP="0081398E" w14:paraId="7B5A30AF" w14:textId="3ACABB64">
      <w:pPr>
        <w:spacing w:line="320" w:lineRule="exact"/>
        <w:jc w:val="both"/>
        <w:rPr>
          <w:color w:val="000000"/>
          <w:sz w:val="22"/>
          <w:szCs w:val="22"/>
        </w:rPr>
      </w:pPr>
    </w:p>
    <w:p w:rsidR="00F875BB" w:rsidRPr="0081398E" w:rsidP="0081398E" w14:paraId="08F12E35" w14:textId="0D5A77B1">
      <w:pPr>
        <w:spacing w:line="320" w:lineRule="exact"/>
        <w:jc w:val="both"/>
        <w:rPr>
          <w:color w:val="000000"/>
          <w:sz w:val="22"/>
          <w:szCs w:val="22"/>
        </w:rPr>
      </w:pPr>
      <w:r w:rsidRPr="0081398E">
        <w:rPr>
          <w:color w:val="000000"/>
          <w:sz w:val="22"/>
          <w:szCs w:val="22"/>
        </w:rPr>
        <w:t xml:space="preserve">O </w:t>
      </w:r>
      <w:r w:rsidRPr="0081398E" w:rsidR="0035729F">
        <w:rPr>
          <w:color w:val="000000"/>
          <w:sz w:val="22"/>
          <w:szCs w:val="22"/>
        </w:rPr>
        <w:t xml:space="preserve">Titular </w:t>
      </w:r>
      <w:r w:rsidRPr="0081398E" w:rsidR="00EF5BC7">
        <w:rPr>
          <w:color w:val="000000"/>
          <w:sz w:val="22"/>
          <w:szCs w:val="22"/>
        </w:rPr>
        <w:t>d</w:t>
      </w:r>
      <w:r w:rsidR="00EF5BC7">
        <w:rPr>
          <w:color w:val="000000"/>
          <w:sz w:val="22"/>
          <w:szCs w:val="22"/>
        </w:rPr>
        <w:t>os</w:t>
      </w:r>
      <w:r w:rsidRPr="0081398E" w:rsidR="00EF5BC7">
        <w:rPr>
          <w:color w:val="000000"/>
          <w:sz w:val="22"/>
          <w:szCs w:val="22"/>
        </w:rPr>
        <w:t xml:space="preserve"> </w:t>
      </w:r>
      <w:r w:rsidRPr="0081398E" w:rsidR="0035729F">
        <w:rPr>
          <w:color w:val="000000"/>
          <w:sz w:val="22"/>
          <w:szCs w:val="22"/>
        </w:rPr>
        <w:t>CR</w:t>
      </w:r>
      <w:r w:rsidRPr="0081398E" w:rsidR="00456766">
        <w:rPr>
          <w:color w:val="000000"/>
          <w:sz w:val="22"/>
          <w:szCs w:val="22"/>
        </w:rPr>
        <w:t>I</w:t>
      </w:r>
      <w:r w:rsidRPr="0081398E" w:rsidR="0035729F">
        <w:rPr>
          <w:color w:val="000000"/>
          <w:sz w:val="22"/>
          <w:szCs w:val="22"/>
        </w:rPr>
        <w:t xml:space="preserve"> </w:t>
      </w:r>
      <w:r w:rsidRPr="0081398E">
        <w:rPr>
          <w:color w:val="000000"/>
          <w:sz w:val="22"/>
          <w:szCs w:val="22"/>
        </w:rPr>
        <w:t xml:space="preserve">manifesta seu voto nos seguintes termos: </w:t>
      </w:r>
    </w:p>
    <w:p w:rsidR="00F875BB" w:rsidP="0081398E" w14:paraId="22E23B2E" w14:textId="4104B509">
      <w:pPr>
        <w:spacing w:line="320" w:lineRule="exact"/>
        <w:jc w:val="both"/>
        <w:rPr>
          <w:color w:val="000000"/>
          <w:sz w:val="22"/>
          <w:szCs w:val="22"/>
        </w:rPr>
      </w:pPr>
    </w:p>
    <w:p w:rsidR="0022141E" w:rsidRPr="0016670F" w:rsidP="0016670F" w14:paraId="08541DBC" w14:textId="697CFAC1">
      <w:pPr>
        <w:pStyle w:val="Default"/>
        <w:numPr>
          <w:ilvl w:val="0"/>
          <w:numId w:val="5"/>
        </w:numPr>
        <w:spacing w:line="320" w:lineRule="exact"/>
        <w:ind w:left="0" w:firstLine="0"/>
        <w:jc w:val="both"/>
        <w:rPr>
          <w:color w:val="auto"/>
          <w:sz w:val="22"/>
          <w:szCs w:val="22"/>
        </w:rPr>
      </w:pPr>
      <w:r w:rsidRPr="0016670F">
        <w:rPr>
          <w:color w:val="auto"/>
          <w:sz w:val="22"/>
          <w:szCs w:val="22"/>
        </w:rPr>
        <w:t>Anuência prévia para</w:t>
      </w:r>
      <w:r w:rsidR="00B15136">
        <w:rPr>
          <w:color w:val="auto"/>
          <w:sz w:val="22"/>
          <w:szCs w:val="22"/>
        </w:rPr>
        <w:t xml:space="preserve"> </w:t>
      </w:r>
      <w:r w:rsidRPr="00EF0CB9" w:rsidR="00B15136">
        <w:rPr>
          <w:bCs/>
          <w:color w:val="000000" w:themeColor="text1"/>
          <w:sz w:val="22"/>
          <w:szCs w:val="22"/>
        </w:rPr>
        <w:t xml:space="preserve">a alteração </w:t>
      </w:r>
      <w:r w:rsidR="00B15136">
        <w:rPr>
          <w:bCs/>
          <w:color w:val="000000" w:themeColor="text1"/>
          <w:sz w:val="22"/>
          <w:szCs w:val="22"/>
        </w:rPr>
        <w:t>do rol</w:t>
      </w:r>
      <w:r w:rsidRPr="00EF0CB9" w:rsidR="00B15136">
        <w:rPr>
          <w:bCs/>
          <w:color w:val="000000" w:themeColor="text1"/>
          <w:sz w:val="22"/>
          <w:szCs w:val="22"/>
        </w:rPr>
        <w:t xml:space="preserve"> de garantias que compõe o termo definido “Garantias” na Escritura de Emissão e no Termo de Securitização, </w:t>
      </w:r>
      <w:r w:rsidR="00B15136">
        <w:rPr>
          <w:bCs/>
          <w:color w:val="000000" w:themeColor="text1"/>
          <w:sz w:val="22"/>
          <w:szCs w:val="22"/>
        </w:rPr>
        <w:t>de forma a prever</w:t>
      </w:r>
      <w:r w:rsidRPr="00EF0CB9" w:rsidR="00B15136">
        <w:rPr>
          <w:bCs/>
          <w:color w:val="000000" w:themeColor="text1"/>
          <w:sz w:val="22"/>
          <w:szCs w:val="22"/>
        </w:rPr>
        <w:t xml:space="preserve">: </w:t>
      </w:r>
      <w:r w:rsidRPr="00EF0CB9" w:rsidR="00B15136">
        <w:rPr>
          <w:b/>
          <w:color w:val="000000" w:themeColor="text1"/>
          <w:sz w:val="22"/>
          <w:szCs w:val="22"/>
        </w:rPr>
        <w:t>(a)</w:t>
      </w:r>
      <w:r w:rsidR="00B15136">
        <w:rPr>
          <w:b/>
          <w:color w:val="000000" w:themeColor="text1"/>
          <w:sz w:val="22"/>
          <w:szCs w:val="22"/>
        </w:rPr>
        <w:t xml:space="preserve"> </w:t>
      </w:r>
      <w:r w:rsidRPr="007E74AD" w:rsidR="00B15136">
        <w:rPr>
          <w:bCs/>
          <w:color w:val="000000" w:themeColor="text1"/>
          <w:sz w:val="22"/>
          <w:szCs w:val="22"/>
        </w:rPr>
        <w:t>a</w:t>
      </w:r>
      <w:r w:rsidRPr="00B15136" w:rsidR="00B15136">
        <w:rPr>
          <w:bCs/>
          <w:color w:val="000000" w:themeColor="text1"/>
          <w:sz w:val="22"/>
          <w:szCs w:val="22"/>
        </w:rPr>
        <w:t xml:space="preserve"> </w:t>
      </w:r>
      <w:r w:rsidRPr="00481264" w:rsidR="00B15136">
        <w:rPr>
          <w:color w:val="000000" w:themeColor="text1"/>
          <w:sz w:val="22"/>
          <w:szCs w:val="22"/>
        </w:rPr>
        <w:t>baixa das Hipotecas</w:t>
      </w:r>
      <w:r w:rsidRPr="00253B51" w:rsidR="00B15136">
        <w:rPr>
          <w:color w:val="000000" w:themeColor="text1"/>
          <w:sz w:val="22"/>
          <w:szCs w:val="22"/>
        </w:rPr>
        <w:t xml:space="preserve"> </w:t>
      </w:r>
      <w:r w:rsidRPr="00253B51" w:rsidR="00B15136">
        <w:rPr>
          <w:sz w:val="22"/>
        </w:rPr>
        <w:t xml:space="preserve">das unidades </w:t>
      </w:r>
      <w:r w:rsidRPr="00ED5D1B" w:rsidR="00B15136">
        <w:rPr>
          <w:sz w:val="22"/>
        </w:rPr>
        <w:t xml:space="preserve">descritas </w:t>
      </w:r>
      <w:r w:rsidRPr="00ED5D1B" w:rsidR="00ED5D1B">
        <w:rPr>
          <w:bCs/>
          <w:sz w:val="22"/>
        </w:rPr>
        <w:t>no Material de Suporte anexo à Proposta de Administração</w:t>
      </w:r>
      <w:r w:rsidRPr="00ED5D1B" w:rsidR="00B15136">
        <w:rPr>
          <w:sz w:val="22"/>
        </w:rPr>
        <w:t xml:space="preserve">, </w:t>
      </w:r>
      <w:r w:rsidRPr="00ED5D1B" w:rsidR="00B15136">
        <w:rPr>
          <w:color w:val="000000" w:themeColor="text1"/>
          <w:sz w:val="22"/>
          <w:szCs w:val="22"/>
        </w:rPr>
        <w:t>referentes</w:t>
      </w:r>
      <w:r w:rsidRPr="00253B51" w:rsidR="00B15136">
        <w:rPr>
          <w:color w:val="000000" w:themeColor="text1"/>
          <w:sz w:val="22"/>
          <w:szCs w:val="22"/>
        </w:rPr>
        <w:t xml:space="preserve"> aos </w:t>
      </w:r>
      <w:r w:rsidRPr="00253B51" w:rsidR="00B15136">
        <w:rPr>
          <w:bCs/>
          <w:color w:val="000000" w:themeColor="text1"/>
          <w:sz w:val="22"/>
          <w:szCs w:val="22"/>
        </w:rPr>
        <w:t>empreendimentos</w:t>
      </w:r>
      <w:r w:rsidRPr="00253B51" w:rsidR="00B15136">
        <w:rPr>
          <w:color w:val="000000" w:themeColor="text1"/>
          <w:sz w:val="22"/>
          <w:szCs w:val="22"/>
        </w:rPr>
        <w:t xml:space="preserve"> Moov Parque </w:t>
      </w:r>
      <w:r w:rsidRPr="00251A55" w:rsidR="00B15136">
        <w:rPr>
          <w:color w:val="000000" w:themeColor="text1"/>
          <w:sz w:val="22"/>
          <w:szCs w:val="22"/>
        </w:rPr>
        <w:t>Maia</w:t>
      </w:r>
      <w:r w:rsidRPr="00251A55" w:rsidR="00B15136">
        <w:rPr>
          <w:bCs/>
          <w:color w:val="000000" w:themeColor="text1"/>
          <w:sz w:val="22"/>
          <w:szCs w:val="22"/>
        </w:rPr>
        <w:t>, Scena Tatuapé, Gafisa Upside Paraíso,</w:t>
      </w:r>
      <w:r w:rsidRPr="00251A55" w:rsidR="00B15136">
        <w:rPr>
          <w:color w:val="000000" w:themeColor="text1"/>
          <w:sz w:val="22"/>
          <w:szCs w:val="22"/>
        </w:rPr>
        <w:t xml:space="preserve"> Moov Estação Brás, </w:t>
      </w:r>
      <w:r w:rsidRPr="00251A55" w:rsidR="00B15136">
        <w:rPr>
          <w:bCs/>
          <w:color w:val="000000" w:themeColor="text1"/>
          <w:sz w:val="22"/>
          <w:szCs w:val="22"/>
        </w:rPr>
        <w:t>Moov Belém e Parque Ecoville – Torre Passaúna (conforme abaixo definidos) (“</w:t>
      </w:r>
      <w:r w:rsidRPr="00251A55" w:rsidR="00B15136">
        <w:rPr>
          <w:bCs/>
          <w:color w:val="000000" w:themeColor="text1"/>
          <w:sz w:val="22"/>
          <w:szCs w:val="22"/>
          <w:u w:val="single"/>
        </w:rPr>
        <w:t>Baixa das Hipotecas</w:t>
      </w:r>
      <w:r w:rsidRPr="00ED5D1B" w:rsidR="00B15136">
        <w:rPr>
          <w:bCs/>
          <w:color w:val="000000" w:themeColor="text1"/>
          <w:sz w:val="22"/>
          <w:szCs w:val="22"/>
        </w:rPr>
        <w:t xml:space="preserve">”); e </w:t>
      </w:r>
      <w:r w:rsidRPr="00ED5D1B" w:rsidR="00B15136">
        <w:rPr>
          <w:b/>
          <w:color w:val="000000" w:themeColor="text1"/>
          <w:sz w:val="22"/>
          <w:szCs w:val="22"/>
        </w:rPr>
        <w:t>(b)</w:t>
      </w:r>
      <w:r w:rsidRPr="00ED5D1B" w:rsidR="00B15136">
        <w:rPr>
          <w:bCs/>
          <w:color w:val="000000" w:themeColor="text1"/>
          <w:sz w:val="22"/>
          <w:szCs w:val="22"/>
        </w:rPr>
        <w:t xml:space="preserve"> a </w:t>
      </w:r>
      <w:r w:rsidRPr="00ED5D1B" w:rsidR="00B15136">
        <w:rPr>
          <w:color w:val="000000" w:themeColor="text1"/>
          <w:sz w:val="22"/>
          <w:szCs w:val="22"/>
        </w:rPr>
        <w:t xml:space="preserve">constituição de </w:t>
      </w:r>
      <w:r w:rsidRPr="00ED5D1B" w:rsidR="00B15136">
        <w:rPr>
          <w:bCs/>
          <w:color w:val="000000" w:themeColor="text1"/>
          <w:sz w:val="22"/>
          <w:szCs w:val="22"/>
        </w:rPr>
        <w:t>alienação fiduciária</w:t>
      </w:r>
      <w:r w:rsidRPr="00ED5D1B" w:rsidR="00B15136">
        <w:rPr>
          <w:color w:val="000000" w:themeColor="text1"/>
          <w:sz w:val="22"/>
          <w:szCs w:val="22"/>
        </w:rPr>
        <w:t xml:space="preserve"> sobre todas as unidades autônomas prontas, acabadas e disponíveis</w:t>
      </w:r>
      <w:r w:rsidR="00AC0858">
        <w:rPr>
          <w:color w:val="000000" w:themeColor="text1"/>
          <w:sz w:val="22"/>
          <w:szCs w:val="22"/>
        </w:rPr>
        <w:t xml:space="preserve"> na data de celebração de novo aditamento à Escritura de Emissão</w:t>
      </w:r>
      <w:r w:rsidRPr="00ED5D1B" w:rsidR="00ED5D1B">
        <w:rPr>
          <w:color w:val="000000" w:themeColor="text1"/>
          <w:sz w:val="22"/>
          <w:szCs w:val="22"/>
        </w:rPr>
        <w:t>,</w:t>
      </w:r>
      <w:r w:rsidRPr="00ED5D1B" w:rsidR="00B15136">
        <w:rPr>
          <w:color w:val="000000" w:themeColor="text1"/>
          <w:sz w:val="22"/>
          <w:szCs w:val="22"/>
        </w:rPr>
        <w:t xml:space="preserve"> dos referidos </w:t>
      </w:r>
      <w:r w:rsidRPr="00ED5D1B" w:rsidR="00B15136">
        <w:rPr>
          <w:bCs/>
          <w:color w:val="000000" w:themeColor="text1"/>
          <w:sz w:val="22"/>
          <w:szCs w:val="22"/>
        </w:rPr>
        <w:t>empreendimentos</w:t>
      </w:r>
      <w:r w:rsidRPr="00ED5D1B" w:rsidR="00B15136">
        <w:rPr>
          <w:color w:val="000000" w:themeColor="text1"/>
          <w:sz w:val="22"/>
          <w:szCs w:val="22"/>
        </w:rPr>
        <w:t>, de propriedade da Fiadora ou das Desenvolvedoras</w:t>
      </w:r>
      <w:r w:rsidRPr="00ED5D1B" w:rsidR="007E74AD">
        <w:rPr>
          <w:color w:val="000000" w:themeColor="text1"/>
          <w:sz w:val="22"/>
          <w:szCs w:val="22"/>
        </w:rPr>
        <w:t xml:space="preserve">, </w:t>
      </w:r>
      <w:r w:rsidRPr="00ED5D1B" w:rsidR="00B15136">
        <w:rPr>
          <w:bCs/>
          <w:color w:val="000000" w:themeColor="text1"/>
          <w:sz w:val="22"/>
          <w:szCs w:val="22"/>
        </w:rPr>
        <w:t>conforme o caso</w:t>
      </w:r>
      <w:r w:rsidRPr="00ED5D1B" w:rsidR="00B15136">
        <w:rPr>
          <w:sz w:val="22"/>
        </w:rPr>
        <w:t xml:space="preserve">, as quais encontram-se descritas </w:t>
      </w:r>
      <w:r w:rsidRPr="00ED5D1B" w:rsidR="00ED5D1B">
        <w:rPr>
          <w:bCs/>
          <w:sz w:val="22"/>
        </w:rPr>
        <w:t xml:space="preserve">no Material de Suporte anexo à Proposta de Administração </w:t>
      </w:r>
      <w:r w:rsidRPr="00ED5D1B" w:rsidR="00B15136">
        <w:rPr>
          <w:bCs/>
          <w:color w:val="000000" w:themeColor="text1"/>
          <w:sz w:val="22"/>
          <w:szCs w:val="22"/>
        </w:rPr>
        <w:t>(“</w:t>
      </w:r>
      <w:r w:rsidRPr="00ED5D1B" w:rsidR="00B15136">
        <w:rPr>
          <w:bCs/>
          <w:color w:val="000000" w:themeColor="text1"/>
          <w:sz w:val="22"/>
          <w:szCs w:val="22"/>
          <w:u w:val="single"/>
        </w:rPr>
        <w:t>Alienação Fiduciária de Imóveis</w:t>
      </w:r>
      <w:r w:rsidRPr="00ED5D1B" w:rsidR="00B15136">
        <w:rPr>
          <w:bCs/>
          <w:color w:val="000000" w:themeColor="text1"/>
          <w:sz w:val="22"/>
          <w:szCs w:val="22"/>
        </w:rPr>
        <w:t>”), com a consequente alteração de determinadas definições e cláusulas da Escritura de Emissão e do Termo de Securitização, que passarão</w:t>
      </w:r>
      <w:r w:rsidR="00ED5D1B">
        <w:rPr>
          <w:bCs/>
          <w:color w:val="000000" w:themeColor="text1"/>
          <w:sz w:val="22"/>
          <w:szCs w:val="22"/>
        </w:rPr>
        <w:t xml:space="preserve"> a vigorar</w:t>
      </w:r>
      <w:r w:rsidRPr="00ED5D1B" w:rsidR="00ED5D1B">
        <w:rPr>
          <w:bCs/>
          <w:color w:val="000000" w:themeColor="text1"/>
          <w:sz w:val="22"/>
          <w:szCs w:val="22"/>
        </w:rPr>
        <w:t xml:space="preserve">, em termos gerais, </w:t>
      </w:r>
      <w:r w:rsidR="00ED5D1B">
        <w:rPr>
          <w:bCs/>
          <w:color w:val="000000" w:themeColor="text1"/>
          <w:sz w:val="22"/>
          <w:szCs w:val="22"/>
        </w:rPr>
        <w:t>conforme</w:t>
      </w:r>
      <w:r w:rsidRPr="00ED5D1B" w:rsidR="00ED5D1B">
        <w:rPr>
          <w:bCs/>
          <w:color w:val="000000" w:themeColor="text1"/>
          <w:sz w:val="22"/>
          <w:szCs w:val="22"/>
        </w:rPr>
        <w:t xml:space="preserve"> Material de Suporte anexo à Proposta de Administração</w:t>
      </w:r>
      <w:r w:rsidRPr="00ED5D1B" w:rsidR="0000674B">
        <w:rPr>
          <w:sz w:val="22"/>
          <w:szCs w:val="22"/>
        </w:rPr>
        <w:t>.</w:t>
      </w:r>
    </w:p>
    <w:p w:rsidR="00B30774" w:rsidRPr="0081398E" w:rsidP="0081398E" w14:paraId="3A763A4D" w14:textId="77777777">
      <w:pPr>
        <w:pStyle w:val="Default"/>
        <w:spacing w:line="320" w:lineRule="exact"/>
        <w:jc w:val="both"/>
        <w:rPr>
          <w:sz w:val="22"/>
          <w:szCs w:val="22"/>
        </w:rPr>
      </w:pPr>
    </w:p>
    <w:p w:rsidR="00310874" w:rsidRPr="0081398E" w:rsidP="0081398E" w14:paraId="125297F4" w14:textId="51A15E73">
      <w:pPr>
        <w:pStyle w:val="Default"/>
        <w:spacing w:line="320" w:lineRule="exact"/>
        <w:rPr>
          <w:b/>
          <w:sz w:val="22"/>
          <w:szCs w:val="22"/>
        </w:rPr>
      </w:pPr>
      <w:r w:rsidRPr="0081398E">
        <w:rPr>
          <w:b/>
          <w:sz w:val="22"/>
          <w:szCs w:val="22"/>
        </w:rPr>
        <w:t>[   ] Aprovar</w:t>
      </w:r>
      <w:r w:rsidRPr="0081398E" w:rsidR="009E04B3">
        <w:rPr>
          <w:b/>
          <w:sz w:val="22"/>
          <w:szCs w:val="22"/>
        </w:rPr>
        <w:tab/>
      </w:r>
      <w:r w:rsidRPr="0081398E" w:rsidR="009E04B3">
        <w:rPr>
          <w:b/>
          <w:sz w:val="22"/>
          <w:szCs w:val="22"/>
        </w:rPr>
        <w:tab/>
      </w:r>
      <w:r w:rsidRPr="0081398E" w:rsidR="009E04B3">
        <w:rPr>
          <w:b/>
          <w:sz w:val="22"/>
          <w:szCs w:val="22"/>
        </w:rPr>
        <w:tab/>
      </w:r>
      <w:r w:rsidRPr="0081398E" w:rsidR="009E04B3">
        <w:rPr>
          <w:b/>
          <w:sz w:val="22"/>
          <w:szCs w:val="22"/>
        </w:rPr>
        <w:tab/>
      </w:r>
      <w:r w:rsidRPr="0081398E">
        <w:rPr>
          <w:b/>
          <w:sz w:val="22"/>
          <w:szCs w:val="22"/>
        </w:rPr>
        <w:t>[   ] Rejeitar</w:t>
      </w:r>
      <w:r w:rsidRPr="0081398E" w:rsidR="009E04B3">
        <w:rPr>
          <w:b/>
          <w:sz w:val="22"/>
          <w:szCs w:val="22"/>
        </w:rPr>
        <w:tab/>
      </w:r>
      <w:r w:rsidRPr="0081398E" w:rsidR="009E04B3">
        <w:rPr>
          <w:b/>
          <w:sz w:val="22"/>
          <w:szCs w:val="22"/>
        </w:rPr>
        <w:tab/>
      </w:r>
      <w:r w:rsidRPr="0081398E" w:rsidR="009E04B3">
        <w:rPr>
          <w:b/>
          <w:sz w:val="22"/>
          <w:szCs w:val="22"/>
        </w:rPr>
        <w:tab/>
      </w:r>
      <w:r w:rsidRPr="0081398E" w:rsidR="009E04B3">
        <w:rPr>
          <w:b/>
          <w:sz w:val="22"/>
          <w:szCs w:val="22"/>
        </w:rPr>
        <w:tab/>
      </w:r>
      <w:r w:rsidRPr="0081398E">
        <w:rPr>
          <w:b/>
          <w:sz w:val="22"/>
          <w:szCs w:val="22"/>
        </w:rPr>
        <w:t>[   ] Abster-se</w:t>
      </w:r>
    </w:p>
    <w:p w:rsidR="006C3E8B" w:rsidRPr="0081398E" w:rsidP="0081398E" w14:paraId="2D795326" w14:textId="77777777">
      <w:pPr>
        <w:pStyle w:val="Default"/>
        <w:spacing w:line="320" w:lineRule="exact"/>
        <w:jc w:val="both"/>
        <w:rPr>
          <w:b/>
          <w:sz w:val="22"/>
          <w:szCs w:val="22"/>
        </w:rPr>
      </w:pPr>
    </w:p>
    <w:p w:rsidR="006C3E8B" w:rsidP="0081398E" w14:paraId="2277A3AA" w14:textId="7E9B7B4B">
      <w:pPr>
        <w:pStyle w:val="Default"/>
        <w:numPr>
          <w:ilvl w:val="0"/>
          <w:numId w:val="5"/>
        </w:numPr>
        <w:spacing w:line="320" w:lineRule="exact"/>
        <w:ind w:left="0" w:firstLine="0"/>
        <w:jc w:val="both"/>
        <w:rPr>
          <w:sz w:val="22"/>
          <w:szCs w:val="22"/>
        </w:rPr>
      </w:pPr>
      <w:r>
        <w:rPr>
          <w:color w:val="000000" w:themeColor="text1"/>
          <w:sz w:val="22"/>
          <w:szCs w:val="22"/>
        </w:rPr>
        <w:t>A</w:t>
      </w:r>
      <w:r w:rsidRPr="00EF0CB9">
        <w:rPr>
          <w:color w:val="000000" w:themeColor="text1"/>
          <w:sz w:val="22"/>
          <w:szCs w:val="22"/>
        </w:rPr>
        <w:t>nuência prévia para</w:t>
      </w:r>
      <w:r>
        <w:rPr>
          <w:color w:val="000000" w:themeColor="text1"/>
          <w:sz w:val="22"/>
          <w:szCs w:val="22"/>
        </w:rPr>
        <w:t xml:space="preserve"> </w:t>
      </w:r>
      <w:r w:rsidRPr="00EF0CB9">
        <w:rPr>
          <w:bCs/>
          <w:color w:val="000000" w:themeColor="text1"/>
          <w:sz w:val="22"/>
          <w:szCs w:val="22"/>
        </w:rPr>
        <w:t xml:space="preserve">a alteração na mecânica da Amortização Extraordinária Obrigatória </w:t>
      </w:r>
      <w:r w:rsidR="00B10158">
        <w:rPr>
          <w:bCs/>
          <w:color w:val="000000" w:themeColor="text1"/>
          <w:sz w:val="22"/>
          <w:szCs w:val="22"/>
        </w:rPr>
        <w:t xml:space="preserve">(conforme definido abaixo) </w:t>
      </w:r>
      <w:r w:rsidRPr="00EF0CB9">
        <w:rPr>
          <w:bCs/>
          <w:color w:val="000000" w:themeColor="text1"/>
          <w:sz w:val="22"/>
          <w:szCs w:val="22"/>
        </w:rPr>
        <w:t xml:space="preserve">atualmente prevista na Cláusula 7.12 da Escritura de Emissão e na Cláusula 6.5 </w:t>
      </w:r>
      <w:r w:rsidRPr="00EF0CB9">
        <w:rPr>
          <w:bCs/>
          <w:color w:val="000000" w:themeColor="text1"/>
          <w:sz w:val="22"/>
          <w:szCs w:val="22"/>
        </w:rPr>
        <w:t xml:space="preserve">do Termo de Securitização, </w:t>
      </w:r>
      <w:r w:rsidR="008D6083">
        <w:rPr>
          <w:bCs/>
          <w:color w:val="000000" w:themeColor="text1"/>
          <w:sz w:val="22"/>
          <w:szCs w:val="22"/>
        </w:rPr>
        <w:t>conforme</w:t>
      </w:r>
      <w:r w:rsidRPr="00ED5D1B" w:rsidR="008D6083">
        <w:rPr>
          <w:bCs/>
          <w:color w:val="000000" w:themeColor="text1"/>
          <w:sz w:val="22"/>
          <w:szCs w:val="22"/>
        </w:rPr>
        <w:t xml:space="preserve"> Material de Suporte anexo à Proposta de Administração</w:t>
      </w:r>
      <w:r w:rsidR="008D6083">
        <w:rPr>
          <w:bCs/>
          <w:color w:val="000000" w:themeColor="text1"/>
          <w:sz w:val="22"/>
          <w:szCs w:val="22"/>
        </w:rPr>
        <w:t xml:space="preserve">, </w:t>
      </w:r>
      <w:r>
        <w:rPr>
          <w:bCs/>
          <w:color w:val="000000" w:themeColor="text1"/>
          <w:sz w:val="22"/>
          <w:szCs w:val="22"/>
        </w:rPr>
        <w:t>de forma a</w:t>
      </w:r>
      <w:r w:rsidRPr="00EF0CB9">
        <w:rPr>
          <w:bCs/>
          <w:color w:val="000000" w:themeColor="text1"/>
          <w:sz w:val="22"/>
          <w:szCs w:val="22"/>
        </w:rPr>
        <w:t xml:space="preserve"> prever que</w:t>
      </w:r>
      <w:r>
        <w:rPr>
          <w:sz w:val="22"/>
          <w:szCs w:val="22"/>
        </w:rPr>
        <w:t>:</w:t>
      </w:r>
    </w:p>
    <w:p w:rsidR="00A87220" w:rsidP="007E74AD" w14:paraId="0CA285B7" w14:textId="46700BB3">
      <w:pPr>
        <w:pStyle w:val="Default"/>
        <w:spacing w:line="320" w:lineRule="exact"/>
        <w:jc w:val="both"/>
        <w:rPr>
          <w:color w:val="000000" w:themeColor="text1"/>
          <w:sz w:val="22"/>
          <w:szCs w:val="22"/>
        </w:rPr>
      </w:pPr>
    </w:p>
    <w:p w:rsidR="00A87220" w:rsidRPr="007E74AD" w:rsidP="007E74AD" w14:paraId="537DA054" w14:textId="4DB815FF">
      <w:pPr>
        <w:pStyle w:val="Default"/>
        <w:numPr>
          <w:ilvl w:val="0"/>
          <w:numId w:val="12"/>
        </w:numPr>
        <w:spacing w:line="320" w:lineRule="exact"/>
        <w:jc w:val="both"/>
        <w:rPr>
          <w:sz w:val="22"/>
          <w:szCs w:val="22"/>
        </w:rPr>
      </w:pPr>
      <w:r w:rsidRPr="00EF0CB9">
        <w:rPr>
          <w:bCs/>
          <w:color w:val="000000" w:themeColor="text1"/>
          <w:sz w:val="22"/>
          <w:szCs w:val="22"/>
        </w:rPr>
        <w:t>a partir da data de apresentação</w:t>
      </w:r>
      <w:r>
        <w:rPr>
          <w:bCs/>
          <w:color w:val="000000" w:themeColor="text1"/>
          <w:sz w:val="22"/>
          <w:szCs w:val="22"/>
        </w:rPr>
        <w:t>, pela Novum ou pela Fiadora</w:t>
      </w:r>
      <w:r w:rsidRPr="00EF0CB9">
        <w:rPr>
          <w:bCs/>
          <w:color w:val="000000" w:themeColor="text1"/>
          <w:sz w:val="22"/>
          <w:szCs w:val="22"/>
        </w:rPr>
        <w:t>,</w:t>
      </w:r>
      <w:r>
        <w:rPr>
          <w:bCs/>
          <w:color w:val="000000" w:themeColor="text1"/>
          <w:sz w:val="22"/>
          <w:szCs w:val="22"/>
        </w:rPr>
        <w:t xml:space="preserve"> à </w:t>
      </w:r>
      <w:r w:rsidRPr="001461AC">
        <w:rPr>
          <w:bCs/>
          <w:color w:val="000000" w:themeColor="text1"/>
          <w:sz w:val="22"/>
          <w:szCs w:val="22"/>
        </w:rPr>
        <w:t>Emissora e ao</w:t>
      </w:r>
      <w:r w:rsidRPr="00EF0CB9">
        <w:rPr>
          <w:bCs/>
          <w:color w:val="000000" w:themeColor="text1"/>
          <w:sz w:val="22"/>
          <w:szCs w:val="22"/>
        </w:rPr>
        <w:t xml:space="preserve"> Agente Fiduciário, da evidência dos </w:t>
      </w:r>
      <w:r>
        <w:rPr>
          <w:bCs/>
          <w:color w:val="000000" w:themeColor="text1"/>
          <w:sz w:val="22"/>
          <w:szCs w:val="22"/>
          <w:u w:val="single"/>
        </w:rPr>
        <w:t>protocolos</w:t>
      </w:r>
      <w:r w:rsidRPr="00EF0CB9">
        <w:rPr>
          <w:bCs/>
          <w:color w:val="000000" w:themeColor="text1"/>
          <w:sz w:val="22"/>
          <w:szCs w:val="22"/>
        </w:rPr>
        <w:t xml:space="preserve"> nos competentes Cartórios de Registro de Imóveis de cada Contrato de Alienação Fiduciária de Imóveis</w:t>
      </w:r>
      <w:r w:rsidR="007E74AD">
        <w:rPr>
          <w:bCs/>
          <w:color w:val="000000" w:themeColor="text1"/>
          <w:sz w:val="22"/>
          <w:szCs w:val="22"/>
        </w:rPr>
        <w:t xml:space="preserve"> (conforme definido abaixo)</w:t>
      </w:r>
      <w:r w:rsidRPr="00EF0CB9">
        <w:rPr>
          <w:bCs/>
          <w:color w:val="000000" w:themeColor="text1"/>
          <w:sz w:val="22"/>
          <w:szCs w:val="22"/>
        </w:rPr>
        <w:t>, bem como</w:t>
      </w:r>
      <w:r w:rsidRPr="00EF0CB9">
        <w:rPr>
          <w:bCs/>
          <w:color w:val="000000" w:themeColor="text1"/>
          <w:sz w:val="22"/>
          <w:szCs w:val="22"/>
        </w:rPr>
        <w:t xml:space="preserve"> </w:t>
      </w:r>
      <w:r w:rsidRPr="00EF0CB9">
        <w:rPr>
          <w:bCs/>
          <w:color w:val="000000" w:themeColor="text1"/>
          <w:sz w:val="22"/>
          <w:szCs w:val="22"/>
        </w:rPr>
        <w:t xml:space="preserve">de cada </w:t>
      </w:r>
      <w:r>
        <w:rPr>
          <w:bCs/>
          <w:color w:val="000000" w:themeColor="text1"/>
          <w:sz w:val="22"/>
          <w:szCs w:val="22"/>
        </w:rPr>
        <w:t>“</w:t>
      </w:r>
      <w:r w:rsidRPr="007F16FE">
        <w:rPr>
          <w:bCs/>
          <w:i/>
          <w:iCs/>
          <w:color w:val="000000" w:themeColor="text1"/>
          <w:sz w:val="22"/>
          <w:szCs w:val="22"/>
        </w:rPr>
        <w:t>Termo de Liberação e Cancelamento de Hipoteca</w:t>
      </w:r>
      <w:r>
        <w:rPr>
          <w:bCs/>
          <w:color w:val="000000" w:themeColor="text1"/>
          <w:sz w:val="22"/>
          <w:szCs w:val="22"/>
        </w:rPr>
        <w:t>”</w:t>
      </w:r>
      <w:r w:rsidRPr="00AB4B67">
        <w:rPr>
          <w:bCs/>
          <w:i/>
          <w:iCs/>
          <w:sz w:val="22"/>
          <w:szCs w:val="22"/>
        </w:rPr>
        <w:t xml:space="preserve"> </w:t>
      </w:r>
      <w:r w:rsidRPr="007B2EF8">
        <w:rPr>
          <w:bCs/>
          <w:sz w:val="22"/>
          <w:szCs w:val="22"/>
        </w:rPr>
        <w:t xml:space="preserve">referente às hipotecas </w:t>
      </w:r>
      <w:r>
        <w:rPr>
          <w:bCs/>
          <w:sz w:val="22"/>
          <w:szCs w:val="22"/>
        </w:rPr>
        <w:t>das</w:t>
      </w:r>
      <w:r w:rsidRPr="007B2EF8">
        <w:rPr>
          <w:bCs/>
          <w:sz w:val="22"/>
          <w:szCs w:val="22"/>
        </w:rPr>
        <w:t xml:space="preserve"> unidades integrantes do Moov Parque Maia, Gafisa Upside Paraíso, Scena Tatuapé, Moov Estação Brás, Moov Belém e Parque Ecoville – Torre Passaúna</w:t>
      </w:r>
      <w:r w:rsidRPr="00AB4B67">
        <w:rPr>
          <w:bCs/>
          <w:color w:val="000000" w:themeColor="text1"/>
          <w:sz w:val="22"/>
          <w:szCs w:val="22"/>
        </w:rPr>
        <w:t>,</w:t>
      </w:r>
      <w:r w:rsidRPr="007E3C89">
        <w:rPr>
          <w:bCs/>
          <w:color w:val="000000" w:themeColor="text1"/>
          <w:sz w:val="22"/>
          <w:szCs w:val="22"/>
        </w:rPr>
        <w:t xml:space="preserve"> e desde que </w:t>
      </w:r>
      <w:r w:rsidRPr="007E3C89">
        <w:rPr>
          <w:b/>
          <w:color w:val="000000" w:themeColor="text1"/>
          <w:sz w:val="22"/>
          <w:szCs w:val="22"/>
        </w:rPr>
        <w:t>(1)</w:t>
      </w:r>
      <w:r w:rsidRPr="007E3C89">
        <w:rPr>
          <w:bCs/>
          <w:color w:val="000000" w:themeColor="text1"/>
          <w:sz w:val="22"/>
          <w:szCs w:val="22"/>
        </w:rPr>
        <w:t xml:space="preserve"> não esteja em curso uma hipótese de Evento de Vencimento Antecipado (conforme definido na Escritura de Emissão), e </w:t>
      </w:r>
      <w:r w:rsidRPr="007E3C89">
        <w:rPr>
          <w:b/>
          <w:color w:val="000000" w:themeColor="text1"/>
          <w:sz w:val="22"/>
          <w:szCs w:val="22"/>
        </w:rPr>
        <w:t>(2)</w:t>
      </w:r>
      <w:r w:rsidRPr="007E3C89">
        <w:rPr>
          <w:bCs/>
          <w:color w:val="000000" w:themeColor="text1"/>
          <w:sz w:val="22"/>
          <w:szCs w:val="22"/>
        </w:rPr>
        <w:t xml:space="preserve"> a Novum não esteja em descumprimento do Índice Mínimo de Garantias e</w:t>
      </w:r>
      <w:r>
        <w:rPr>
          <w:bCs/>
          <w:color w:val="000000" w:themeColor="text1"/>
          <w:sz w:val="22"/>
          <w:szCs w:val="22"/>
        </w:rPr>
        <w:t>/ou</w:t>
      </w:r>
      <w:r w:rsidRPr="007E3C89">
        <w:rPr>
          <w:bCs/>
          <w:color w:val="000000" w:themeColor="text1"/>
          <w:sz w:val="22"/>
          <w:szCs w:val="22"/>
        </w:rPr>
        <w:t xml:space="preserve"> do Novo Índice Mínimo de Garantias</w:t>
      </w:r>
      <w:r w:rsidR="008D6083">
        <w:rPr>
          <w:bCs/>
          <w:color w:val="000000" w:themeColor="text1"/>
          <w:sz w:val="22"/>
          <w:szCs w:val="22"/>
        </w:rPr>
        <w:t xml:space="preserve"> (conforme descrito no</w:t>
      </w:r>
      <w:r w:rsidRPr="00ED5D1B" w:rsidR="008D6083">
        <w:rPr>
          <w:bCs/>
          <w:color w:val="000000" w:themeColor="text1"/>
          <w:sz w:val="22"/>
          <w:szCs w:val="22"/>
        </w:rPr>
        <w:t xml:space="preserve"> Material de Suporte anexo à Proposta de Administração</w:t>
      </w:r>
      <w:r w:rsidR="008D6083">
        <w:rPr>
          <w:bCs/>
          <w:color w:val="000000" w:themeColor="text1"/>
          <w:sz w:val="22"/>
          <w:szCs w:val="22"/>
        </w:rPr>
        <w:t>)</w:t>
      </w:r>
      <w:r w:rsidRPr="007E3C89">
        <w:rPr>
          <w:bCs/>
          <w:color w:val="000000" w:themeColor="text1"/>
          <w:sz w:val="22"/>
          <w:szCs w:val="22"/>
        </w:rPr>
        <w:t>, o valor</w:t>
      </w:r>
      <w:r w:rsidRPr="00EF0CB9">
        <w:rPr>
          <w:bCs/>
          <w:color w:val="000000" w:themeColor="text1"/>
          <w:sz w:val="22"/>
          <w:szCs w:val="22"/>
        </w:rPr>
        <w:t xml:space="preserve"> de geração de caixa pos</w:t>
      </w:r>
      <w:r w:rsidRPr="00AC0858">
        <w:rPr>
          <w:bCs/>
          <w:color w:val="000000" w:themeColor="text1"/>
          <w:sz w:val="22"/>
          <w:szCs w:val="22"/>
        </w:rPr>
        <w:t xml:space="preserve">itiva indicado como “Excedente Disponível para Amortização” no Relatório de Solicitação de Recursos (conforme definido na Escritura de Emissão) deverá ser transferido </w:t>
      </w:r>
      <w:r w:rsidRPr="00A64254">
        <w:rPr>
          <w:bCs/>
          <w:color w:val="000000" w:themeColor="text1"/>
          <w:sz w:val="22"/>
          <w:szCs w:val="22"/>
        </w:rPr>
        <w:t>pela Emissora</w:t>
      </w:r>
      <w:r w:rsidRPr="00AC0858">
        <w:rPr>
          <w:bCs/>
          <w:color w:val="000000" w:themeColor="text1"/>
          <w:sz w:val="22"/>
          <w:szCs w:val="22"/>
        </w:rPr>
        <w:t xml:space="preserve"> para determinada conta de titularidade da Novum, indicada nos termos da Escritura de Emissão (“</w:t>
      </w:r>
      <w:r w:rsidRPr="00AC0858">
        <w:rPr>
          <w:bCs/>
          <w:color w:val="000000" w:themeColor="text1"/>
          <w:sz w:val="22"/>
          <w:szCs w:val="22"/>
          <w:u w:val="single"/>
        </w:rPr>
        <w:t>Conta</w:t>
      </w:r>
      <w:r w:rsidRPr="00EF0CB9">
        <w:rPr>
          <w:bCs/>
          <w:color w:val="000000" w:themeColor="text1"/>
          <w:sz w:val="22"/>
          <w:szCs w:val="22"/>
          <w:u w:val="single"/>
        </w:rPr>
        <w:t xml:space="preserve"> de Livre Movimentação</w:t>
      </w:r>
      <w:r w:rsidRPr="00EF0CB9">
        <w:rPr>
          <w:bCs/>
          <w:color w:val="000000" w:themeColor="text1"/>
          <w:sz w:val="22"/>
          <w:szCs w:val="22"/>
        </w:rPr>
        <w:t xml:space="preserve">”), em até </w:t>
      </w:r>
      <w:r>
        <w:rPr>
          <w:bCs/>
          <w:color w:val="000000" w:themeColor="text1"/>
          <w:sz w:val="22"/>
          <w:szCs w:val="22"/>
        </w:rPr>
        <w:t>2</w:t>
      </w:r>
      <w:r w:rsidRPr="00EF0CB9">
        <w:rPr>
          <w:bCs/>
          <w:color w:val="000000" w:themeColor="text1"/>
          <w:sz w:val="22"/>
          <w:szCs w:val="22"/>
        </w:rPr>
        <w:t xml:space="preserve"> </w:t>
      </w:r>
      <w:r w:rsidRPr="00EF0CB9">
        <w:rPr>
          <w:bCs/>
          <w:color w:val="000000" w:themeColor="text1"/>
          <w:sz w:val="22"/>
          <w:szCs w:val="22"/>
        </w:rPr>
        <w:t>(</w:t>
      </w:r>
      <w:r>
        <w:rPr>
          <w:bCs/>
          <w:color w:val="000000" w:themeColor="text1"/>
          <w:sz w:val="22"/>
          <w:szCs w:val="22"/>
        </w:rPr>
        <w:t>dois</w:t>
      </w:r>
      <w:r w:rsidRPr="00EF0CB9">
        <w:rPr>
          <w:bCs/>
          <w:color w:val="000000" w:themeColor="text1"/>
          <w:sz w:val="22"/>
          <w:szCs w:val="22"/>
        </w:rPr>
        <w:t xml:space="preserve">) Dias Úteis contados da data do recebimento do respectivo Relatório de Solicitação de Recursos, até que o montante total transferido para a Conta de Livre Movimentação </w:t>
      </w:r>
      <w:r>
        <w:rPr>
          <w:bCs/>
          <w:color w:val="000000" w:themeColor="text1"/>
          <w:sz w:val="22"/>
          <w:szCs w:val="22"/>
        </w:rPr>
        <w:t xml:space="preserve">nos termos deste item “(a)” </w:t>
      </w:r>
      <w:r w:rsidRPr="00EF0CB9">
        <w:rPr>
          <w:bCs/>
          <w:color w:val="000000" w:themeColor="text1"/>
          <w:sz w:val="22"/>
          <w:szCs w:val="22"/>
        </w:rPr>
        <w:t>seja equivalente a</w:t>
      </w:r>
      <w:r>
        <w:rPr>
          <w:bCs/>
          <w:color w:val="000000" w:themeColor="text1"/>
          <w:sz w:val="22"/>
          <w:szCs w:val="22"/>
        </w:rPr>
        <w:t xml:space="preserve">, no máximo, </w:t>
      </w:r>
      <w:r w:rsidRPr="00EF0CB9">
        <w:rPr>
          <w:bCs/>
          <w:color w:val="000000" w:themeColor="text1"/>
          <w:sz w:val="22"/>
          <w:szCs w:val="22"/>
        </w:rPr>
        <w:t>R$</w:t>
      </w:r>
      <w:r>
        <w:rPr>
          <w:bCs/>
          <w:color w:val="000000" w:themeColor="text1"/>
          <w:sz w:val="22"/>
          <w:szCs w:val="22"/>
        </w:rPr>
        <w:t>8</w:t>
      </w:r>
      <w:r w:rsidRPr="00EF0CB9">
        <w:rPr>
          <w:bCs/>
          <w:color w:val="000000" w:themeColor="text1"/>
          <w:sz w:val="22"/>
          <w:szCs w:val="22"/>
        </w:rPr>
        <w:t>0.000.000,00 (</w:t>
      </w:r>
      <w:r>
        <w:rPr>
          <w:bCs/>
          <w:color w:val="000000" w:themeColor="text1"/>
          <w:sz w:val="22"/>
          <w:szCs w:val="22"/>
        </w:rPr>
        <w:t>oitenta</w:t>
      </w:r>
      <w:r w:rsidRPr="00EF0CB9">
        <w:rPr>
          <w:bCs/>
          <w:color w:val="000000" w:themeColor="text1"/>
          <w:sz w:val="22"/>
          <w:szCs w:val="22"/>
        </w:rPr>
        <w:t xml:space="preserve"> milhões de reais)</w:t>
      </w:r>
      <w:r>
        <w:rPr>
          <w:bCs/>
          <w:color w:val="000000" w:themeColor="text1"/>
          <w:sz w:val="22"/>
          <w:szCs w:val="22"/>
        </w:rPr>
        <w:t xml:space="preserve"> (“</w:t>
      </w:r>
      <w:r w:rsidRPr="007F16FE">
        <w:rPr>
          <w:bCs/>
          <w:color w:val="000000" w:themeColor="text1"/>
          <w:sz w:val="22"/>
          <w:szCs w:val="22"/>
          <w:u w:val="single"/>
        </w:rPr>
        <w:t xml:space="preserve">Liberação </w:t>
      </w:r>
      <w:r>
        <w:rPr>
          <w:bCs/>
          <w:color w:val="000000" w:themeColor="text1"/>
          <w:sz w:val="22"/>
          <w:szCs w:val="22"/>
          <w:u w:val="single"/>
        </w:rPr>
        <w:t xml:space="preserve">Inicial </w:t>
      </w:r>
      <w:r w:rsidRPr="007F16FE">
        <w:rPr>
          <w:bCs/>
          <w:color w:val="000000" w:themeColor="text1"/>
          <w:sz w:val="22"/>
          <w:szCs w:val="22"/>
          <w:u w:val="single"/>
        </w:rPr>
        <w:t>para a Conta de Livre Movimentação</w:t>
      </w:r>
      <w:r>
        <w:rPr>
          <w:bCs/>
          <w:color w:val="000000" w:themeColor="text1"/>
          <w:sz w:val="22"/>
          <w:szCs w:val="22"/>
        </w:rPr>
        <w:t>”</w:t>
      </w:r>
      <w:r w:rsidRPr="00EF0CB9">
        <w:rPr>
          <w:bCs/>
          <w:color w:val="000000" w:themeColor="text1"/>
          <w:sz w:val="22"/>
          <w:szCs w:val="22"/>
        </w:rPr>
        <w:t>);</w:t>
      </w:r>
    </w:p>
    <w:p w:rsidR="00A87220" w:rsidRPr="007E74AD" w:rsidP="007E74AD" w14:paraId="4F27E90E" w14:textId="77777777">
      <w:pPr>
        <w:pStyle w:val="Default"/>
        <w:spacing w:line="320" w:lineRule="exact"/>
        <w:ind w:left="720"/>
        <w:jc w:val="both"/>
        <w:rPr>
          <w:sz w:val="22"/>
          <w:szCs w:val="22"/>
        </w:rPr>
      </w:pPr>
    </w:p>
    <w:p w:rsidR="00A87220" w:rsidRPr="007E74AD" w:rsidP="007E74AD" w14:paraId="361FB553" w14:textId="2B03D0C0">
      <w:pPr>
        <w:pStyle w:val="Default"/>
        <w:numPr>
          <w:ilvl w:val="0"/>
          <w:numId w:val="12"/>
        </w:numPr>
        <w:spacing w:line="320" w:lineRule="exact"/>
        <w:jc w:val="both"/>
        <w:rPr>
          <w:sz w:val="22"/>
          <w:szCs w:val="22"/>
        </w:rPr>
      </w:pPr>
      <w:r w:rsidRPr="00EF0CB9">
        <w:rPr>
          <w:bCs/>
          <w:color w:val="000000" w:themeColor="text1"/>
          <w:sz w:val="22"/>
          <w:szCs w:val="22"/>
        </w:rPr>
        <w:t>a partir da data de apresentação</w:t>
      </w:r>
      <w:r>
        <w:rPr>
          <w:bCs/>
          <w:color w:val="000000" w:themeColor="text1"/>
          <w:sz w:val="22"/>
          <w:szCs w:val="22"/>
        </w:rPr>
        <w:t>, pela Novum ou pela Fiadora</w:t>
      </w:r>
      <w:r w:rsidRPr="00EF0CB9">
        <w:rPr>
          <w:bCs/>
          <w:color w:val="000000" w:themeColor="text1"/>
          <w:sz w:val="22"/>
          <w:szCs w:val="22"/>
        </w:rPr>
        <w:t>,</w:t>
      </w:r>
      <w:r>
        <w:rPr>
          <w:bCs/>
          <w:color w:val="000000" w:themeColor="text1"/>
          <w:sz w:val="22"/>
          <w:szCs w:val="22"/>
        </w:rPr>
        <w:t xml:space="preserve"> à </w:t>
      </w:r>
      <w:r w:rsidRPr="001461AC">
        <w:rPr>
          <w:bCs/>
          <w:color w:val="000000" w:themeColor="text1"/>
          <w:sz w:val="22"/>
          <w:szCs w:val="22"/>
        </w:rPr>
        <w:t>Emissora e ao</w:t>
      </w:r>
      <w:r w:rsidRPr="00EF0CB9">
        <w:rPr>
          <w:bCs/>
          <w:color w:val="000000" w:themeColor="text1"/>
          <w:sz w:val="22"/>
          <w:szCs w:val="22"/>
        </w:rPr>
        <w:t xml:space="preserve"> Agente Fiduciário, da evidência dos </w:t>
      </w:r>
      <w:r>
        <w:rPr>
          <w:bCs/>
          <w:color w:val="000000" w:themeColor="text1"/>
          <w:sz w:val="22"/>
          <w:szCs w:val="22"/>
          <w:u w:val="single"/>
        </w:rPr>
        <w:t>registros</w:t>
      </w:r>
      <w:r w:rsidRPr="00EF0CB9">
        <w:rPr>
          <w:bCs/>
          <w:color w:val="000000" w:themeColor="text1"/>
          <w:sz w:val="22"/>
          <w:szCs w:val="22"/>
        </w:rPr>
        <w:t xml:space="preserve"> nos competentes Cartórios de Registro de Imóveis de cada Contrato de Alienação Fiduciária de Imóveis, bem como</w:t>
      </w:r>
      <w:r w:rsidRPr="00EF0CB9">
        <w:rPr>
          <w:bCs/>
          <w:color w:val="000000" w:themeColor="text1"/>
          <w:sz w:val="22"/>
          <w:szCs w:val="22"/>
        </w:rPr>
        <w:t xml:space="preserve"> </w:t>
      </w:r>
      <w:r w:rsidRPr="00EF0CB9">
        <w:rPr>
          <w:bCs/>
          <w:color w:val="000000" w:themeColor="text1"/>
          <w:sz w:val="22"/>
          <w:szCs w:val="22"/>
        </w:rPr>
        <w:t xml:space="preserve">de cada </w:t>
      </w:r>
      <w:r>
        <w:rPr>
          <w:bCs/>
          <w:color w:val="000000" w:themeColor="text1"/>
          <w:sz w:val="22"/>
          <w:szCs w:val="22"/>
        </w:rPr>
        <w:t>“</w:t>
      </w:r>
      <w:r w:rsidRPr="007F16FE">
        <w:rPr>
          <w:bCs/>
          <w:i/>
          <w:iCs/>
          <w:color w:val="000000" w:themeColor="text1"/>
          <w:sz w:val="22"/>
          <w:szCs w:val="22"/>
        </w:rPr>
        <w:t>Termo de Liberação e Cancelamento de Hipoteca</w:t>
      </w:r>
      <w:r>
        <w:rPr>
          <w:bCs/>
          <w:color w:val="000000" w:themeColor="text1"/>
          <w:sz w:val="22"/>
          <w:szCs w:val="22"/>
        </w:rPr>
        <w:t>”</w:t>
      </w:r>
      <w:r w:rsidRPr="00AB4B67">
        <w:rPr>
          <w:bCs/>
          <w:i/>
          <w:iCs/>
          <w:sz w:val="22"/>
          <w:szCs w:val="22"/>
        </w:rPr>
        <w:t xml:space="preserve"> </w:t>
      </w:r>
      <w:r w:rsidRPr="007B2EF8">
        <w:rPr>
          <w:bCs/>
          <w:sz w:val="22"/>
          <w:szCs w:val="22"/>
        </w:rPr>
        <w:t xml:space="preserve">referente às hipotecas </w:t>
      </w:r>
      <w:r>
        <w:rPr>
          <w:bCs/>
          <w:sz w:val="22"/>
          <w:szCs w:val="22"/>
        </w:rPr>
        <w:t>das</w:t>
      </w:r>
      <w:r w:rsidRPr="007B2EF8">
        <w:rPr>
          <w:bCs/>
          <w:sz w:val="22"/>
          <w:szCs w:val="22"/>
        </w:rPr>
        <w:t xml:space="preserve"> unidades integrantes do Moov Parque Maia, Gafisa Upside Paraíso, Scena Tatuapé, Moov Estação Brás, Moov Belém e Parque Ecoville – Torre Passaúna (“</w:t>
      </w:r>
      <w:r w:rsidRPr="007B2EF8">
        <w:rPr>
          <w:bCs/>
          <w:sz w:val="22"/>
          <w:szCs w:val="22"/>
          <w:u w:val="single"/>
        </w:rPr>
        <w:t xml:space="preserve">Apresentação Evidência </w:t>
      </w:r>
      <w:r>
        <w:rPr>
          <w:bCs/>
          <w:sz w:val="22"/>
          <w:szCs w:val="22"/>
          <w:u w:val="single"/>
        </w:rPr>
        <w:t>Registros</w:t>
      </w:r>
      <w:r w:rsidRPr="007B2EF8">
        <w:rPr>
          <w:bCs/>
          <w:sz w:val="22"/>
          <w:szCs w:val="22"/>
        </w:rPr>
        <w:t>”)</w:t>
      </w:r>
      <w:r w:rsidRPr="00AB4B67">
        <w:rPr>
          <w:bCs/>
          <w:color w:val="000000" w:themeColor="text1"/>
          <w:sz w:val="22"/>
          <w:szCs w:val="22"/>
        </w:rPr>
        <w:t>,</w:t>
      </w:r>
      <w:r w:rsidRPr="007E3C89">
        <w:rPr>
          <w:bCs/>
          <w:color w:val="000000" w:themeColor="text1"/>
          <w:sz w:val="22"/>
          <w:szCs w:val="22"/>
        </w:rPr>
        <w:t xml:space="preserve"> e desde que </w:t>
      </w:r>
      <w:r w:rsidRPr="007E3C89">
        <w:rPr>
          <w:b/>
          <w:color w:val="000000" w:themeColor="text1"/>
          <w:sz w:val="22"/>
          <w:szCs w:val="22"/>
        </w:rPr>
        <w:t>(1)</w:t>
      </w:r>
      <w:r w:rsidRPr="007E3C89">
        <w:rPr>
          <w:bCs/>
          <w:color w:val="000000" w:themeColor="text1"/>
          <w:sz w:val="22"/>
          <w:szCs w:val="22"/>
        </w:rPr>
        <w:t xml:space="preserve"> não esteja em curso uma hipótese de Evento de Vencimento Antecipado (conforme definido na Escritura de Emissão), e </w:t>
      </w:r>
      <w:r w:rsidRPr="007E3C89">
        <w:rPr>
          <w:b/>
          <w:color w:val="000000" w:themeColor="text1"/>
          <w:sz w:val="22"/>
          <w:szCs w:val="22"/>
        </w:rPr>
        <w:t>(2)</w:t>
      </w:r>
      <w:r w:rsidRPr="007E3C89">
        <w:rPr>
          <w:bCs/>
          <w:color w:val="000000" w:themeColor="text1"/>
          <w:sz w:val="22"/>
          <w:szCs w:val="22"/>
        </w:rPr>
        <w:t xml:space="preserve"> a Novum não esteja em descumprimento do Índice Mínimo de Garantias e</w:t>
      </w:r>
      <w:r>
        <w:rPr>
          <w:bCs/>
          <w:color w:val="000000" w:themeColor="text1"/>
          <w:sz w:val="22"/>
          <w:szCs w:val="22"/>
        </w:rPr>
        <w:t>/ou</w:t>
      </w:r>
      <w:r w:rsidRPr="007E3C89">
        <w:rPr>
          <w:bCs/>
          <w:color w:val="000000" w:themeColor="text1"/>
          <w:sz w:val="22"/>
          <w:szCs w:val="22"/>
        </w:rPr>
        <w:t xml:space="preserve"> do Novo Índice Mínimo de Garantias, o valor</w:t>
      </w:r>
      <w:r w:rsidRPr="00EF0CB9">
        <w:rPr>
          <w:bCs/>
          <w:color w:val="000000" w:themeColor="text1"/>
          <w:sz w:val="22"/>
          <w:szCs w:val="22"/>
        </w:rPr>
        <w:t xml:space="preserve"> de geração de caixa positiva indicado como “Excedente Disponível para Amortização” no </w:t>
      </w:r>
      <w:r w:rsidRPr="00A3166F">
        <w:rPr>
          <w:bCs/>
          <w:color w:val="000000" w:themeColor="text1"/>
          <w:sz w:val="22"/>
          <w:szCs w:val="22"/>
        </w:rPr>
        <w:t xml:space="preserve">Relatório de Solicitação de Recursos (conforme definido na Escritura de Emissão) deverá ser transferido </w:t>
      </w:r>
      <w:r w:rsidRPr="00A64254">
        <w:rPr>
          <w:bCs/>
          <w:color w:val="000000" w:themeColor="text1"/>
          <w:sz w:val="22"/>
          <w:szCs w:val="22"/>
        </w:rPr>
        <w:t>pela Emissora</w:t>
      </w:r>
      <w:r w:rsidRPr="00A3166F">
        <w:rPr>
          <w:bCs/>
          <w:color w:val="000000" w:themeColor="text1"/>
          <w:sz w:val="22"/>
          <w:szCs w:val="22"/>
        </w:rPr>
        <w:t xml:space="preserve"> para determinada</w:t>
      </w:r>
      <w:r w:rsidRPr="00EF0CB9">
        <w:rPr>
          <w:bCs/>
          <w:color w:val="000000" w:themeColor="text1"/>
          <w:sz w:val="22"/>
          <w:szCs w:val="22"/>
        </w:rPr>
        <w:t xml:space="preserve"> conta de titularidade da Novum, indicada nos termos da Escritura de Emissão (“</w:t>
      </w:r>
      <w:r w:rsidRPr="00EF0CB9">
        <w:rPr>
          <w:bCs/>
          <w:color w:val="000000" w:themeColor="text1"/>
          <w:sz w:val="22"/>
          <w:szCs w:val="22"/>
          <w:u w:val="single"/>
        </w:rPr>
        <w:t>Conta de Livre Movimentação</w:t>
      </w:r>
      <w:r w:rsidRPr="00EF0CB9">
        <w:rPr>
          <w:bCs/>
          <w:color w:val="000000" w:themeColor="text1"/>
          <w:sz w:val="22"/>
          <w:szCs w:val="22"/>
        </w:rPr>
        <w:t xml:space="preserve">”), em até </w:t>
      </w:r>
      <w:r>
        <w:rPr>
          <w:bCs/>
          <w:color w:val="000000" w:themeColor="text1"/>
          <w:sz w:val="22"/>
          <w:szCs w:val="22"/>
        </w:rPr>
        <w:t>2</w:t>
      </w:r>
      <w:r w:rsidRPr="00EF0CB9">
        <w:rPr>
          <w:bCs/>
          <w:color w:val="000000" w:themeColor="text1"/>
          <w:sz w:val="22"/>
          <w:szCs w:val="22"/>
        </w:rPr>
        <w:t xml:space="preserve"> </w:t>
      </w:r>
      <w:r w:rsidRPr="00EF0CB9">
        <w:rPr>
          <w:bCs/>
          <w:color w:val="000000" w:themeColor="text1"/>
          <w:sz w:val="22"/>
          <w:szCs w:val="22"/>
        </w:rPr>
        <w:t>(</w:t>
      </w:r>
      <w:r>
        <w:rPr>
          <w:bCs/>
          <w:color w:val="000000" w:themeColor="text1"/>
          <w:sz w:val="22"/>
          <w:szCs w:val="22"/>
        </w:rPr>
        <w:t>dois</w:t>
      </w:r>
      <w:r w:rsidRPr="00EF0CB9">
        <w:rPr>
          <w:bCs/>
          <w:color w:val="000000" w:themeColor="text1"/>
          <w:sz w:val="22"/>
          <w:szCs w:val="22"/>
        </w:rPr>
        <w:t xml:space="preserve">) Dias Úteis contados da data do recebimento do respectivo Relatório de Solicitação de Recursos, até que o montante total transferido para a Conta de Livre Movimentação seja equivalente a </w:t>
      </w:r>
      <w:r>
        <w:rPr>
          <w:bCs/>
          <w:color w:val="000000" w:themeColor="text1"/>
          <w:sz w:val="22"/>
          <w:szCs w:val="22"/>
        </w:rPr>
        <w:t xml:space="preserve">até </w:t>
      </w:r>
      <w:r w:rsidRPr="00EF0CB9">
        <w:rPr>
          <w:bCs/>
          <w:color w:val="000000" w:themeColor="text1"/>
          <w:sz w:val="22"/>
          <w:szCs w:val="22"/>
        </w:rPr>
        <w:t>R$100.000.000,00 (cem milhões de reais)</w:t>
      </w:r>
      <w:r>
        <w:rPr>
          <w:bCs/>
          <w:color w:val="000000" w:themeColor="text1"/>
          <w:sz w:val="22"/>
          <w:szCs w:val="22"/>
        </w:rPr>
        <w:t>, incluindo todo e qualquer valor já liberado no âmbito da Liberação Inicial para a Conta de Livre Movimentação</w:t>
      </w:r>
      <w:r w:rsidRPr="00EF0CB9">
        <w:rPr>
          <w:bCs/>
          <w:color w:val="000000" w:themeColor="text1"/>
          <w:sz w:val="22"/>
          <w:szCs w:val="22"/>
        </w:rPr>
        <w:t xml:space="preserve"> (“</w:t>
      </w:r>
      <w:r w:rsidRPr="00EF0CB9">
        <w:rPr>
          <w:bCs/>
          <w:color w:val="000000" w:themeColor="text1"/>
          <w:sz w:val="22"/>
          <w:szCs w:val="22"/>
          <w:u w:val="single"/>
        </w:rPr>
        <w:t>Liberação</w:t>
      </w:r>
      <w:r>
        <w:rPr>
          <w:bCs/>
          <w:color w:val="000000" w:themeColor="text1"/>
          <w:sz w:val="22"/>
          <w:szCs w:val="22"/>
          <w:u w:val="single"/>
        </w:rPr>
        <w:t xml:space="preserve"> Final</w:t>
      </w:r>
      <w:r w:rsidRPr="00EF0CB9">
        <w:rPr>
          <w:bCs/>
          <w:color w:val="000000" w:themeColor="text1"/>
          <w:sz w:val="22"/>
          <w:szCs w:val="22"/>
          <w:u w:val="single"/>
        </w:rPr>
        <w:t xml:space="preserve"> para a Conta de Livre Movimentação</w:t>
      </w:r>
      <w:r w:rsidRPr="00EF0CB9">
        <w:rPr>
          <w:bCs/>
          <w:color w:val="000000" w:themeColor="text1"/>
          <w:sz w:val="22"/>
          <w:szCs w:val="22"/>
        </w:rPr>
        <w:t>”</w:t>
      </w:r>
      <w:r>
        <w:rPr>
          <w:bCs/>
          <w:color w:val="000000" w:themeColor="text1"/>
          <w:sz w:val="22"/>
          <w:szCs w:val="22"/>
        </w:rPr>
        <w:t xml:space="preserve"> e, em conjunto com a Liberação Inicial para a Conta de Livre Movimentação, “</w:t>
      </w:r>
      <w:r w:rsidRPr="007F16FE">
        <w:rPr>
          <w:bCs/>
          <w:color w:val="000000" w:themeColor="text1"/>
          <w:sz w:val="22"/>
          <w:szCs w:val="22"/>
          <w:u w:val="single"/>
        </w:rPr>
        <w:t>Liberação para a Conta de Livre Movimentação</w:t>
      </w:r>
      <w:r>
        <w:rPr>
          <w:bCs/>
          <w:color w:val="000000" w:themeColor="text1"/>
          <w:sz w:val="22"/>
          <w:szCs w:val="22"/>
        </w:rPr>
        <w:t>”</w:t>
      </w:r>
      <w:r w:rsidRPr="00EF0CB9">
        <w:rPr>
          <w:bCs/>
          <w:color w:val="000000" w:themeColor="text1"/>
          <w:sz w:val="22"/>
          <w:szCs w:val="22"/>
        </w:rPr>
        <w:t>);</w:t>
      </w:r>
      <w:r>
        <w:rPr>
          <w:bCs/>
          <w:color w:val="000000" w:themeColor="text1"/>
          <w:sz w:val="22"/>
          <w:szCs w:val="22"/>
        </w:rPr>
        <w:t xml:space="preserve"> </w:t>
      </w:r>
      <w:r w:rsidRPr="00EF0CB9">
        <w:rPr>
          <w:bCs/>
          <w:color w:val="000000" w:themeColor="text1"/>
          <w:sz w:val="22"/>
          <w:szCs w:val="22"/>
        </w:rPr>
        <w:t>e</w:t>
      </w:r>
    </w:p>
    <w:p w:rsidR="00A87220" w:rsidRPr="007E74AD" w:rsidP="007E74AD" w14:paraId="157FABDE" w14:textId="77777777">
      <w:pPr>
        <w:pStyle w:val="Default"/>
        <w:spacing w:line="320" w:lineRule="exact"/>
        <w:ind w:left="720"/>
        <w:jc w:val="both"/>
        <w:rPr>
          <w:sz w:val="22"/>
          <w:szCs w:val="22"/>
        </w:rPr>
      </w:pPr>
    </w:p>
    <w:p w:rsidR="008D6083" w:rsidRPr="008D6083" w:rsidP="007E74AD" w14:paraId="186D563B" w14:textId="77777777">
      <w:pPr>
        <w:pStyle w:val="Default"/>
        <w:numPr>
          <w:ilvl w:val="0"/>
          <w:numId w:val="12"/>
        </w:numPr>
        <w:spacing w:line="320" w:lineRule="exact"/>
        <w:jc w:val="both"/>
        <w:rPr>
          <w:sz w:val="22"/>
          <w:szCs w:val="22"/>
        </w:rPr>
      </w:pPr>
      <w:r>
        <w:rPr>
          <w:bCs/>
          <w:color w:val="000000" w:themeColor="text1"/>
          <w:sz w:val="22"/>
          <w:szCs w:val="22"/>
        </w:rPr>
        <w:t>h</w:t>
      </w:r>
      <w:r w:rsidRPr="007E3C89">
        <w:rPr>
          <w:bCs/>
          <w:color w:val="000000" w:themeColor="text1"/>
          <w:sz w:val="22"/>
          <w:szCs w:val="22"/>
        </w:rPr>
        <w:t>a</w:t>
      </w:r>
      <w:r>
        <w:rPr>
          <w:bCs/>
          <w:color w:val="000000" w:themeColor="text1"/>
          <w:sz w:val="22"/>
          <w:szCs w:val="22"/>
        </w:rPr>
        <w:t>verá</w:t>
      </w:r>
      <w:r w:rsidRPr="007E3C89">
        <w:rPr>
          <w:bCs/>
          <w:color w:val="000000" w:themeColor="text1"/>
          <w:sz w:val="22"/>
          <w:szCs w:val="22"/>
        </w:rPr>
        <w:t xml:space="preserve"> amortização extraordinária obrigatória</w:t>
      </w:r>
      <w:r>
        <w:rPr>
          <w:bCs/>
          <w:color w:val="000000" w:themeColor="text1"/>
          <w:sz w:val="22"/>
          <w:szCs w:val="22"/>
        </w:rPr>
        <w:t xml:space="preserve"> do Valor Nominal Unitário ou do saldo do Valor Nominal Unitário das Debêntures, limitado a 98% (noventa e oito por cento) do referido valor e deverá abranger, proporcionalmente, todas as Debêntures, nos seguintes casos: </w:t>
      </w:r>
      <w:r w:rsidR="00A87220">
        <w:rPr>
          <w:bCs/>
          <w:color w:val="000000" w:themeColor="text1"/>
          <w:sz w:val="22"/>
          <w:szCs w:val="22"/>
        </w:rPr>
        <w:t xml:space="preserve">(1) </w:t>
      </w:r>
      <w:r w:rsidRPr="00EF0CB9" w:rsidR="00A87220">
        <w:rPr>
          <w:bCs/>
          <w:color w:val="000000" w:themeColor="text1"/>
          <w:sz w:val="22"/>
          <w:szCs w:val="22"/>
        </w:rPr>
        <w:t xml:space="preserve">após a conclusão da Liberação para a Conta de Livre Movimentação em montante equivalente a R$100.000.000,00 (cem milhões de reais), </w:t>
      </w:r>
      <w:r>
        <w:rPr>
          <w:bCs/>
          <w:color w:val="000000" w:themeColor="text1"/>
          <w:sz w:val="22"/>
          <w:szCs w:val="22"/>
        </w:rPr>
        <w:t>e/</w:t>
      </w:r>
      <w:r w:rsidRPr="00EF0CB9" w:rsidR="00A87220">
        <w:rPr>
          <w:bCs/>
          <w:color w:val="000000" w:themeColor="text1"/>
          <w:sz w:val="22"/>
          <w:szCs w:val="22"/>
        </w:rPr>
        <w:t xml:space="preserve">ou </w:t>
      </w:r>
      <w:r w:rsidR="00A87220">
        <w:rPr>
          <w:bCs/>
          <w:color w:val="000000" w:themeColor="text1"/>
          <w:sz w:val="22"/>
          <w:szCs w:val="22"/>
        </w:rPr>
        <w:t>(2) após a conclusão da Liberação Inicial para a Conta de Livre Movimentação em montante equivalente a R$80.000.000,00 (oitenta milhões de reais) enquanto não ocorrer a Apresentação Evidência Registros</w:t>
      </w:r>
      <w:r>
        <w:rPr>
          <w:bCs/>
          <w:color w:val="000000" w:themeColor="text1"/>
          <w:sz w:val="22"/>
          <w:szCs w:val="22"/>
        </w:rPr>
        <w:t xml:space="preserve"> 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r w:rsidR="00A87220">
        <w:rPr>
          <w:bCs/>
          <w:color w:val="000000" w:themeColor="text1"/>
          <w:sz w:val="22"/>
          <w:szCs w:val="22"/>
        </w:rPr>
        <w:t>, e/ou (</w:t>
      </w:r>
      <w:r>
        <w:rPr>
          <w:bCs/>
          <w:color w:val="000000" w:themeColor="text1"/>
          <w:sz w:val="22"/>
          <w:szCs w:val="22"/>
        </w:rPr>
        <w:t>3</w:t>
      </w:r>
      <w:r w:rsidR="00A87220">
        <w:rPr>
          <w:bCs/>
          <w:color w:val="000000" w:themeColor="text1"/>
          <w:sz w:val="22"/>
          <w:szCs w:val="22"/>
        </w:rPr>
        <w:t xml:space="preserve">) </w:t>
      </w:r>
      <w:r w:rsidRPr="00EF0CB9" w:rsidR="00A87220">
        <w:rPr>
          <w:bCs/>
          <w:color w:val="000000" w:themeColor="text1"/>
          <w:sz w:val="22"/>
          <w:szCs w:val="22"/>
        </w:rPr>
        <w:t xml:space="preserve">caso esteja em curso uma hipótese de Evento de Vencimento Antecipado </w:t>
      </w:r>
      <w:r w:rsidR="00A87220">
        <w:rPr>
          <w:bCs/>
          <w:color w:val="000000" w:themeColor="text1"/>
          <w:sz w:val="22"/>
          <w:szCs w:val="22"/>
        </w:rPr>
        <w:t>(conforme definido na Escritura de Emissão)</w:t>
      </w:r>
      <w:r>
        <w:rPr>
          <w:bCs/>
          <w:color w:val="000000" w:themeColor="text1"/>
          <w:sz w:val="22"/>
          <w:szCs w:val="22"/>
        </w:rPr>
        <w:t>,</w:t>
      </w:r>
      <w:r w:rsidR="00A87220">
        <w:rPr>
          <w:bCs/>
          <w:color w:val="000000" w:themeColor="text1"/>
          <w:sz w:val="22"/>
          <w:szCs w:val="22"/>
        </w:rPr>
        <w:t xml:space="preserve"> </w:t>
      </w:r>
      <w:r>
        <w:rPr>
          <w:bCs/>
          <w:color w:val="000000" w:themeColor="text1"/>
          <w:sz w:val="22"/>
          <w:szCs w:val="22"/>
        </w:rPr>
        <w:t>e/</w:t>
      </w:r>
      <w:r w:rsidRPr="00EF0CB9" w:rsidR="00A87220">
        <w:rPr>
          <w:bCs/>
          <w:color w:val="000000" w:themeColor="text1"/>
          <w:sz w:val="22"/>
          <w:szCs w:val="22"/>
        </w:rPr>
        <w:t xml:space="preserve">ou </w:t>
      </w:r>
      <w:r>
        <w:rPr>
          <w:bCs/>
          <w:color w:val="000000" w:themeColor="text1"/>
          <w:sz w:val="22"/>
          <w:szCs w:val="22"/>
        </w:rPr>
        <w:t xml:space="preserve">(4) </w:t>
      </w:r>
      <w:r w:rsidRPr="00EF0CB9" w:rsidR="00A87220">
        <w:rPr>
          <w:bCs/>
          <w:color w:val="000000" w:themeColor="text1"/>
          <w:sz w:val="22"/>
          <w:szCs w:val="22"/>
        </w:rPr>
        <w:t xml:space="preserve">a Novum esteja em </w:t>
      </w:r>
      <w:r w:rsidRPr="007E3C89" w:rsidR="00A87220">
        <w:rPr>
          <w:bCs/>
          <w:color w:val="000000" w:themeColor="text1"/>
          <w:sz w:val="22"/>
          <w:szCs w:val="22"/>
        </w:rPr>
        <w:t xml:space="preserve">descumprimento do Índice Mínimo de Garantias ou do Novo Índice Mínimo de Garantias, </w:t>
      </w:r>
      <w:r>
        <w:rPr>
          <w:bCs/>
          <w:color w:val="000000" w:themeColor="text1"/>
          <w:sz w:val="22"/>
          <w:szCs w:val="22"/>
        </w:rPr>
        <w:t>e desde que decorrido o prazo de 22 (vinte e dois) Dias Úteis, contados do recebimento da Notificação Descumprimento Índice Mínimo de Garantias e/ou do recebimento da Notificação Descumprimento Novo Índice Mínimo de Garantias (“</w:t>
      </w:r>
      <w:r w:rsidRPr="00692ED8">
        <w:rPr>
          <w:bCs/>
          <w:color w:val="000000" w:themeColor="text1"/>
          <w:sz w:val="22"/>
          <w:szCs w:val="22"/>
          <w:u w:val="single"/>
        </w:rPr>
        <w:t>Amortização Extraordinária Obrigatória</w:t>
      </w:r>
      <w:r>
        <w:rPr>
          <w:bCs/>
          <w:color w:val="000000" w:themeColor="text1"/>
          <w:sz w:val="22"/>
          <w:szCs w:val="22"/>
        </w:rPr>
        <w:t>”)</w:t>
      </w:r>
    </w:p>
    <w:p w:rsidR="006C3E8B" w:rsidRPr="0081398E" w:rsidP="0081398E" w14:paraId="62CE667B" w14:textId="77777777">
      <w:pPr>
        <w:pStyle w:val="Default"/>
        <w:spacing w:line="320" w:lineRule="exact"/>
        <w:jc w:val="both"/>
        <w:rPr>
          <w:sz w:val="22"/>
          <w:szCs w:val="22"/>
        </w:rPr>
      </w:pPr>
    </w:p>
    <w:p w:rsidR="009E04B3" w:rsidRPr="0081398E" w:rsidP="0081398E" w14:paraId="457F6F07" w14:textId="4696E199">
      <w:pPr>
        <w:pStyle w:val="Default"/>
        <w:spacing w:line="320" w:lineRule="exact"/>
        <w:rPr>
          <w:b/>
          <w:sz w:val="22"/>
          <w:szCs w:val="22"/>
        </w:rPr>
      </w:pPr>
      <w:r w:rsidRPr="0081398E">
        <w:rPr>
          <w:b/>
          <w:sz w:val="22"/>
          <w:szCs w:val="22"/>
        </w:rPr>
        <w:t>[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p w:rsidR="0022141E" w:rsidRPr="0081398E" w:rsidP="0081398E" w14:paraId="6DD0F9D5" w14:textId="138AE6DB">
      <w:pPr>
        <w:pStyle w:val="Default"/>
        <w:spacing w:line="320" w:lineRule="exact"/>
        <w:jc w:val="both"/>
        <w:rPr>
          <w:sz w:val="22"/>
          <w:szCs w:val="22"/>
        </w:rPr>
      </w:pPr>
    </w:p>
    <w:p w:rsidR="00A87220" w:rsidRPr="00B10158" w:rsidP="00A87220" w14:paraId="568C0B4F" w14:textId="3AFF57CD">
      <w:pPr>
        <w:pStyle w:val="Default"/>
        <w:numPr>
          <w:ilvl w:val="0"/>
          <w:numId w:val="5"/>
        </w:numPr>
        <w:spacing w:line="320" w:lineRule="exact"/>
        <w:ind w:left="0" w:firstLine="0"/>
        <w:jc w:val="both"/>
        <w:rPr>
          <w:rFonts w:eastAsia="Calibri"/>
          <w:sz w:val="22"/>
          <w:szCs w:val="22"/>
        </w:rPr>
      </w:pPr>
      <w:r>
        <w:rPr>
          <w:color w:val="000000" w:themeColor="text1"/>
          <w:sz w:val="22"/>
          <w:szCs w:val="22"/>
        </w:rPr>
        <w:t xml:space="preserve">Anuência prévia para: </w:t>
      </w:r>
      <w:r w:rsidRPr="00EF0CB9">
        <w:rPr>
          <w:b/>
          <w:color w:val="000000" w:themeColor="text1"/>
          <w:sz w:val="22"/>
          <w:szCs w:val="22"/>
        </w:rPr>
        <w:t>(</w:t>
      </w:r>
      <w:r>
        <w:rPr>
          <w:b/>
          <w:color w:val="000000" w:themeColor="text1"/>
          <w:sz w:val="22"/>
          <w:szCs w:val="22"/>
        </w:rPr>
        <w:t>a</w:t>
      </w:r>
      <w:r w:rsidRPr="00EF0CB9">
        <w:rPr>
          <w:b/>
          <w:color w:val="000000" w:themeColor="text1"/>
          <w:sz w:val="22"/>
          <w:szCs w:val="22"/>
        </w:rPr>
        <w:t>)</w:t>
      </w:r>
      <w:r w:rsidRPr="00EF0CB9">
        <w:rPr>
          <w:bCs/>
          <w:color w:val="000000" w:themeColor="text1"/>
          <w:sz w:val="22"/>
          <w:szCs w:val="22"/>
        </w:rPr>
        <w:t xml:space="preserve"> </w:t>
      </w:r>
      <w:r>
        <w:rPr>
          <w:bCs/>
          <w:color w:val="000000" w:themeColor="text1"/>
          <w:sz w:val="22"/>
          <w:szCs w:val="22"/>
        </w:rPr>
        <w:t xml:space="preserve">(1) a </w:t>
      </w:r>
      <w:r w:rsidRPr="00EF0CB9">
        <w:rPr>
          <w:bCs/>
          <w:color w:val="000000" w:themeColor="text1"/>
          <w:sz w:val="22"/>
          <w:szCs w:val="22"/>
        </w:rPr>
        <w:t>alteração do Índice Mínimo de Garantias, atualmente previsto na Cláusula 8.2.1</w:t>
      </w:r>
      <w:r>
        <w:rPr>
          <w:bCs/>
          <w:color w:val="000000" w:themeColor="text1"/>
          <w:sz w:val="22"/>
          <w:szCs w:val="22"/>
        </w:rPr>
        <w:t>, item</w:t>
      </w:r>
      <w:r w:rsidRPr="00EF0CB9">
        <w:rPr>
          <w:bCs/>
          <w:color w:val="000000" w:themeColor="text1"/>
          <w:sz w:val="22"/>
          <w:szCs w:val="22"/>
        </w:rPr>
        <w:t xml:space="preserve"> “(xxv)”</w:t>
      </w:r>
      <w:r>
        <w:rPr>
          <w:bCs/>
          <w:color w:val="000000" w:themeColor="text1"/>
          <w:sz w:val="22"/>
          <w:szCs w:val="22"/>
        </w:rPr>
        <w:t>,</w:t>
      </w:r>
      <w:r w:rsidRPr="00EF0CB9">
        <w:rPr>
          <w:bCs/>
          <w:color w:val="000000" w:themeColor="text1"/>
          <w:sz w:val="22"/>
          <w:szCs w:val="22"/>
        </w:rPr>
        <w:t xml:space="preserve"> da Escritura de Emissão e </w:t>
      </w:r>
      <w:r>
        <w:rPr>
          <w:bCs/>
          <w:color w:val="000000" w:themeColor="text1"/>
          <w:sz w:val="22"/>
          <w:szCs w:val="22"/>
        </w:rPr>
        <w:t xml:space="preserve">na Cláusula </w:t>
      </w:r>
      <w:r w:rsidRPr="00EF0CB9">
        <w:rPr>
          <w:bCs/>
          <w:color w:val="000000" w:themeColor="text1"/>
          <w:sz w:val="22"/>
          <w:szCs w:val="22"/>
        </w:rPr>
        <w:t>6.3</w:t>
      </w:r>
      <w:r>
        <w:rPr>
          <w:bCs/>
          <w:color w:val="000000" w:themeColor="text1"/>
          <w:sz w:val="22"/>
          <w:szCs w:val="22"/>
        </w:rPr>
        <w:t>, item</w:t>
      </w:r>
      <w:r w:rsidRPr="00EF0CB9">
        <w:rPr>
          <w:bCs/>
          <w:color w:val="000000" w:themeColor="text1"/>
          <w:sz w:val="22"/>
          <w:szCs w:val="22"/>
        </w:rPr>
        <w:t xml:space="preserve"> “(xxv)”</w:t>
      </w:r>
      <w:r>
        <w:rPr>
          <w:bCs/>
          <w:color w:val="000000" w:themeColor="text1"/>
          <w:sz w:val="22"/>
          <w:szCs w:val="22"/>
        </w:rPr>
        <w:t>,</w:t>
      </w:r>
      <w:r w:rsidRPr="00EF0CB9">
        <w:rPr>
          <w:bCs/>
          <w:color w:val="000000" w:themeColor="text1"/>
          <w:sz w:val="22"/>
          <w:szCs w:val="22"/>
        </w:rPr>
        <w:t xml:space="preserve"> do Termo de Securitização, </w:t>
      </w:r>
      <w:r w:rsidRPr="00B35AA7">
        <w:rPr>
          <w:bCs/>
          <w:color w:val="000000" w:themeColor="text1"/>
          <w:sz w:val="22"/>
          <w:szCs w:val="22"/>
          <w:u w:val="single"/>
        </w:rPr>
        <w:t>de</w:t>
      </w:r>
      <w:r w:rsidRPr="00B35AA7">
        <w:rPr>
          <w:bCs/>
          <w:color w:val="000000" w:themeColor="text1"/>
          <w:sz w:val="22"/>
          <w:szCs w:val="22"/>
        </w:rPr>
        <w:t xml:space="preserve"> 1,66 </w:t>
      </w:r>
      <w:r w:rsidRPr="00B35AA7">
        <w:rPr>
          <w:bCs/>
          <w:color w:val="000000" w:themeColor="text1"/>
          <w:sz w:val="22"/>
          <w:szCs w:val="22"/>
          <w:u w:val="single"/>
        </w:rPr>
        <w:t>para</w:t>
      </w:r>
      <w:r w:rsidRPr="00B35AA7">
        <w:rPr>
          <w:bCs/>
          <w:color w:val="000000" w:themeColor="text1"/>
          <w:sz w:val="22"/>
          <w:szCs w:val="22"/>
        </w:rPr>
        <w:t xml:space="preserve"> 2,00</w:t>
      </w:r>
      <w:r>
        <w:rPr>
          <w:bCs/>
          <w:color w:val="000000" w:themeColor="text1"/>
          <w:sz w:val="22"/>
          <w:szCs w:val="22"/>
        </w:rPr>
        <w:t>;</w:t>
      </w:r>
      <w:r w:rsidRPr="00B35AA7">
        <w:rPr>
          <w:bCs/>
          <w:color w:val="000000" w:themeColor="text1"/>
          <w:sz w:val="22"/>
          <w:szCs w:val="22"/>
        </w:rPr>
        <w:t xml:space="preserve"> </w:t>
      </w:r>
      <w:r>
        <w:rPr>
          <w:bCs/>
          <w:color w:val="000000" w:themeColor="text1"/>
          <w:sz w:val="22"/>
          <w:szCs w:val="22"/>
        </w:rPr>
        <w:t xml:space="preserve">(2) </w:t>
      </w:r>
      <w:r w:rsidRPr="00B35AA7">
        <w:rPr>
          <w:bCs/>
          <w:color w:val="000000" w:themeColor="text1"/>
          <w:sz w:val="22"/>
          <w:szCs w:val="22"/>
        </w:rPr>
        <w:t xml:space="preserve">a inclusão de prazo de cura de 22 (vinte e dois) Dias Úteis </w:t>
      </w:r>
      <w:r w:rsidRPr="007B2EF8">
        <w:rPr>
          <w:bCs/>
          <w:color w:val="000000" w:themeColor="text1"/>
          <w:sz w:val="22"/>
          <w:szCs w:val="22"/>
        </w:rPr>
        <w:t xml:space="preserve">contados do recebimento da Notificação Descumprimento Índice Mínimo de </w:t>
      </w:r>
      <w:r w:rsidRPr="008D6083">
        <w:rPr>
          <w:bCs/>
          <w:color w:val="000000" w:themeColor="text1"/>
          <w:sz w:val="22"/>
          <w:szCs w:val="22"/>
        </w:rPr>
        <w:t>Garantias (</w:t>
      </w:r>
      <w:r w:rsidRPr="008D6083" w:rsidR="008D6083">
        <w:rPr>
          <w:bCs/>
          <w:color w:val="000000" w:themeColor="text1"/>
          <w:sz w:val="22"/>
          <w:szCs w:val="22"/>
        </w:rPr>
        <w:t xml:space="preserve">conforme </w:t>
      </w:r>
      <w:r w:rsidR="008D6083">
        <w:rPr>
          <w:bCs/>
          <w:color w:val="000000" w:themeColor="text1"/>
          <w:sz w:val="22"/>
          <w:szCs w:val="22"/>
        </w:rPr>
        <w:t xml:space="preserve">descrito no </w:t>
      </w:r>
      <w:r w:rsidRPr="008D6083" w:rsidR="008D6083">
        <w:rPr>
          <w:bCs/>
          <w:color w:val="000000" w:themeColor="text1"/>
          <w:sz w:val="22"/>
          <w:szCs w:val="22"/>
        </w:rPr>
        <w:t>Material de Suporte anexo à Proposta de Administração</w:t>
      </w:r>
      <w:r w:rsidRPr="008D6083">
        <w:rPr>
          <w:bCs/>
          <w:color w:val="000000" w:themeColor="text1"/>
          <w:sz w:val="22"/>
          <w:szCs w:val="22"/>
        </w:rPr>
        <w:t>) para a recomposição do Índice Mínimo</w:t>
      </w:r>
      <w:r w:rsidRPr="00EF0CB9">
        <w:rPr>
          <w:bCs/>
          <w:color w:val="000000" w:themeColor="text1"/>
          <w:sz w:val="22"/>
          <w:szCs w:val="22"/>
        </w:rPr>
        <w:t xml:space="preserve"> de Garantias</w:t>
      </w:r>
      <w:r>
        <w:rPr>
          <w:bCs/>
          <w:color w:val="000000" w:themeColor="text1"/>
          <w:sz w:val="22"/>
          <w:szCs w:val="22"/>
        </w:rPr>
        <w:t xml:space="preserve"> por meio (i) de Amortização Extraordinária Obrigatória no valor necessário para o reenquadramento do Índice Mínimo de Garantias, ou (ii) da constituição de outras garantias aceitas pela Emissora, desde que aprovadas pelos Titulares dos CRI; e (3)</w:t>
      </w:r>
      <w:r w:rsidRPr="00EF0CB9">
        <w:rPr>
          <w:bCs/>
          <w:color w:val="000000" w:themeColor="text1"/>
          <w:sz w:val="22"/>
          <w:szCs w:val="22"/>
        </w:rPr>
        <w:t xml:space="preserve"> </w:t>
      </w:r>
      <w:r w:rsidRPr="004C712A" w:rsidR="00A3166F">
        <w:rPr>
          <w:bCs/>
          <w:sz w:val="22"/>
          <w:szCs w:val="22"/>
        </w:rPr>
        <w:t xml:space="preserve">alterações no vencimento antecipado decorrente </w:t>
      </w:r>
      <w:r w:rsidR="00A3166F">
        <w:rPr>
          <w:bCs/>
          <w:sz w:val="22"/>
          <w:szCs w:val="22"/>
        </w:rPr>
        <w:t>do</w:t>
      </w:r>
      <w:r w:rsidRPr="004C712A" w:rsidR="00A3166F">
        <w:rPr>
          <w:bCs/>
          <w:sz w:val="22"/>
          <w:szCs w:val="22"/>
        </w:rPr>
        <w:t xml:space="preserve"> descumprimento</w:t>
      </w:r>
      <w:r w:rsidR="00A3166F">
        <w:rPr>
          <w:bCs/>
          <w:sz w:val="22"/>
          <w:szCs w:val="22"/>
        </w:rPr>
        <w:t xml:space="preserve"> </w:t>
      </w:r>
      <w:r w:rsidR="002F50F3">
        <w:rPr>
          <w:bCs/>
          <w:sz w:val="22"/>
          <w:szCs w:val="22"/>
        </w:rPr>
        <w:t xml:space="preserve">do </w:t>
      </w:r>
      <w:r w:rsidRPr="008D6083" w:rsidR="002F50F3">
        <w:rPr>
          <w:bCs/>
          <w:color w:val="000000" w:themeColor="text1"/>
          <w:sz w:val="22"/>
          <w:szCs w:val="22"/>
        </w:rPr>
        <w:t>Índice Mínimo</w:t>
      </w:r>
      <w:r w:rsidRPr="00EF0CB9" w:rsidR="002F50F3">
        <w:rPr>
          <w:bCs/>
          <w:color w:val="000000" w:themeColor="text1"/>
          <w:sz w:val="22"/>
          <w:szCs w:val="22"/>
        </w:rPr>
        <w:t xml:space="preserve"> de Garantias</w:t>
      </w:r>
      <w:r w:rsidR="002F50F3">
        <w:rPr>
          <w:bCs/>
          <w:color w:val="000000" w:themeColor="text1"/>
          <w:sz w:val="22"/>
          <w:szCs w:val="22"/>
        </w:rPr>
        <w:t xml:space="preserve"> e/ou do Novo </w:t>
      </w:r>
      <w:r w:rsidRPr="008D6083" w:rsidR="002F50F3">
        <w:rPr>
          <w:bCs/>
          <w:color w:val="000000" w:themeColor="text1"/>
          <w:sz w:val="22"/>
          <w:szCs w:val="22"/>
        </w:rPr>
        <w:t>Índice Mínimo</w:t>
      </w:r>
      <w:r w:rsidRPr="00EF0CB9" w:rsidR="002F50F3">
        <w:rPr>
          <w:bCs/>
          <w:color w:val="000000" w:themeColor="text1"/>
          <w:sz w:val="22"/>
          <w:szCs w:val="22"/>
        </w:rPr>
        <w:t xml:space="preserve"> de Garantias</w:t>
      </w:r>
      <w:r w:rsidR="002F50F3">
        <w:rPr>
          <w:bCs/>
          <w:color w:val="000000" w:themeColor="text1"/>
          <w:sz w:val="22"/>
          <w:szCs w:val="22"/>
        </w:rPr>
        <w:t xml:space="preserve"> </w:t>
      </w:r>
      <w:r>
        <w:rPr>
          <w:bCs/>
          <w:color w:val="000000" w:themeColor="text1"/>
          <w:sz w:val="22"/>
          <w:szCs w:val="22"/>
        </w:rPr>
        <w:t xml:space="preserve">; e </w:t>
      </w:r>
      <w:r w:rsidRPr="00EF0CB9">
        <w:rPr>
          <w:b/>
          <w:bCs/>
          <w:color w:val="000000" w:themeColor="text1"/>
          <w:sz w:val="22"/>
          <w:szCs w:val="22"/>
        </w:rPr>
        <w:t>(b)</w:t>
      </w:r>
      <w:r w:rsidRPr="00EF0CB9">
        <w:rPr>
          <w:color w:val="000000" w:themeColor="text1"/>
          <w:sz w:val="22"/>
          <w:szCs w:val="22"/>
        </w:rPr>
        <w:t xml:space="preserve"> </w:t>
      </w:r>
      <w:r w:rsidRPr="00EF0CB9">
        <w:rPr>
          <w:bCs/>
          <w:color w:val="000000" w:themeColor="text1"/>
          <w:sz w:val="22"/>
          <w:szCs w:val="22"/>
        </w:rPr>
        <w:t xml:space="preserve">a inclusão do Novo Índice Mínimo de Garantias, </w:t>
      </w:r>
      <w:r w:rsidRPr="00ED5D1B" w:rsidR="008D6083">
        <w:rPr>
          <w:bCs/>
          <w:color w:val="000000" w:themeColor="text1"/>
          <w:sz w:val="22"/>
          <w:szCs w:val="22"/>
        </w:rPr>
        <w:t>que passarão</w:t>
      </w:r>
      <w:r w:rsidR="008D6083">
        <w:rPr>
          <w:bCs/>
          <w:color w:val="000000" w:themeColor="text1"/>
          <w:sz w:val="22"/>
          <w:szCs w:val="22"/>
        </w:rPr>
        <w:t xml:space="preserve"> a vigorar</w:t>
      </w:r>
      <w:r w:rsidRPr="00ED5D1B" w:rsidR="008D6083">
        <w:rPr>
          <w:bCs/>
          <w:color w:val="000000" w:themeColor="text1"/>
          <w:sz w:val="22"/>
          <w:szCs w:val="22"/>
        </w:rPr>
        <w:t xml:space="preserve">, em termos gerais, </w:t>
      </w:r>
      <w:r w:rsidR="008D6083">
        <w:rPr>
          <w:bCs/>
          <w:color w:val="000000" w:themeColor="text1"/>
          <w:sz w:val="22"/>
          <w:szCs w:val="22"/>
        </w:rPr>
        <w:t>conforme</w:t>
      </w:r>
      <w:r w:rsidRPr="00ED5D1B" w:rsidR="008D6083">
        <w:rPr>
          <w:bCs/>
          <w:color w:val="000000" w:themeColor="text1"/>
          <w:sz w:val="22"/>
          <w:szCs w:val="22"/>
        </w:rPr>
        <w:t xml:space="preserve"> Material de Suporte anexo à Proposta de Administração</w:t>
      </w:r>
      <w:r w:rsidR="008D6083">
        <w:rPr>
          <w:bCs/>
          <w:color w:val="000000" w:themeColor="text1"/>
          <w:sz w:val="22"/>
          <w:szCs w:val="22"/>
        </w:rPr>
        <w:t>.</w:t>
      </w:r>
    </w:p>
    <w:p w:rsidR="00A87220" w:rsidP="0081398E" w14:paraId="1B0ABD59" w14:textId="77777777">
      <w:pPr>
        <w:pStyle w:val="Default"/>
        <w:spacing w:line="320" w:lineRule="exact"/>
        <w:jc w:val="both"/>
        <w:rPr>
          <w:rFonts w:eastAsia="Calibri"/>
          <w:sz w:val="22"/>
          <w:szCs w:val="22"/>
        </w:rPr>
      </w:pPr>
    </w:p>
    <w:p w:rsidR="00A87220" w:rsidP="0081398E" w14:paraId="0B4AE5C1" w14:textId="395294D4">
      <w:pPr>
        <w:pStyle w:val="Default"/>
        <w:spacing w:line="320" w:lineRule="exact"/>
        <w:jc w:val="both"/>
        <w:rPr>
          <w:b/>
          <w:sz w:val="22"/>
          <w:szCs w:val="22"/>
        </w:rPr>
      </w:pPr>
      <w:r w:rsidRPr="0081398E">
        <w:rPr>
          <w:b/>
          <w:sz w:val="22"/>
          <w:szCs w:val="22"/>
        </w:rPr>
        <w:t>[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p w:rsidR="00A87220" w:rsidP="0081398E" w14:paraId="30246AF3" w14:textId="00C00B00">
      <w:pPr>
        <w:pStyle w:val="Default"/>
        <w:spacing w:line="320" w:lineRule="exact"/>
        <w:jc w:val="both"/>
        <w:rPr>
          <w:b/>
          <w:sz w:val="22"/>
          <w:szCs w:val="22"/>
        </w:rPr>
      </w:pPr>
    </w:p>
    <w:p w:rsidR="00A87220" w:rsidRPr="007E74AD" w:rsidP="007E74AD" w14:paraId="6272ACDB" w14:textId="789C96DB">
      <w:pPr>
        <w:pStyle w:val="Default"/>
        <w:numPr>
          <w:ilvl w:val="0"/>
          <w:numId w:val="5"/>
        </w:numPr>
        <w:spacing w:line="320" w:lineRule="exact"/>
        <w:ind w:left="0" w:firstLine="0"/>
        <w:jc w:val="both"/>
        <w:rPr>
          <w:rFonts w:eastAsia="Calibri"/>
          <w:sz w:val="22"/>
          <w:szCs w:val="22"/>
        </w:rPr>
      </w:pPr>
      <w:r>
        <w:rPr>
          <w:color w:val="000000" w:themeColor="text1"/>
          <w:sz w:val="22"/>
          <w:szCs w:val="22"/>
        </w:rPr>
        <w:t xml:space="preserve">Anuência prévia para </w:t>
      </w:r>
      <w:r w:rsidRPr="00EF0CB9">
        <w:rPr>
          <w:bCs/>
          <w:color w:val="000000" w:themeColor="text1"/>
          <w:sz w:val="22"/>
          <w:szCs w:val="22"/>
        </w:rPr>
        <w:t xml:space="preserve">a </w:t>
      </w:r>
      <w:r>
        <w:rPr>
          <w:bCs/>
          <w:color w:val="000000" w:themeColor="text1"/>
          <w:sz w:val="22"/>
          <w:szCs w:val="22"/>
        </w:rPr>
        <w:t xml:space="preserve">alteração </w:t>
      </w:r>
      <w:r w:rsidRPr="007B2EF8">
        <w:rPr>
          <w:b/>
          <w:color w:val="000000" w:themeColor="text1"/>
          <w:sz w:val="22"/>
          <w:szCs w:val="22"/>
        </w:rPr>
        <w:t>(a)</w:t>
      </w:r>
      <w:r>
        <w:rPr>
          <w:bCs/>
          <w:color w:val="000000" w:themeColor="text1"/>
          <w:sz w:val="22"/>
          <w:szCs w:val="22"/>
        </w:rPr>
        <w:t xml:space="preserve"> do termo definido “Documentos da Operação” constante do </w:t>
      </w:r>
      <w:r w:rsidRPr="007B2EF8">
        <w:rPr>
          <w:bCs/>
          <w:color w:val="000000" w:themeColor="text1"/>
          <w:sz w:val="22"/>
          <w:szCs w:val="22"/>
        </w:rPr>
        <w:t xml:space="preserve">Contrato de Alienação Fiduciária de Ações e Quotas </w:t>
      </w:r>
      <w:r w:rsidR="007E74AD">
        <w:rPr>
          <w:bCs/>
          <w:color w:val="000000" w:themeColor="text1"/>
          <w:sz w:val="22"/>
          <w:szCs w:val="22"/>
        </w:rPr>
        <w:t xml:space="preserve">(conforme definido abaixo) </w:t>
      </w:r>
      <w:r w:rsidRPr="007B2EF8">
        <w:rPr>
          <w:bCs/>
          <w:color w:val="000000" w:themeColor="text1"/>
          <w:sz w:val="22"/>
          <w:szCs w:val="22"/>
        </w:rPr>
        <w:t xml:space="preserve">para refletir </w:t>
      </w:r>
      <w:r w:rsidRPr="00481264">
        <w:rPr>
          <w:bCs/>
          <w:color w:val="000000" w:themeColor="text1"/>
          <w:sz w:val="22"/>
          <w:szCs w:val="22"/>
        </w:rPr>
        <w:t>a Baixa das Hipotecas e a constituição da Alienação Fiduciária de Imóveis</w:t>
      </w:r>
      <w:r w:rsidRPr="007B2EF8">
        <w:rPr>
          <w:bCs/>
          <w:color w:val="000000" w:themeColor="text1"/>
          <w:sz w:val="22"/>
          <w:szCs w:val="22"/>
        </w:rPr>
        <w:t xml:space="preserve">; e </w:t>
      </w:r>
      <w:r w:rsidRPr="007B2EF8">
        <w:rPr>
          <w:b/>
          <w:color w:val="000000" w:themeColor="text1"/>
          <w:sz w:val="22"/>
          <w:szCs w:val="22"/>
        </w:rPr>
        <w:t>(b)</w:t>
      </w:r>
      <w:r w:rsidRPr="00481264">
        <w:rPr>
          <w:bCs/>
          <w:color w:val="000000" w:themeColor="text1"/>
          <w:sz w:val="22"/>
          <w:szCs w:val="22"/>
        </w:rPr>
        <w:t xml:space="preserve"> da </w:t>
      </w:r>
      <w:r>
        <w:rPr>
          <w:bCs/>
          <w:color w:val="000000" w:themeColor="text1"/>
          <w:sz w:val="22"/>
          <w:szCs w:val="22"/>
        </w:rPr>
        <w:t>o</w:t>
      </w:r>
      <w:r w:rsidRPr="00481264">
        <w:rPr>
          <w:bCs/>
          <w:color w:val="000000" w:themeColor="text1"/>
          <w:sz w:val="22"/>
          <w:szCs w:val="22"/>
        </w:rPr>
        <w:t xml:space="preserve">brigação prevista na Cláusula 7.2, item “(xvi)” </w:t>
      </w:r>
      <w:r w:rsidRPr="008D6083">
        <w:rPr>
          <w:bCs/>
          <w:color w:val="000000" w:themeColor="text1"/>
          <w:sz w:val="22"/>
          <w:szCs w:val="22"/>
        </w:rPr>
        <w:t xml:space="preserve">do Contrato de Alienação Fiduciária de Ações e Quotas, para prever a inclusão do Novo Índice Mínimo de Garantia, </w:t>
      </w:r>
      <w:r w:rsidR="00B10158">
        <w:rPr>
          <w:bCs/>
          <w:color w:val="000000" w:themeColor="text1"/>
          <w:sz w:val="22"/>
          <w:szCs w:val="22"/>
        </w:rPr>
        <w:t>conforme</w:t>
      </w:r>
      <w:r w:rsidRPr="00ED5D1B" w:rsidR="00B10158">
        <w:rPr>
          <w:bCs/>
          <w:color w:val="000000" w:themeColor="text1"/>
          <w:sz w:val="22"/>
          <w:szCs w:val="22"/>
        </w:rPr>
        <w:t xml:space="preserve"> </w:t>
      </w:r>
      <w:r w:rsidR="00B10158">
        <w:rPr>
          <w:bCs/>
          <w:color w:val="000000" w:themeColor="text1"/>
          <w:sz w:val="22"/>
          <w:szCs w:val="22"/>
        </w:rPr>
        <w:t xml:space="preserve">termos gerais constantes do </w:t>
      </w:r>
      <w:r w:rsidRPr="00ED5D1B" w:rsidR="00B10158">
        <w:rPr>
          <w:bCs/>
          <w:color w:val="000000" w:themeColor="text1"/>
          <w:sz w:val="22"/>
          <w:szCs w:val="22"/>
        </w:rPr>
        <w:t>Material de Suporte anexo à Proposta de Administração</w:t>
      </w:r>
      <w:r w:rsidRPr="008D6083">
        <w:rPr>
          <w:bCs/>
          <w:color w:val="000000" w:themeColor="text1"/>
          <w:sz w:val="22"/>
          <w:szCs w:val="22"/>
        </w:rPr>
        <w:t>.</w:t>
      </w:r>
    </w:p>
    <w:p w:rsidR="00A87220" w:rsidP="007E74AD" w14:paraId="2F2AC4EC" w14:textId="77777777">
      <w:pPr>
        <w:pStyle w:val="Default"/>
        <w:spacing w:line="320" w:lineRule="exact"/>
        <w:jc w:val="both"/>
        <w:rPr>
          <w:b/>
          <w:sz w:val="22"/>
          <w:szCs w:val="22"/>
        </w:rPr>
      </w:pPr>
    </w:p>
    <w:p w:rsidR="00A87220" w:rsidP="007E74AD" w14:paraId="57FA32A2" w14:textId="6554AE02">
      <w:pPr>
        <w:pStyle w:val="Default"/>
        <w:spacing w:line="320" w:lineRule="exact"/>
        <w:jc w:val="both"/>
        <w:rPr>
          <w:b/>
          <w:sz w:val="22"/>
          <w:szCs w:val="22"/>
        </w:rPr>
      </w:pPr>
      <w:r w:rsidRPr="0081398E">
        <w:rPr>
          <w:b/>
          <w:sz w:val="22"/>
          <w:szCs w:val="22"/>
        </w:rPr>
        <w:t>[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p w:rsidR="00A87220" w:rsidP="007E74AD" w14:paraId="7CA46075" w14:textId="4700F4ED">
      <w:pPr>
        <w:pStyle w:val="Default"/>
        <w:spacing w:line="320" w:lineRule="exact"/>
        <w:jc w:val="both"/>
        <w:rPr>
          <w:b/>
          <w:sz w:val="22"/>
          <w:szCs w:val="22"/>
        </w:rPr>
      </w:pPr>
    </w:p>
    <w:p w:rsidR="00A87220" w:rsidRPr="007E74AD" w:rsidP="00A87220" w14:paraId="0AC0FA73" w14:textId="699D6946">
      <w:pPr>
        <w:pStyle w:val="Default"/>
        <w:numPr>
          <w:ilvl w:val="0"/>
          <w:numId w:val="5"/>
        </w:numPr>
        <w:spacing w:line="320" w:lineRule="exact"/>
        <w:ind w:left="0" w:firstLine="0"/>
        <w:jc w:val="both"/>
        <w:rPr>
          <w:rFonts w:eastAsia="Calibri"/>
          <w:sz w:val="22"/>
          <w:szCs w:val="22"/>
        </w:rPr>
      </w:pPr>
      <w:r>
        <w:rPr>
          <w:color w:val="000000" w:themeColor="text1"/>
          <w:sz w:val="22"/>
          <w:szCs w:val="22"/>
        </w:rPr>
        <w:t xml:space="preserve">Anuência prévia para </w:t>
      </w:r>
      <w:r w:rsidRPr="00FB4A37">
        <w:rPr>
          <w:bCs/>
          <w:color w:val="000000" w:themeColor="text1"/>
          <w:sz w:val="22"/>
          <w:szCs w:val="22"/>
        </w:rPr>
        <w:t xml:space="preserve">a alteração do termo definido “Documentos da Operação” constante do </w:t>
      </w:r>
      <w:r w:rsidRPr="007B2EF8">
        <w:rPr>
          <w:bCs/>
          <w:color w:val="000000" w:themeColor="text1"/>
          <w:sz w:val="22"/>
          <w:szCs w:val="22"/>
        </w:rPr>
        <w:t xml:space="preserve">Contrato de Cessão Fiduciária </w:t>
      </w:r>
      <w:r w:rsidR="007E74AD">
        <w:rPr>
          <w:bCs/>
          <w:color w:val="000000" w:themeColor="text1"/>
          <w:sz w:val="22"/>
          <w:szCs w:val="22"/>
        </w:rPr>
        <w:t xml:space="preserve">(conforme definido abaixo) </w:t>
      </w:r>
      <w:r w:rsidRPr="007B2EF8">
        <w:rPr>
          <w:bCs/>
          <w:color w:val="000000" w:themeColor="text1"/>
          <w:sz w:val="22"/>
          <w:szCs w:val="22"/>
        </w:rPr>
        <w:t xml:space="preserve">para refletir </w:t>
      </w:r>
      <w:r w:rsidRPr="00FB4A37">
        <w:rPr>
          <w:bCs/>
          <w:color w:val="000000" w:themeColor="text1"/>
          <w:sz w:val="22"/>
          <w:szCs w:val="22"/>
        </w:rPr>
        <w:t xml:space="preserve">a Baixa das Hipotecas e a constituição da Alienação Fiduciária de Imóveis, </w:t>
      </w:r>
      <w:r w:rsidR="00B10158">
        <w:rPr>
          <w:bCs/>
          <w:color w:val="000000" w:themeColor="text1"/>
          <w:sz w:val="22"/>
          <w:szCs w:val="22"/>
        </w:rPr>
        <w:t>conforme</w:t>
      </w:r>
      <w:r w:rsidRPr="00ED5D1B" w:rsidR="00B10158">
        <w:rPr>
          <w:bCs/>
          <w:color w:val="000000" w:themeColor="text1"/>
          <w:sz w:val="22"/>
          <w:szCs w:val="22"/>
        </w:rPr>
        <w:t xml:space="preserve"> </w:t>
      </w:r>
      <w:r w:rsidR="00B10158">
        <w:rPr>
          <w:bCs/>
          <w:color w:val="000000" w:themeColor="text1"/>
          <w:sz w:val="22"/>
          <w:szCs w:val="22"/>
        </w:rPr>
        <w:t xml:space="preserve">termos gerais constantes do </w:t>
      </w:r>
      <w:r w:rsidRPr="00ED5D1B" w:rsidR="00B10158">
        <w:rPr>
          <w:bCs/>
          <w:color w:val="000000" w:themeColor="text1"/>
          <w:sz w:val="22"/>
          <w:szCs w:val="22"/>
        </w:rPr>
        <w:t>Material de Suporte anexo à Proposta de Administração</w:t>
      </w:r>
      <w:r>
        <w:rPr>
          <w:bCs/>
          <w:color w:val="000000" w:themeColor="text1"/>
          <w:sz w:val="22"/>
          <w:szCs w:val="22"/>
        </w:rPr>
        <w:t>.</w:t>
      </w:r>
    </w:p>
    <w:p w:rsidR="00A87220" w:rsidP="007E74AD" w14:paraId="6DE6790D" w14:textId="6E38BAD4">
      <w:pPr>
        <w:pStyle w:val="Default"/>
        <w:spacing w:line="320" w:lineRule="exact"/>
        <w:jc w:val="both"/>
        <w:rPr>
          <w:bCs/>
          <w:color w:val="000000" w:themeColor="text1"/>
          <w:sz w:val="22"/>
          <w:szCs w:val="22"/>
        </w:rPr>
      </w:pPr>
    </w:p>
    <w:p w:rsidR="00A87220" w:rsidP="007E74AD" w14:paraId="373B167E" w14:textId="77777777">
      <w:pPr>
        <w:pStyle w:val="Default"/>
        <w:spacing w:line="320" w:lineRule="exact"/>
        <w:jc w:val="both"/>
        <w:rPr>
          <w:b/>
          <w:sz w:val="22"/>
          <w:szCs w:val="22"/>
        </w:rPr>
      </w:pPr>
      <w:bookmarkStart w:id="8" w:name="_Hlk116664867"/>
      <w:r w:rsidRPr="0081398E">
        <w:rPr>
          <w:b/>
          <w:sz w:val="22"/>
          <w:szCs w:val="22"/>
        </w:rPr>
        <w:t>[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p w:rsidR="00A87220" w:rsidRPr="007E74AD" w:rsidP="007E74AD" w14:paraId="1164405E" w14:textId="77777777">
      <w:pPr>
        <w:pStyle w:val="Default"/>
        <w:spacing w:line="320" w:lineRule="exact"/>
        <w:jc w:val="both"/>
        <w:rPr>
          <w:rFonts w:eastAsia="Calibri"/>
          <w:sz w:val="22"/>
          <w:szCs w:val="22"/>
        </w:rPr>
      </w:pPr>
      <w:bookmarkEnd w:id="8"/>
    </w:p>
    <w:p w:rsidR="00A87220" w:rsidRPr="00A64254" w:rsidP="00A87220" w14:paraId="36B8F2A0" w14:textId="44AC18F6">
      <w:pPr>
        <w:pStyle w:val="Default"/>
        <w:numPr>
          <w:ilvl w:val="0"/>
          <w:numId w:val="5"/>
        </w:numPr>
        <w:spacing w:line="320" w:lineRule="exact"/>
        <w:ind w:left="0" w:firstLine="0"/>
        <w:jc w:val="both"/>
        <w:rPr>
          <w:rFonts w:eastAsia="Calibri"/>
          <w:sz w:val="22"/>
          <w:szCs w:val="22"/>
        </w:rPr>
      </w:pPr>
      <w:r w:rsidRPr="008D6083">
        <w:rPr>
          <w:color w:val="000000" w:themeColor="text1"/>
          <w:sz w:val="22"/>
          <w:szCs w:val="22"/>
        </w:rPr>
        <w:t xml:space="preserve">Anuência prévia para </w:t>
      </w:r>
      <w:r w:rsidRPr="008D6083">
        <w:rPr>
          <w:bCs/>
          <w:color w:val="000000" w:themeColor="text1"/>
          <w:sz w:val="22"/>
          <w:szCs w:val="22"/>
        </w:rPr>
        <w:t xml:space="preserve">a alteração do termo definido “Hipotecas” constante do Instrumento de Emissão de CCI </w:t>
      </w:r>
      <w:r w:rsidRPr="008D6083" w:rsidR="007E74AD">
        <w:rPr>
          <w:bCs/>
          <w:color w:val="000000" w:themeColor="text1"/>
          <w:sz w:val="22"/>
          <w:szCs w:val="22"/>
        </w:rPr>
        <w:t xml:space="preserve">(conforme definido abaixo) </w:t>
      </w:r>
      <w:r w:rsidRPr="008D6083">
        <w:rPr>
          <w:bCs/>
          <w:color w:val="000000" w:themeColor="text1"/>
          <w:sz w:val="22"/>
          <w:szCs w:val="22"/>
        </w:rPr>
        <w:t xml:space="preserve">para refletir a Baixa das Hipotecas e a constituição da Alienação Fiduciária de Imóveis, </w:t>
      </w:r>
      <w:r w:rsidR="00B10158">
        <w:rPr>
          <w:bCs/>
          <w:color w:val="000000" w:themeColor="text1"/>
          <w:sz w:val="22"/>
          <w:szCs w:val="22"/>
        </w:rPr>
        <w:t>conforme</w:t>
      </w:r>
      <w:r w:rsidRPr="00ED5D1B" w:rsidR="00B10158">
        <w:rPr>
          <w:bCs/>
          <w:color w:val="000000" w:themeColor="text1"/>
          <w:sz w:val="22"/>
          <w:szCs w:val="22"/>
        </w:rPr>
        <w:t xml:space="preserve"> </w:t>
      </w:r>
      <w:r w:rsidR="00B10158">
        <w:rPr>
          <w:bCs/>
          <w:color w:val="000000" w:themeColor="text1"/>
          <w:sz w:val="22"/>
          <w:szCs w:val="22"/>
        </w:rPr>
        <w:t xml:space="preserve">termos gerais constantes do </w:t>
      </w:r>
      <w:r w:rsidRPr="00ED5D1B" w:rsidR="00B10158">
        <w:rPr>
          <w:bCs/>
          <w:color w:val="000000" w:themeColor="text1"/>
          <w:sz w:val="22"/>
          <w:szCs w:val="22"/>
        </w:rPr>
        <w:t>Material de Suporte anexo à Proposta de Administração</w:t>
      </w:r>
      <w:r w:rsidRPr="008D6083">
        <w:rPr>
          <w:bCs/>
          <w:color w:val="000000" w:themeColor="text1"/>
          <w:sz w:val="22"/>
          <w:szCs w:val="22"/>
        </w:rPr>
        <w:t>.</w:t>
      </w:r>
    </w:p>
    <w:p w:rsidR="00D2758A" w:rsidP="00A64254" w14:paraId="194661CC" w14:textId="074FBCD4">
      <w:pPr>
        <w:pStyle w:val="Default"/>
        <w:spacing w:line="320" w:lineRule="exact"/>
        <w:jc w:val="both"/>
        <w:rPr>
          <w:bCs/>
          <w:color w:val="000000" w:themeColor="text1"/>
          <w:sz w:val="22"/>
          <w:szCs w:val="22"/>
        </w:rPr>
      </w:pPr>
    </w:p>
    <w:p w:rsidR="00D2758A" w:rsidRPr="007E74AD" w:rsidP="00D2758A" w14:paraId="6D6323EB" w14:textId="77777777">
      <w:pPr>
        <w:pStyle w:val="Default"/>
        <w:spacing w:line="320" w:lineRule="exact"/>
        <w:jc w:val="both"/>
        <w:rPr>
          <w:rFonts w:eastAsia="Calibri"/>
          <w:b/>
          <w:bCs/>
          <w:sz w:val="22"/>
          <w:szCs w:val="22"/>
        </w:rPr>
      </w:pPr>
      <w:r w:rsidRPr="007E74AD">
        <w:rPr>
          <w:rFonts w:eastAsia="Calibri"/>
          <w:b/>
          <w:bCs/>
          <w:sz w:val="22"/>
          <w:szCs w:val="22"/>
        </w:rPr>
        <w:t>[   ] Aprovar</w:t>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t>[   ] Rejeitar</w:t>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t>[   ] Abster-se</w:t>
      </w:r>
    </w:p>
    <w:p w:rsidR="00AC0858" w:rsidRPr="00A64254" w:rsidP="00A64254" w14:paraId="3ECFFF54" w14:textId="77777777">
      <w:pPr>
        <w:pStyle w:val="Default"/>
        <w:spacing w:line="320" w:lineRule="exact"/>
        <w:jc w:val="both"/>
        <w:rPr>
          <w:rFonts w:eastAsia="Calibri"/>
          <w:sz w:val="22"/>
          <w:szCs w:val="22"/>
        </w:rPr>
      </w:pPr>
    </w:p>
    <w:p w:rsidR="00AC0858" w:rsidRPr="00A64254" w:rsidP="00A87220" w14:paraId="73EEA058" w14:textId="4424E217">
      <w:pPr>
        <w:pStyle w:val="Default"/>
        <w:numPr>
          <w:ilvl w:val="0"/>
          <w:numId w:val="5"/>
        </w:numPr>
        <w:spacing w:line="320" w:lineRule="exact"/>
        <w:ind w:left="0" w:firstLine="0"/>
        <w:jc w:val="both"/>
        <w:rPr>
          <w:rFonts w:eastAsia="Calibri"/>
          <w:sz w:val="22"/>
          <w:szCs w:val="22"/>
        </w:rPr>
      </w:pPr>
      <w:r>
        <w:rPr>
          <w:color w:val="000000" w:themeColor="text1"/>
          <w:sz w:val="22"/>
          <w:szCs w:val="22"/>
        </w:rPr>
        <w:t xml:space="preserve">Anuência prévia para </w:t>
      </w:r>
      <w:r w:rsidR="00D2758A">
        <w:rPr>
          <w:bCs/>
          <w:color w:val="000000" w:themeColor="text1"/>
          <w:sz w:val="22"/>
          <w:szCs w:val="22"/>
        </w:rPr>
        <w:t>a celebração de aditamento à</w:t>
      </w:r>
      <w:r>
        <w:rPr>
          <w:bCs/>
          <w:color w:val="000000" w:themeColor="text1"/>
          <w:sz w:val="22"/>
          <w:szCs w:val="22"/>
        </w:rPr>
        <w:t xml:space="preserve"> </w:t>
      </w:r>
      <w:r w:rsidR="00D2758A">
        <w:rPr>
          <w:bCs/>
          <w:color w:val="000000" w:themeColor="text1"/>
          <w:sz w:val="22"/>
          <w:szCs w:val="22"/>
        </w:rPr>
        <w:t>“</w:t>
      </w:r>
      <w:r w:rsidRPr="00A64254">
        <w:rPr>
          <w:bCs/>
          <w:i/>
          <w:iCs/>
          <w:color w:val="000000" w:themeColor="text1"/>
          <w:sz w:val="22"/>
          <w:szCs w:val="22"/>
        </w:rPr>
        <w:t xml:space="preserve">Escritura </w:t>
      </w:r>
      <w:r w:rsidRPr="00A64254" w:rsidR="00D2758A">
        <w:rPr>
          <w:bCs/>
          <w:i/>
          <w:iCs/>
          <w:color w:val="000000" w:themeColor="text1"/>
          <w:sz w:val="22"/>
          <w:szCs w:val="22"/>
        </w:rPr>
        <w:t>Pública de Hipoteca</w:t>
      </w:r>
      <w:r w:rsidR="00D2758A">
        <w:rPr>
          <w:bCs/>
          <w:color w:val="000000" w:themeColor="text1"/>
          <w:sz w:val="22"/>
          <w:szCs w:val="22"/>
        </w:rPr>
        <w:t>” datada de 17 de setembro de 2020, celebrada entre a Novum, na qualidade de outorgante devedora, a Emissora, na qualidade de outorgada credora, a Gafisa SPE-128 Empreendimentos Imobiliários Ltda</w:t>
      </w:r>
      <w:r w:rsidR="00A64254">
        <w:rPr>
          <w:bCs/>
          <w:color w:val="000000" w:themeColor="text1"/>
          <w:sz w:val="22"/>
          <w:szCs w:val="22"/>
        </w:rPr>
        <w:t>.</w:t>
      </w:r>
      <w:r w:rsidR="00D2758A">
        <w:rPr>
          <w:bCs/>
          <w:color w:val="000000" w:themeColor="text1"/>
          <w:sz w:val="22"/>
          <w:szCs w:val="22"/>
        </w:rPr>
        <w:t>, na qualidade de hipotecante, e a Fiadora e o Agente Fiduciário na qualidade de intervenientes anuentes (“</w:t>
      </w:r>
      <w:r w:rsidRPr="00A64254" w:rsidR="00D2758A">
        <w:rPr>
          <w:bCs/>
          <w:color w:val="000000" w:themeColor="text1"/>
          <w:sz w:val="22"/>
          <w:szCs w:val="22"/>
          <w:u w:val="single"/>
        </w:rPr>
        <w:t>Escritura de Hipoteca Belvedere Lorian</w:t>
      </w:r>
      <w:r w:rsidR="00D2758A">
        <w:rPr>
          <w:bCs/>
          <w:color w:val="000000" w:themeColor="text1"/>
          <w:sz w:val="22"/>
          <w:szCs w:val="22"/>
        </w:rPr>
        <w:t>”),</w:t>
      </w:r>
      <w:r>
        <w:rPr>
          <w:bCs/>
          <w:color w:val="000000" w:themeColor="text1"/>
          <w:sz w:val="22"/>
          <w:szCs w:val="22"/>
        </w:rPr>
        <w:t xml:space="preserve"> </w:t>
      </w:r>
      <w:r w:rsidRPr="007B2EF8">
        <w:rPr>
          <w:bCs/>
          <w:color w:val="000000" w:themeColor="text1"/>
          <w:sz w:val="22"/>
          <w:szCs w:val="22"/>
        </w:rPr>
        <w:t xml:space="preserve">para </w:t>
      </w:r>
      <w:r w:rsidR="00D2758A">
        <w:rPr>
          <w:color w:val="000000" w:themeColor="text1"/>
          <w:sz w:val="22"/>
          <w:szCs w:val="22"/>
        </w:rPr>
        <w:t xml:space="preserve">(i) </w:t>
      </w:r>
      <w:r w:rsidRPr="00FB4A37" w:rsidR="00D2758A">
        <w:rPr>
          <w:bCs/>
          <w:color w:val="000000" w:themeColor="text1"/>
          <w:sz w:val="22"/>
          <w:szCs w:val="22"/>
        </w:rPr>
        <w:t>a alteração do termo definido “Documentos da Operação” constante d</w:t>
      </w:r>
      <w:r w:rsidR="002F50F3">
        <w:rPr>
          <w:bCs/>
          <w:color w:val="000000" w:themeColor="text1"/>
          <w:sz w:val="22"/>
          <w:szCs w:val="22"/>
        </w:rPr>
        <w:t xml:space="preserve">a Escritura de Hipoteca Belvedere Lorian; (ii) a atualização das hipóteses de vencimento antecipado da Escritura de Emissão previstas na Escritura de Hipoteca Belvedere Lorian, e (iii) </w:t>
      </w:r>
      <w:r w:rsidR="00A64254">
        <w:rPr>
          <w:bCs/>
          <w:color w:val="000000" w:themeColor="text1"/>
          <w:sz w:val="22"/>
          <w:szCs w:val="22"/>
        </w:rPr>
        <w:t xml:space="preserve">refletir as </w:t>
      </w:r>
      <w:r w:rsidR="002F50F3">
        <w:rPr>
          <w:bCs/>
          <w:color w:val="000000" w:themeColor="text1"/>
          <w:sz w:val="22"/>
          <w:szCs w:val="22"/>
        </w:rPr>
        <w:t>demais alterações eventualmente necessárias</w:t>
      </w:r>
      <w:r w:rsidRPr="00FB4A37">
        <w:rPr>
          <w:bCs/>
          <w:color w:val="000000" w:themeColor="text1"/>
          <w:sz w:val="22"/>
          <w:szCs w:val="22"/>
        </w:rPr>
        <w:t xml:space="preserve"> </w:t>
      </w:r>
      <w:r>
        <w:rPr>
          <w:bCs/>
          <w:color w:val="000000" w:themeColor="text1"/>
          <w:sz w:val="22"/>
          <w:szCs w:val="22"/>
        </w:rPr>
        <w:t>conforme</w:t>
      </w:r>
      <w:r w:rsidRPr="00ED5D1B">
        <w:rPr>
          <w:bCs/>
          <w:color w:val="000000" w:themeColor="text1"/>
          <w:sz w:val="22"/>
          <w:szCs w:val="22"/>
        </w:rPr>
        <w:t xml:space="preserve"> </w:t>
      </w:r>
      <w:r>
        <w:rPr>
          <w:bCs/>
          <w:color w:val="000000" w:themeColor="text1"/>
          <w:sz w:val="22"/>
          <w:szCs w:val="22"/>
        </w:rPr>
        <w:t xml:space="preserve">termos gerais constantes do </w:t>
      </w:r>
      <w:r w:rsidRPr="00ED5D1B">
        <w:rPr>
          <w:bCs/>
          <w:color w:val="000000" w:themeColor="text1"/>
          <w:sz w:val="22"/>
          <w:szCs w:val="22"/>
        </w:rPr>
        <w:t>Material de Suporte anexo à Proposta de Administração</w:t>
      </w:r>
      <w:r w:rsidRPr="008D6083">
        <w:rPr>
          <w:bCs/>
          <w:color w:val="000000" w:themeColor="text1"/>
          <w:sz w:val="22"/>
          <w:szCs w:val="22"/>
        </w:rPr>
        <w:t>.</w:t>
      </w:r>
    </w:p>
    <w:p w:rsidR="00D2758A" w:rsidP="00A64254" w14:paraId="7CBBE610" w14:textId="471BA497">
      <w:pPr>
        <w:pStyle w:val="Default"/>
        <w:spacing w:line="320" w:lineRule="exact"/>
        <w:jc w:val="both"/>
        <w:rPr>
          <w:bCs/>
          <w:color w:val="000000" w:themeColor="text1"/>
          <w:sz w:val="22"/>
          <w:szCs w:val="22"/>
        </w:rPr>
      </w:pPr>
    </w:p>
    <w:p w:rsidR="00D2758A" w:rsidRPr="00A64254" w:rsidP="00A64254" w14:paraId="0A85FF90" w14:textId="5236451F">
      <w:pPr>
        <w:pStyle w:val="Default"/>
        <w:spacing w:line="320" w:lineRule="exact"/>
        <w:jc w:val="both"/>
        <w:rPr>
          <w:rFonts w:eastAsia="Calibri"/>
          <w:sz w:val="22"/>
          <w:szCs w:val="22"/>
        </w:rPr>
      </w:pPr>
      <w:r w:rsidRPr="007E74AD">
        <w:rPr>
          <w:rFonts w:eastAsia="Calibri"/>
          <w:b/>
          <w:bCs/>
          <w:sz w:val="22"/>
          <w:szCs w:val="22"/>
        </w:rPr>
        <w:t>[   ] Aprovar</w:t>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t>[   ] Rejeitar</w:t>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t>[   ] Abster-se</w:t>
      </w:r>
    </w:p>
    <w:p w:rsidR="00D2758A" w:rsidRPr="00A64254" w:rsidP="00A64254" w14:paraId="27272631" w14:textId="77777777">
      <w:pPr>
        <w:pStyle w:val="Default"/>
        <w:spacing w:line="320" w:lineRule="exact"/>
        <w:jc w:val="both"/>
        <w:rPr>
          <w:rFonts w:eastAsia="Calibri"/>
          <w:sz w:val="22"/>
          <w:szCs w:val="22"/>
        </w:rPr>
      </w:pPr>
    </w:p>
    <w:p w:rsidR="00D2758A" w:rsidRPr="008D6083" w:rsidP="00D2758A" w14:paraId="2DB7FF95" w14:textId="74C3CAA3">
      <w:pPr>
        <w:pStyle w:val="Default"/>
        <w:numPr>
          <w:ilvl w:val="0"/>
          <w:numId w:val="5"/>
        </w:numPr>
        <w:spacing w:line="320" w:lineRule="exact"/>
        <w:ind w:left="0" w:firstLine="0"/>
        <w:jc w:val="both"/>
        <w:rPr>
          <w:rFonts w:eastAsia="Calibri"/>
          <w:sz w:val="22"/>
          <w:szCs w:val="22"/>
        </w:rPr>
      </w:pPr>
      <w:r>
        <w:rPr>
          <w:color w:val="000000" w:themeColor="text1"/>
          <w:sz w:val="22"/>
          <w:szCs w:val="22"/>
        </w:rPr>
        <w:t xml:space="preserve">Anuência prévia para </w:t>
      </w:r>
      <w:r>
        <w:rPr>
          <w:bCs/>
          <w:color w:val="000000" w:themeColor="text1"/>
          <w:sz w:val="22"/>
          <w:szCs w:val="22"/>
        </w:rPr>
        <w:t>a celebração de aditamento à “</w:t>
      </w:r>
      <w:r w:rsidRPr="00F41633">
        <w:rPr>
          <w:bCs/>
          <w:i/>
          <w:iCs/>
          <w:color w:val="000000" w:themeColor="text1"/>
          <w:sz w:val="22"/>
          <w:szCs w:val="22"/>
        </w:rPr>
        <w:t>Escritura Pública de Hipoteca</w:t>
      </w:r>
      <w:r>
        <w:rPr>
          <w:bCs/>
          <w:color w:val="000000" w:themeColor="text1"/>
          <w:sz w:val="22"/>
          <w:szCs w:val="22"/>
        </w:rPr>
        <w:t xml:space="preserve">” datada de 17 de setembro de 2020, celebrada entre a Novum, na qualidade de outorgante devedora, a Emissora, na qualidade de outorgada credora, a SPE-Parque Ecoville – Empreendimentos Imobiliarios </w:t>
      </w:r>
      <w:r w:rsidR="00CC66A9">
        <w:rPr>
          <w:bCs/>
          <w:color w:val="000000" w:themeColor="text1"/>
          <w:sz w:val="22"/>
          <w:szCs w:val="22"/>
        </w:rPr>
        <w:t>Ltda</w:t>
      </w:r>
      <w:r>
        <w:rPr>
          <w:bCs/>
          <w:color w:val="000000" w:themeColor="text1"/>
          <w:sz w:val="22"/>
          <w:szCs w:val="22"/>
        </w:rPr>
        <w:t>., na qualidade de hipotecante, e a Fiadora e o Agente Fiduciário na qualidade de intervenientes anuentes (“</w:t>
      </w:r>
      <w:r w:rsidRPr="00F41633">
        <w:rPr>
          <w:bCs/>
          <w:color w:val="000000" w:themeColor="text1"/>
          <w:sz w:val="22"/>
          <w:szCs w:val="22"/>
          <w:u w:val="single"/>
        </w:rPr>
        <w:t xml:space="preserve">Escritura de Hipoteca </w:t>
      </w:r>
      <w:r>
        <w:rPr>
          <w:bCs/>
          <w:color w:val="000000" w:themeColor="text1"/>
          <w:sz w:val="22"/>
          <w:szCs w:val="22"/>
          <w:u w:val="single"/>
        </w:rPr>
        <w:t>SPE Parque Ecoville</w:t>
      </w:r>
      <w:r>
        <w:rPr>
          <w:bCs/>
          <w:color w:val="000000" w:themeColor="text1"/>
          <w:sz w:val="22"/>
          <w:szCs w:val="22"/>
        </w:rPr>
        <w:t xml:space="preserve">”), </w:t>
      </w:r>
      <w:r w:rsidRPr="007B2EF8">
        <w:rPr>
          <w:bCs/>
          <w:color w:val="000000" w:themeColor="text1"/>
          <w:sz w:val="22"/>
          <w:szCs w:val="22"/>
        </w:rPr>
        <w:t xml:space="preserve">para </w:t>
      </w:r>
      <w:r>
        <w:rPr>
          <w:color w:val="000000" w:themeColor="text1"/>
          <w:sz w:val="22"/>
          <w:szCs w:val="22"/>
        </w:rPr>
        <w:t xml:space="preserve">(i) </w:t>
      </w:r>
      <w:r w:rsidRPr="00FB4A37">
        <w:rPr>
          <w:bCs/>
          <w:color w:val="000000" w:themeColor="text1"/>
          <w:sz w:val="22"/>
          <w:szCs w:val="22"/>
        </w:rPr>
        <w:t>a alteração do termo definido “Documentos da Operação” constante d</w:t>
      </w:r>
      <w:r>
        <w:rPr>
          <w:bCs/>
          <w:color w:val="000000" w:themeColor="text1"/>
          <w:sz w:val="22"/>
          <w:szCs w:val="22"/>
        </w:rPr>
        <w:t>a Escritura de Hipoteca SPE Parque Ecoville; (ii) a atualização das hipóteses de vencimento antecipado da Escritura de Emissão previstas na Escritura de Hipoteca SPE Parque Ecoville, (iii) prever a baixa da hipoteca das unidades referentes ao</w:t>
      </w:r>
      <w:r w:rsidRPr="00251A55">
        <w:rPr>
          <w:bCs/>
          <w:color w:val="000000" w:themeColor="text1"/>
          <w:sz w:val="22"/>
          <w:szCs w:val="22"/>
        </w:rPr>
        <w:t xml:space="preserve"> Parque Ecoville – Torre Passaúna</w:t>
      </w:r>
      <w:r>
        <w:rPr>
          <w:bCs/>
          <w:color w:val="000000" w:themeColor="text1"/>
          <w:sz w:val="22"/>
          <w:szCs w:val="22"/>
        </w:rPr>
        <w:t>;</w:t>
      </w:r>
      <w:r w:rsidRPr="00251A55">
        <w:rPr>
          <w:bCs/>
          <w:color w:val="000000" w:themeColor="text1"/>
          <w:sz w:val="22"/>
          <w:szCs w:val="22"/>
        </w:rPr>
        <w:t xml:space="preserve"> </w:t>
      </w:r>
      <w:r>
        <w:rPr>
          <w:bCs/>
          <w:color w:val="000000" w:themeColor="text1"/>
          <w:sz w:val="22"/>
          <w:szCs w:val="22"/>
        </w:rPr>
        <w:t>e (iv) demais alterações eventualmente necessárias</w:t>
      </w:r>
      <w:r w:rsidRPr="00FB4A37">
        <w:rPr>
          <w:bCs/>
          <w:color w:val="000000" w:themeColor="text1"/>
          <w:sz w:val="22"/>
          <w:szCs w:val="22"/>
        </w:rPr>
        <w:t xml:space="preserve"> </w:t>
      </w:r>
      <w:r>
        <w:rPr>
          <w:bCs/>
          <w:color w:val="000000" w:themeColor="text1"/>
          <w:sz w:val="22"/>
          <w:szCs w:val="22"/>
        </w:rPr>
        <w:t>conforme</w:t>
      </w:r>
      <w:r w:rsidRPr="00ED5D1B">
        <w:rPr>
          <w:bCs/>
          <w:color w:val="000000" w:themeColor="text1"/>
          <w:sz w:val="22"/>
          <w:szCs w:val="22"/>
        </w:rPr>
        <w:t xml:space="preserve"> </w:t>
      </w:r>
      <w:r>
        <w:rPr>
          <w:bCs/>
          <w:color w:val="000000" w:themeColor="text1"/>
          <w:sz w:val="22"/>
          <w:szCs w:val="22"/>
        </w:rPr>
        <w:t xml:space="preserve">termos gerais constantes do </w:t>
      </w:r>
      <w:r w:rsidRPr="00ED5D1B">
        <w:rPr>
          <w:bCs/>
          <w:color w:val="000000" w:themeColor="text1"/>
          <w:sz w:val="22"/>
          <w:szCs w:val="22"/>
        </w:rPr>
        <w:t>Material de Suporte anexo à Proposta de Administração</w:t>
      </w:r>
      <w:r w:rsidRPr="008D6083">
        <w:rPr>
          <w:bCs/>
          <w:color w:val="000000" w:themeColor="text1"/>
          <w:sz w:val="22"/>
          <w:szCs w:val="22"/>
        </w:rPr>
        <w:t>.</w:t>
      </w:r>
    </w:p>
    <w:p w:rsidR="00D2758A" w:rsidRPr="008D6083" w:rsidP="00A87220" w14:paraId="07336DD1" w14:textId="77777777">
      <w:pPr>
        <w:pStyle w:val="Default"/>
        <w:numPr>
          <w:ilvl w:val="0"/>
          <w:numId w:val="5"/>
        </w:numPr>
        <w:spacing w:line="320" w:lineRule="exact"/>
        <w:ind w:left="0" w:firstLine="0"/>
        <w:jc w:val="both"/>
        <w:rPr>
          <w:rFonts w:eastAsia="Calibri"/>
          <w:sz w:val="22"/>
          <w:szCs w:val="22"/>
        </w:rPr>
      </w:pPr>
    </w:p>
    <w:p w:rsidR="007E74AD" w:rsidRPr="007E74AD" w:rsidP="007E74AD" w14:paraId="267EFF3A" w14:textId="77777777">
      <w:pPr>
        <w:pStyle w:val="Default"/>
        <w:spacing w:line="320" w:lineRule="exact"/>
        <w:jc w:val="both"/>
        <w:rPr>
          <w:rFonts w:eastAsia="Calibri"/>
          <w:sz w:val="22"/>
          <w:szCs w:val="22"/>
        </w:rPr>
      </w:pPr>
    </w:p>
    <w:p w:rsidR="00A87220" w:rsidRPr="007E74AD" w:rsidP="007E74AD" w14:paraId="5776262A" w14:textId="0CAF49F4">
      <w:pPr>
        <w:pStyle w:val="Default"/>
        <w:spacing w:line="320" w:lineRule="exact"/>
        <w:jc w:val="both"/>
        <w:rPr>
          <w:rFonts w:eastAsia="Calibri"/>
          <w:b/>
          <w:bCs/>
          <w:sz w:val="22"/>
          <w:szCs w:val="22"/>
        </w:rPr>
      </w:pPr>
      <w:r w:rsidRPr="007E74AD">
        <w:rPr>
          <w:rFonts w:eastAsia="Calibri"/>
          <w:b/>
          <w:bCs/>
          <w:sz w:val="22"/>
          <w:szCs w:val="22"/>
        </w:rPr>
        <w:t>[   ] Aprovar</w:t>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t>[   ] Rejeitar</w:t>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t>[   ] Abster-se</w:t>
      </w:r>
    </w:p>
    <w:p w:rsidR="00A87220" w:rsidRPr="007E74AD" w:rsidP="007E74AD" w14:paraId="1E8FB172" w14:textId="77777777">
      <w:pPr>
        <w:pStyle w:val="Default"/>
        <w:spacing w:line="320" w:lineRule="exact"/>
        <w:jc w:val="both"/>
        <w:rPr>
          <w:rFonts w:eastAsia="Calibri"/>
          <w:sz w:val="22"/>
          <w:szCs w:val="22"/>
        </w:rPr>
      </w:pPr>
    </w:p>
    <w:p w:rsidR="00A87220" w:rsidRPr="007E74AD" w:rsidP="00A87220" w14:paraId="7F25FE58" w14:textId="0DFBF2C3">
      <w:pPr>
        <w:pStyle w:val="Default"/>
        <w:numPr>
          <w:ilvl w:val="0"/>
          <w:numId w:val="5"/>
        </w:numPr>
        <w:spacing w:line="320" w:lineRule="exact"/>
        <w:ind w:left="0" w:firstLine="0"/>
        <w:jc w:val="both"/>
        <w:rPr>
          <w:rFonts w:eastAsia="Calibri"/>
          <w:sz w:val="22"/>
          <w:szCs w:val="22"/>
        </w:rPr>
      </w:pPr>
      <w:r>
        <w:rPr>
          <w:color w:val="000000" w:themeColor="text1"/>
          <w:sz w:val="22"/>
          <w:szCs w:val="22"/>
        </w:rPr>
        <w:t>A</w:t>
      </w:r>
      <w:r w:rsidRPr="008264D0">
        <w:rPr>
          <w:color w:val="000000" w:themeColor="text1"/>
          <w:sz w:val="22"/>
          <w:szCs w:val="22"/>
        </w:rPr>
        <w:t>nuência prévia para a celebração entre a Novum, a Fiadora, a Emissora, a I610 Antonieta SPE – Empreendimentos Imobiliários Ltda. (CNPJ/ME sob o nº 34.425.708/0001-06) (“</w:t>
      </w:r>
      <w:r w:rsidRPr="008264D0">
        <w:rPr>
          <w:color w:val="000000" w:themeColor="text1"/>
          <w:sz w:val="22"/>
          <w:szCs w:val="22"/>
          <w:u w:val="single"/>
        </w:rPr>
        <w:t>I610 Antonieta SPE</w:t>
      </w:r>
      <w:r w:rsidRPr="008264D0">
        <w:rPr>
          <w:color w:val="000000" w:themeColor="text1"/>
          <w:sz w:val="22"/>
          <w:szCs w:val="22"/>
        </w:rPr>
        <w:t>”), a I490 Afonso de Freitas SPE - Empreendimentos Imobiliários Ltda. (CNPJ/ME sob o nº 34.425.733/0001-90) (“</w:t>
      </w:r>
      <w:r w:rsidRPr="008264D0">
        <w:rPr>
          <w:color w:val="000000" w:themeColor="text1"/>
          <w:sz w:val="22"/>
          <w:szCs w:val="22"/>
          <w:u w:val="single"/>
        </w:rPr>
        <w:t>I490 Afonso de Freitas</w:t>
      </w:r>
      <w:r w:rsidRPr="008264D0">
        <w:rPr>
          <w:color w:val="000000" w:themeColor="text1"/>
          <w:sz w:val="22"/>
          <w:szCs w:val="22"/>
        </w:rPr>
        <w:t>”), a I950 Tuiuti SPE – Empreendimentos Imobiliários Ltda. (CNPJ/ME sob o nº 34.425.337/0001-62) (“</w:t>
      </w:r>
      <w:r w:rsidRPr="008264D0">
        <w:rPr>
          <w:color w:val="000000" w:themeColor="text1"/>
          <w:sz w:val="22"/>
          <w:szCs w:val="22"/>
          <w:u w:val="single"/>
        </w:rPr>
        <w:t>I950 Tuiuti SPE</w:t>
      </w:r>
      <w:r w:rsidRPr="008264D0">
        <w:rPr>
          <w:color w:val="000000" w:themeColor="text1"/>
          <w:sz w:val="22"/>
          <w:szCs w:val="22"/>
        </w:rPr>
        <w:t>”), a I230 Coronel Mursa SPE – Empreendimentos Imobiliários Ltda. (CNPJ/ME sob o nº 34.425.758/0001-93) (“</w:t>
      </w:r>
      <w:r w:rsidRPr="008264D0">
        <w:rPr>
          <w:color w:val="000000" w:themeColor="text1"/>
          <w:sz w:val="22"/>
          <w:szCs w:val="22"/>
          <w:u w:val="single"/>
        </w:rPr>
        <w:t>I230 Coronel Mursa</w:t>
      </w:r>
      <w:r w:rsidRPr="008264D0">
        <w:rPr>
          <w:color w:val="000000" w:themeColor="text1"/>
          <w:sz w:val="22"/>
          <w:szCs w:val="22"/>
        </w:rPr>
        <w:t>”), a I240 Serra de Jaire SPE – Empreendimentos Imobiliários Ltda. (CNPJ/ME sob o nº 34.425.790/0001-79) (“</w:t>
      </w:r>
      <w:r w:rsidRPr="008264D0">
        <w:rPr>
          <w:color w:val="000000" w:themeColor="text1"/>
          <w:sz w:val="22"/>
          <w:szCs w:val="22"/>
          <w:u w:val="single"/>
        </w:rPr>
        <w:t>I240 Serra de Jaire</w:t>
      </w:r>
      <w:r w:rsidRPr="008264D0">
        <w:rPr>
          <w:color w:val="000000" w:themeColor="text1"/>
          <w:sz w:val="22"/>
          <w:szCs w:val="22"/>
        </w:rPr>
        <w:t>”), a SPE Parque Ecoville Empreendimentos Imobiliários Ltda., e o Agente Fiduciário</w:t>
      </w:r>
      <w:r w:rsidRPr="008264D0">
        <w:rPr>
          <w:bCs/>
          <w:color w:val="000000" w:themeColor="text1"/>
          <w:sz w:val="22"/>
          <w:szCs w:val="22"/>
        </w:rPr>
        <w:t>, de</w:t>
      </w:r>
      <w:r>
        <w:rPr>
          <w:bCs/>
          <w:color w:val="000000" w:themeColor="text1"/>
          <w:sz w:val="22"/>
          <w:szCs w:val="22"/>
        </w:rPr>
        <w:t xml:space="preserve"> cada</w:t>
      </w:r>
      <w:r w:rsidRPr="008264D0">
        <w:rPr>
          <w:bCs/>
          <w:color w:val="000000" w:themeColor="text1"/>
          <w:sz w:val="22"/>
          <w:szCs w:val="22"/>
        </w:rPr>
        <w:t xml:space="preserve"> </w:t>
      </w:r>
      <w:r w:rsidRPr="008264D0">
        <w:rPr>
          <w:bCs/>
          <w:i/>
          <w:iCs/>
          <w:color w:val="000000" w:themeColor="text1"/>
          <w:sz w:val="22"/>
          <w:szCs w:val="22"/>
        </w:rPr>
        <w:t xml:space="preserve">“Instrumento </w:t>
      </w:r>
      <w:r w:rsidRPr="007E74AD">
        <w:rPr>
          <w:bCs/>
          <w:i/>
          <w:iCs/>
          <w:color w:val="000000" w:themeColor="text1"/>
          <w:sz w:val="22"/>
          <w:szCs w:val="22"/>
        </w:rPr>
        <w:t>Particular de Alienação Fiduciária em Garantia de Bens Imóveis”,</w:t>
      </w:r>
      <w:r w:rsidRPr="007E74AD">
        <w:rPr>
          <w:bCs/>
          <w:color w:val="000000" w:themeColor="text1"/>
          <w:sz w:val="22"/>
          <w:szCs w:val="22"/>
        </w:rPr>
        <w:t xml:space="preserve"> para outorga da Alienação Fiduciária de Imóveis (“</w:t>
      </w:r>
      <w:r w:rsidRPr="007E74AD">
        <w:rPr>
          <w:bCs/>
          <w:color w:val="000000" w:themeColor="text1"/>
          <w:sz w:val="22"/>
          <w:szCs w:val="22"/>
          <w:u w:val="single"/>
        </w:rPr>
        <w:t>Contratos de Alienação Fiduciária de Imóveis</w:t>
      </w:r>
      <w:r w:rsidRPr="007E74AD">
        <w:rPr>
          <w:bCs/>
          <w:color w:val="000000" w:themeColor="text1"/>
          <w:sz w:val="22"/>
          <w:szCs w:val="22"/>
        </w:rPr>
        <w:t>”)</w:t>
      </w:r>
      <w:r w:rsidR="00B10158">
        <w:rPr>
          <w:bCs/>
          <w:color w:val="000000" w:themeColor="text1"/>
          <w:sz w:val="22"/>
          <w:szCs w:val="22"/>
        </w:rPr>
        <w:t>, conforme</w:t>
      </w:r>
      <w:r w:rsidRPr="00ED5D1B" w:rsidR="00B10158">
        <w:rPr>
          <w:bCs/>
          <w:color w:val="000000" w:themeColor="text1"/>
          <w:sz w:val="22"/>
          <w:szCs w:val="22"/>
        </w:rPr>
        <w:t xml:space="preserve"> Material de Suporte anexo à Proposta de Administração</w:t>
      </w:r>
      <w:r w:rsidRPr="007E74AD">
        <w:rPr>
          <w:bCs/>
          <w:color w:val="000000" w:themeColor="text1"/>
          <w:sz w:val="22"/>
          <w:szCs w:val="22"/>
        </w:rPr>
        <w:t>.</w:t>
      </w:r>
    </w:p>
    <w:p w:rsidR="00251A55" w:rsidP="007E74AD" w14:paraId="65E933E3" w14:textId="4AB5AF83">
      <w:pPr>
        <w:pStyle w:val="Default"/>
        <w:spacing w:line="320" w:lineRule="exact"/>
        <w:jc w:val="both"/>
        <w:rPr>
          <w:bCs/>
          <w:color w:val="000000" w:themeColor="text1"/>
          <w:sz w:val="22"/>
          <w:szCs w:val="22"/>
        </w:rPr>
      </w:pPr>
    </w:p>
    <w:p w:rsidR="00251A55" w:rsidP="007E74AD" w14:paraId="371B1E64" w14:textId="21BF7192">
      <w:pPr>
        <w:pStyle w:val="Default"/>
        <w:spacing w:line="320" w:lineRule="exact"/>
        <w:jc w:val="both"/>
        <w:rPr>
          <w:rFonts w:eastAsia="Calibri"/>
          <w:b/>
          <w:bCs/>
          <w:sz w:val="22"/>
          <w:szCs w:val="22"/>
        </w:rPr>
      </w:pPr>
      <w:r w:rsidRPr="007F16FE">
        <w:rPr>
          <w:rFonts w:eastAsia="Calibri"/>
          <w:b/>
          <w:bCs/>
          <w:sz w:val="22"/>
          <w:szCs w:val="22"/>
        </w:rPr>
        <w:t>[   ] Aprovar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Rejeitar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Abster-se</w:t>
      </w:r>
    </w:p>
    <w:p w:rsidR="00251A55" w:rsidP="007E74AD" w14:paraId="4874BDB0" w14:textId="02DE6473">
      <w:pPr>
        <w:pStyle w:val="Default"/>
        <w:spacing w:line="320" w:lineRule="exact"/>
        <w:jc w:val="both"/>
        <w:rPr>
          <w:rFonts w:eastAsia="Calibri"/>
          <w:b/>
          <w:bCs/>
          <w:sz w:val="22"/>
          <w:szCs w:val="22"/>
        </w:rPr>
      </w:pPr>
    </w:p>
    <w:p w:rsidR="00251A55" w:rsidRPr="007E74AD" w:rsidP="00251A55" w14:paraId="28C047D3" w14:textId="0ACF898F">
      <w:pPr>
        <w:pStyle w:val="Default"/>
        <w:numPr>
          <w:ilvl w:val="0"/>
          <w:numId w:val="5"/>
        </w:numPr>
        <w:spacing w:line="320" w:lineRule="exact"/>
        <w:ind w:left="0" w:firstLine="0"/>
        <w:jc w:val="both"/>
        <w:rPr>
          <w:rFonts w:eastAsia="Calibri"/>
          <w:sz w:val="22"/>
          <w:szCs w:val="22"/>
        </w:rPr>
      </w:pPr>
      <w:r>
        <w:rPr>
          <w:color w:val="000000" w:themeColor="text1"/>
          <w:sz w:val="22"/>
          <w:szCs w:val="22"/>
        </w:rPr>
        <w:t>A</w:t>
      </w:r>
      <w:r w:rsidRPr="00EF0CB9">
        <w:rPr>
          <w:bCs/>
          <w:color w:val="000000" w:themeColor="text1"/>
          <w:sz w:val="22"/>
          <w:szCs w:val="22"/>
        </w:rPr>
        <w:t xml:space="preserve">utorização à Emissora, em conjunto com o Agente Fiduciário, para a realização de todos os atos e celebração de todos os documentos necessários à implementação das deliberações aprovadas nos itens 1 </w:t>
      </w:r>
      <w:r>
        <w:rPr>
          <w:bCs/>
          <w:color w:val="000000" w:themeColor="text1"/>
          <w:sz w:val="22"/>
          <w:szCs w:val="22"/>
        </w:rPr>
        <w:t>a</w:t>
      </w:r>
      <w:r w:rsidRPr="00EF0CB9">
        <w:rPr>
          <w:bCs/>
          <w:color w:val="000000" w:themeColor="text1"/>
          <w:sz w:val="22"/>
          <w:szCs w:val="22"/>
        </w:rPr>
        <w:t xml:space="preserve"> </w:t>
      </w:r>
      <w:r>
        <w:rPr>
          <w:bCs/>
          <w:color w:val="000000" w:themeColor="text1"/>
          <w:sz w:val="22"/>
          <w:szCs w:val="22"/>
        </w:rPr>
        <w:t>7</w:t>
      </w:r>
      <w:r w:rsidRPr="00EF0CB9">
        <w:rPr>
          <w:bCs/>
          <w:color w:val="000000" w:themeColor="text1"/>
          <w:sz w:val="22"/>
          <w:szCs w:val="22"/>
        </w:rPr>
        <w:t xml:space="preserve"> acima, incluindo, mas não se limitando à, celebração</w:t>
      </w:r>
      <w:r>
        <w:rPr>
          <w:bCs/>
          <w:color w:val="000000" w:themeColor="text1"/>
          <w:sz w:val="22"/>
          <w:szCs w:val="22"/>
        </w:rPr>
        <w:t>:</w:t>
      </w:r>
    </w:p>
    <w:p w:rsidR="00251A55" w:rsidP="007E74AD" w14:paraId="56DCF03D" w14:textId="3EB1DFBB">
      <w:pPr>
        <w:pStyle w:val="Default"/>
        <w:spacing w:line="320" w:lineRule="exact"/>
        <w:jc w:val="both"/>
        <w:rPr>
          <w:bCs/>
          <w:color w:val="000000" w:themeColor="text1"/>
          <w:sz w:val="22"/>
          <w:szCs w:val="22"/>
        </w:rPr>
      </w:pPr>
    </w:p>
    <w:p w:rsidR="00251A55" w:rsidRPr="00251A55" w:rsidP="00251A55" w14:paraId="0C5DA93E" w14:textId="39E9249B">
      <w:pPr>
        <w:pStyle w:val="Default"/>
        <w:numPr>
          <w:ilvl w:val="0"/>
          <w:numId w:val="13"/>
        </w:numPr>
        <w:spacing w:line="320" w:lineRule="exact"/>
        <w:jc w:val="both"/>
        <w:rPr>
          <w:color w:val="000000" w:themeColor="text1"/>
          <w:sz w:val="22"/>
          <w:szCs w:val="22"/>
        </w:rPr>
      </w:pPr>
      <w:r w:rsidRPr="00EF0CB9">
        <w:rPr>
          <w:color w:val="000000" w:themeColor="text1"/>
          <w:sz w:val="22"/>
          <w:szCs w:val="22"/>
        </w:rPr>
        <w:t>d</w:t>
      </w:r>
      <w:r>
        <w:rPr>
          <w:color w:val="000000" w:themeColor="text1"/>
          <w:sz w:val="22"/>
          <w:szCs w:val="22"/>
        </w:rPr>
        <w:t>e</w:t>
      </w:r>
      <w:r w:rsidRPr="00EF0CB9">
        <w:rPr>
          <w:color w:val="000000" w:themeColor="text1"/>
          <w:sz w:val="22"/>
          <w:szCs w:val="22"/>
        </w:rPr>
        <w:t xml:space="preserve"> aditamento </w:t>
      </w:r>
      <w:r>
        <w:rPr>
          <w:color w:val="000000" w:themeColor="text1"/>
          <w:sz w:val="22"/>
          <w:szCs w:val="22"/>
        </w:rPr>
        <w:t>à Escritura de Emissão</w:t>
      </w:r>
      <w:r w:rsidRPr="00EF0CB9">
        <w:rPr>
          <w:color w:val="000000" w:themeColor="text1"/>
          <w:sz w:val="22"/>
          <w:szCs w:val="22"/>
        </w:rPr>
        <w:t xml:space="preserve">, </w:t>
      </w:r>
      <w:r w:rsidR="00B10158">
        <w:rPr>
          <w:bCs/>
          <w:color w:val="000000" w:themeColor="text1"/>
          <w:sz w:val="22"/>
          <w:szCs w:val="22"/>
        </w:rPr>
        <w:t>conforme</w:t>
      </w:r>
      <w:r w:rsidRPr="00ED5D1B" w:rsidR="00B10158">
        <w:rPr>
          <w:bCs/>
          <w:color w:val="000000" w:themeColor="text1"/>
          <w:sz w:val="22"/>
          <w:szCs w:val="22"/>
        </w:rPr>
        <w:t xml:space="preserve"> </w:t>
      </w:r>
      <w:r w:rsidR="00B10158">
        <w:rPr>
          <w:bCs/>
          <w:color w:val="000000" w:themeColor="text1"/>
          <w:sz w:val="22"/>
          <w:szCs w:val="22"/>
        </w:rPr>
        <w:t xml:space="preserve">termos gerais constantes do </w:t>
      </w:r>
      <w:r w:rsidRPr="00ED5D1B" w:rsidR="00B10158">
        <w:rPr>
          <w:bCs/>
          <w:color w:val="000000" w:themeColor="text1"/>
          <w:sz w:val="22"/>
          <w:szCs w:val="22"/>
        </w:rPr>
        <w:t>Material de Suporte anexo à Proposta de Administração</w:t>
      </w:r>
      <w:r w:rsidRPr="00EF0CB9">
        <w:rPr>
          <w:bCs/>
          <w:color w:val="000000" w:themeColor="text1"/>
          <w:sz w:val="22"/>
          <w:szCs w:val="22"/>
        </w:rPr>
        <w:t>;</w:t>
      </w:r>
    </w:p>
    <w:p w:rsidR="00251A55" w:rsidRPr="00EF0CB9" w:rsidP="007E74AD" w14:paraId="3509CBEA" w14:textId="77777777">
      <w:pPr>
        <w:pStyle w:val="Default"/>
        <w:spacing w:line="320" w:lineRule="exact"/>
        <w:ind w:left="1080"/>
        <w:jc w:val="both"/>
        <w:rPr>
          <w:color w:val="000000" w:themeColor="text1"/>
          <w:sz w:val="22"/>
          <w:szCs w:val="22"/>
        </w:rPr>
      </w:pPr>
    </w:p>
    <w:p w:rsidR="00251A55" w:rsidRPr="00B10158" w:rsidP="007E74AD" w14:paraId="48E0CF4B" w14:textId="3FC3B86E">
      <w:pPr>
        <w:pStyle w:val="Default"/>
        <w:numPr>
          <w:ilvl w:val="0"/>
          <w:numId w:val="13"/>
        </w:numPr>
        <w:spacing w:line="320" w:lineRule="exact"/>
        <w:jc w:val="both"/>
        <w:rPr>
          <w:rFonts w:eastAsia="Calibri"/>
          <w:sz w:val="22"/>
          <w:szCs w:val="22"/>
        </w:rPr>
      </w:pPr>
      <w:r w:rsidRPr="00B10158">
        <w:rPr>
          <w:color w:val="000000" w:themeColor="text1"/>
          <w:sz w:val="22"/>
          <w:szCs w:val="22"/>
        </w:rPr>
        <w:t>de aditamento ao Termo de Securitização,</w:t>
      </w:r>
      <w:r w:rsidRPr="00B10158" w:rsidR="00B10158">
        <w:rPr>
          <w:color w:val="000000" w:themeColor="text1"/>
          <w:sz w:val="22"/>
          <w:szCs w:val="22"/>
        </w:rPr>
        <w:t xml:space="preserve"> </w:t>
      </w:r>
      <w:r w:rsidRPr="00B10158" w:rsidR="00B10158">
        <w:rPr>
          <w:bCs/>
          <w:color w:val="000000" w:themeColor="text1"/>
          <w:sz w:val="22"/>
          <w:szCs w:val="22"/>
        </w:rPr>
        <w:t>conforme termos gerais constantes do Material de Suporte anexo à Proposta de Administração</w:t>
      </w:r>
      <w:r w:rsidRPr="00B10158">
        <w:rPr>
          <w:color w:val="000000" w:themeColor="text1"/>
          <w:sz w:val="22"/>
          <w:szCs w:val="22"/>
        </w:rPr>
        <w:t>;</w:t>
      </w:r>
    </w:p>
    <w:p w:rsidR="00251A55" w:rsidP="007E74AD" w14:paraId="72DF7B31" w14:textId="77777777">
      <w:pPr>
        <w:pStyle w:val="ListParagraph"/>
        <w:rPr>
          <w:rFonts w:eastAsia="Calibri"/>
          <w:sz w:val="22"/>
          <w:szCs w:val="22"/>
        </w:rPr>
      </w:pPr>
    </w:p>
    <w:p w:rsidR="00251A55" w:rsidRPr="007E74AD" w:rsidP="007E74AD" w14:paraId="05CAB50C" w14:textId="32876E6F">
      <w:pPr>
        <w:pStyle w:val="Default"/>
        <w:numPr>
          <w:ilvl w:val="0"/>
          <w:numId w:val="13"/>
        </w:numPr>
        <w:spacing w:line="320" w:lineRule="exact"/>
        <w:jc w:val="both"/>
        <w:rPr>
          <w:rFonts w:eastAsia="Calibri"/>
          <w:sz w:val="22"/>
          <w:szCs w:val="22"/>
        </w:rPr>
      </w:pPr>
      <w:r w:rsidRPr="00EF0CB9">
        <w:rPr>
          <w:color w:val="000000" w:themeColor="text1"/>
          <w:sz w:val="22"/>
          <w:szCs w:val="22"/>
        </w:rPr>
        <w:t>d</w:t>
      </w:r>
      <w:r>
        <w:rPr>
          <w:color w:val="000000" w:themeColor="text1"/>
          <w:sz w:val="22"/>
          <w:szCs w:val="22"/>
        </w:rPr>
        <w:t>e</w:t>
      </w:r>
      <w:r w:rsidRPr="00EF0CB9">
        <w:rPr>
          <w:color w:val="000000" w:themeColor="text1"/>
          <w:sz w:val="22"/>
          <w:szCs w:val="22"/>
        </w:rPr>
        <w:t xml:space="preserve"> </w:t>
      </w:r>
      <w:r w:rsidRPr="00A64254">
        <w:rPr>
          <w:color w:val="000000" w:themeColor="text1"/>
          <w:sz w:val="22"/>
          <w:szCs w:val="22"/>
        </w:rPr>
        <w:t>aditamento ao “</w:t>
      </w:r>
      <w:r w:rsidRPr="00A64254">
        <w:rPr>
          <w:i/>
          <w:color w:val="000000" w:themeColor="text1"/>
          <w:sz w:val="22"/>
          <w:szCs w:val="22"/>
        </w:rPr>
        <w:t xml:space="preserve">Instrumento Particular de Escritura de Emissão de Cédula de Crédito Imobiliário Integral, </w:t>
      </w:r>
      <w:r w:rsidRPr="00A64254">
        <w:rPr>
          <w:color w:val="000000" w:themeColor="text1"/>
          <w:sz w:val="22"/>
          <w:szCs w:val="22"/>
        </w:rPr>
        <w:t xml:space="preserve">sem </w:t>
      </w:r>
      <w:r w:rsidRPr="00A64254">
        <w:rPr>
          <w:i/>
          <w:color w:val="000000" w:themeColor="text1"/>
          <w:sz w:val="22"/>
          <w:szCs w:val="22"/>
        </w:rPr>
        <w:t>Garantia Real, sob a Forma Escritural”</w:t>
      </w:r>
      <w:r w:rsidRPr="00A64254">
        <w:rPr>
          <w:iCs/>
          <w:color w:val="000000" w:themeColor="text1"/>
          <w:sz w:val="22"/>
          <w:szCs w:val="22"/>
        </w:rPr>
        <w:t xml:space="preserve">, datado de </w:t>
      </w:r>
      <w:r w:rsidRPr="00A64254" w:rsidR="00A64254">
        <w:rPr>
          <w:iCs/>
          <w:color w:val="000000" w:themeColor="text1"/>
          <w:sz w:val="22"/>
          <w:szCs w:val="22"/>
        </w:rPr>
        <w:t xml:space="preserve">15 </w:t>
      </w:r>
      <w:r w:rsidRPr="00A64254">
        <w:rPr>
          <w:iCs/>
          <w:color w:val="000000" w:themeColor="text1"/>
          <w:sz w:val="22"/>
          <w:szCs w:val="22"/>
        </w:rPr>
        <w:t>de setembro de 2020, celebrado</w:t>
      </w:r>
      <w:r w:rsidRPr="00EF0CB9">
        <w:rPr>
          <w:iCs/>
          <w:color w:val="000000" w:themeColor="text1"/>
          <w:sz w:val="22"/>
          <w:szCs w:val="22"/>
        </w:rPr>
        <w:t xml:space="preserve"> entre a Emissora e o Agente </w:t>
      </w:r>
      <w:r w:rsidRPr="007E74AD">
        <w:rPr>
          <w:iCs/>
          <w:color w:val="000000" w:themeColor="text1"/>
          <w:sz w:val="22"/>
          <w:szCs w:val="22"/>
        </w:rPr>
        <w:t>Fiduciário</w:t>
      </w:r>
      <w:r w:rsidRPr="007E74AD">
        <w:rPr>
          <w:color w:val="000000" w:themeColor="text1"/>
          <w:sz w:val="22"/>
          <w:szCs w:val="22"/>
        </w:rPr>
        <w:t xml:space="preserve"> (“</w:t>
      </w:r>
      <w:r w:rsidRPr="007E74AD">
        <w:rPr>
          <w:color w:val="000000" w:themeColor="text1"/>
          <w:sz w:val="22"/>
          <w:szCs w:val="22"/>
          <w:u w:val="single"/>
        </w:rPr>
        <w:t>Instrumento de Emissão de CCI</w:t>
      </w:r>
      <w:r w:rsidRPr="007E74AD">
        <w:rPr>
          <w:color w:val="000000" w:themeColor="text1"/>
          <w:sz w:val="22"/>
          <w:szCs w:val="22"/>
        </w:rPr>
        <w:t>”)</w:t>
      </w:r>
      <w:r w:rsidRPr="00EF0CB9" w:rsidR="00B10158">
        <w:rPr>
          <w:color w:val="000000" w:themeColor="text1"/>
          <w:sz w:val="22"/>
          <w:szCs w:val="22"/>
        </w:rPr>
        <w:t xml:space="preserve">, </w:t>
      </w:r>
      <w:r w:rsidR="00B10158">
        <w:rPr>
          <w:bCs/>
          <w:color w:val="000000" w:themeColor="text1"/>
          <w:sz w:val="22"/>
          <w:szCs w:val="22"/>
        </w:rPr>
        <w:t>conforme</w:t>
      </w:r>
      <w:r w:rsidRPr="00ED5D1B" w:rsidR="00B10158">
        <w:rPr>
          <w:bCs/>
          <w:color w:val="000000" w:themeColor="text1"/>
          <w:sz w:val="22"/>
          <w:szCs w:val="22"/>
        </w:rPr>
        <w:t xml:space="preserve"> </w:t>
      </w:r>
      <w:r w:rsidR="00B10158">
        <w:rPr>
          <w:bCs/>
          <w:color w:val="000000" w:themeColor="text1"/>
          <w:sz w:val="22"/>
          <w:szCs w:val="22"/>
        </w:rPr>
        <w:t xml:space="preserve">termos gerais constantes do </w:t>
      </w:r>
      <w:r w:rsidRPr="00ED5D1B" w:rsidR="00B10158">
        <w:rPr>
          <w:bCs/>
          <w:color w:val="000000" w:themeColor="text1"/>
          <w:sz w:val="22"/>
          <w:szCs w:val="22"/>
        </w:rPr>
        <w:t>Material de Suporte anexo à Proposta de Administração</w:t>
      </w:r>
      <w:r>
        <w:rPr>
          <w:bCs/>
          <w:color w:val="000000" w:themeColor="text1"/>
          <w:sz w:val="22"/>
          <w:szCs w:val="22"/>
        </w:rPr>
        <w:t>;</w:t>
      </w:r>
    </w:p>
    <w:p w:rsidR="00251A55" w:rsidP="007E74AD" w14:paraId="798AF0F0" w14:textId="77777777">
      <w:pPr>
        <w:pStyle w:val="ListParagraph"/>
        <w:rPr>
          <w:rFonts w:eastAsia="Calibri"/>
          <w:sz w:val="22"/>
          <w:szCs w:val="22"/>
        </w:rPr>
      </w:pPr>
    </w:p>
    <w:p w:rsidR="00251A55" w:rsidRPr="007E74AD" w:rsidP="007E74AD" w14:paraId="6FAA706B" w14:textId="0136354A">
      <w:pPr>
        <w:pStyle w:val="Default"/>
        <w:numPr>
          <w:ilvl w:val="0"/>
          <w:numId w:val="13"/>
        </w:numPr>
        <w:spacing w:line="320" w:lineRule="exact"/>
        <w:jc w:val="both"/>
        <w:rPr>
          <w:rFonts w:eastAsia="Calibri"/>
          <w:sz w:val="22"/>
          <w:szCs w:val="22"/>
        </w:rPr>
      </w:pPr>
      <w:r w:rsidRPr="00EF0CB9">
        <w:rPr>
          <w:bCs/>
          <w:color w:val="000000" w:themeColor="text1"/>
          <w:sz w:val="22"/>
          <w:szCs w:val="22"/>
        </w:rPr>
        <w:t xml:space="preserve">do </w:t>
      </w:r>
      <w:r w:rsidRPr="00EF0CB9">
        <w:rPr>
          <w:b/>
          <w:color w:val="000000" w:themeColor="text1"/>
          <w:sz w:val="22"/>
          <w:szCs w:val="22"/>
        </w:rPr>
        <w:t xml:space="preserve">(a) </w:t>
      </w:r>
      <w:r w:rsidRPr="00EF0CB9">
        <w:rPr>
          <w:bCs/>
          <w:color w:val="000000" w:themeColor="text1"/>
          <w:sz w:val="22"/>
          <w:szCs w:val="22"/>
        </w:rPr>
        <w:t>“</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empreendimento denominado “</w:t>
      </w:r>
      <w:r w:rsidRPr="00EF0CB9">
        <w:rPr>
          <w:bCs/>
          <w:i/>
          <w:iCs/>
          <w:color w:val="000000" w:themeColor="text1"/>
          <w:sz w:val="22"/>
          <w:szCs w:val="22"/>
        </w:rPr>
        <w:t>Moov Parque Maia</w:t>
      </w:r>
      <w:r w:rsidRPr="00EF0CB9">
        <w:rPr>
          <w:bCs/>
          <w:color w:val="000000" w:themeColor="text1"/>
          <w:sz w:val="22"/>
          <w:szCs w:val="22"/>
        </w:rPr>
        <w:t>”</w:t>
      </w:r>
      <w:r>
        <w:rPr>
          <w:bCs/>
          <w:color w:val="000000" w:themeColor="text1"/>
          <w:sz w:val="22"/>
          <w:szCs w:val="22"/>
        </w:rPr>
        <w:t xml:space="preserve"> </w:t>
      </w:r>
      <w:r w:rsidRPr="00EF0CB9">
        <w:rPr>
          <w:bCs/>
          <w:color w:val="000000" w:themeColor="text1"/>
          <w:sz w:val="22"/>
          <w:szCs w:val="22"/>
        </w:rPr>
        <w:t>(“</w:t>
      </w:r>
      <w:r w:rsidRPr="00EF0CB9">
        <w:rPr>
          <w:bCs/>
          <w:color w:val="000000" w:themeColor="text1"/>
          <w:sz w:val="22"/>
          <w:szCs w:val="22"/>
          <w:u w:val="single"/>
        </w:rPr>
        <w:t>Moov Parque Maia</w:t>
      </w:r>
      <w:r w:rsidRPr="00EF0CB9">
        <w:rPr>
          <w:bCs/>
          <w:color w:val="000000" w:themeColor="text1"/>
          <w:sz w:val="22"/>
          <w:szCs w:val="22"/>
        </w:rPr>
        <w:t>”)</w:t>
      </w:r>
      <w:r>
        <w:rPr>
          <w:bCs/>
          <w:color w:val="000000" w:themeColor="text1"/>
          <w:sz w:val="22"/>
          <w:szCs w:val="22"/>
        </w:rPr>
        <w:t xml:space="preserve"> 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2º Oficial de Registro de Imóveis, Títulos e Documentos e Civil de Pessoa Jurídica de Guarulhos; </w:t>
      </w:r>
      <w:r w:rsidRPr="00EF0CB9">
        <w:rPr>
          <w:b/>
          <w:color w:val="000000" w:themeColor="text1"/>
          <w:sz w:val="22"/>
          <w:szCs w:val="22"/>
        </w:rPr>
        <w:t>(b)</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denominado “</w:t>
      </w:r>
      <w:r w:rsidRPr="00EF0CB9">
        <w:rPr>
          <w:i/>
          <w:iCs/>
          <w:color w:val="000000" w:themeColor="text1"/>
          <w:sz w:val="22"/>
          <w:szCs w:val="22"/>
        </w:rPr>
        <w:t>Moov Estação Brás</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r w:rsidRPr="00EF0CB9">
        <w:rPr>
          <w:color w:val="000000" w:themeColor="text1"/>
          <w:sz w:val="22"/>
          <w:szCs w:val="22"/>
          <w:u w:val="single"/>
        </w:rPr>
        <w:t>Moov Estação Brás</w:t>
      </w:r>
      <w:r w:rsidRPr="00EF0CB9">
        <w:rPr>
          <w:color w:val="000000" w:themeColor="text1"/>
          <w:sz w:val="22"/>
          <w:szCs w:val="22"/>
        </w:rPr>
        <w:t>”)</w:t>
      </w:r>
      <w:r>
        <w:rPr>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3º Oficial Registro de Imóveis </w:t>
      </w:r>
      <w:r w:rsidRPr="00EF0CB9">
        <w:rPr>
          <w:bCs/>
          <w:color w:val="000000" w:themeColor="text1"/>
          <w:sz w:val="22"/>
          <w:szCs w:val="22"/>
        </w:rPr>
        <w:t xml:space="preserve">de São Paulo; </w:t>
      </w:r>
      <w:r w:rsidRPr="00EF0CB9">
        <w:rPr>
          <w:b/>
          <w:color w:val="000000" w:themeColor="text1"/>
          <w:sz w:val="22"/>
          <w:szCs w:val="22"/>
        </w:rPr>
        <w:t>(</w:t>
      </w:r>
      <w:r>
        <w:rPr>
          <w:b/>
          <w:color w:val="000000" w:themeColor="text1"/>
          <w:sz w:val="22"/>
          <w:szCs w:val="22"/>
        </w:rPr>
        <w:t>c</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denominado “</w:t>
      </w:r>
      <w:r w:rsidRPr="00EF0CB9">
        <w:rPr>
          <w:i/>
          <w:iCs/>
          <w:color w:val="000000" w:themeColor="text1"/>
          <w:sz w:val="22"/>
          <w:szCs w:val="22"/>
        </w:rPr>
        <w:t>Moov Belém</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r w:rsidRPr="00EF0CB9">
        <w:rPr>
          <w:color w:val="000000" w:themeColor="text1"/>
          <w:sz w:val="22"/>
          <w:szCs w:val="22"/>
          <w:u w:val="single"/>
        </w:rPr>
        <w:t>Moov Belém</w:t>
      </w:r>
      <w:r w:rsidRPr="00EF0CB9">
        <w:rPr>
          <w:color w:val="000000" w:themeColor="text1"/>
          <w:sz w:val="22"/>
          <w:szCs w:val="22"/>
        </w:rPr>
        <w:t>”)</w:t>
      </w:r>
      <w:r w:rsidRPr="00373F93">
        <w:rPr>
          <w:bCs/>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7º Oficial de Registro de Imóveis de São Paulo; </w:t>
      </w:r>
      <w:r w:rsidRPr="00EF0CB9">
        <w:rPr>
          <w:b/>
          <w:color w:val="000000" w:themeColor="text1"/>
          <w:sz w:val="22"/>
          <w:szCs w:val="22"/>
        </w:rPr>
        <w:t>(</w:t>
      </w:r>
      <w:r>
        <w:rPr>
          <w:b/>
          <w:color w:val="000000" w:themeColor="text1"/>
          <w:sz w:val="22"/>
          <w:szCs w:val="22"/>
        </w:rPr>
        <w:t>d</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imobiliário denominado “</w:t>
      </w:r>
      <w:r w:rsidRPr="00EF0CB9">
        <w:rPr>
          <w:i/>
          <w:iCs/>
          <w:color w:val="000000" w:themeColor="text1"/>
          <w:sz w:val="22"/>
          <w:szCs w:val="22"/>
        </w:rPr>
        <w:t>Gafisa Upside Paraíso</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r w:rsidRPr="007E3C89">
        <w:rPr>
          <w:color w:val="000000" w:themeColor="text1"/>
          <w:sz w:val="22"/>
          <w:szCs w:val="22"/>
          <w:u w:val="single"/>
        </w:rPr>
        <w:t>Gafisa Upsi</w:t>
      </w:r>
      <w:r w:rsidRPr="00EF0CB9">
        <w:rPr>
          <w:color w:val="000000" w:themeColor="text1"/>
          <w:sz w:val="22"/>
          <w:szCs w:val="22"/>
          <w:u w:val="single"/>
        </w:rPr>
        <w:t>de Paraíso</w:t>
      </w:r>
      <w:r w:rsidRPr="00EF0CB9">
        <w:rPr>
          <w:color w:val="000000" w:themeColor="text1"/>
          <w:sz w:val="22"/>
          <w:szCs w:val="22"/>
        </w:rPr>
        <w:t>”)</w:t>
      </w:r>
      <w:r w:rsidRPr="00373F93">
        <w:rPr>
          <w:bCs/>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1º Oficial de Registro de Imóveis de São Paulo; </w:t>
      </w:r>
      <w:r w:rsidRPr="00EF0CB9">
        <w:rPr>
          <w:b/>
          <w:color w:val="000000" w:themeColor="text1"/>
          <w:sz w:val="22"/>
          <w:szCs w:val="22"/>
        </w:rPr>
        <w:t>(</w:t>
      </w:r>
      <w:r>
        <w:rPr>
          <w:b/>
          <w:color w:val="000000" w:themeColor="text1"/>
          <w:sz w:val="22"/>
          <w:szCs w:val="22"/>
        </w:rPr>
        <w:t>e</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sidR="00A64254">
        <w:rPr>
          <w:bCs/>
          <w:color w:val="000000" w:themeColor="text1"/>
          <w:sz w:val="22"/>
          <w:szCs w:val="22"/>
        </w:rPr>
        <w:t>da</w:t>
      </w:r>
      <w:r w:rsidRPr="00EF0CB9">
        <w:rPr>
          <w:bCs/>
          <w:color w:val="000000" w:themeColor="text1"/>
          <w:sz w:val="22"/>
          <w:szCs w:val="22"/>
        </w:rPr>
        <w:t xml:space="preserve">s unidades autônomas prontas e acabadas do </w:t>
      </w:r>
      <w:r w:rsidRPr="00EF0CB9">
        <w:rPr>
          <w:color w:val="000000" w:themeColor="text1"/>
          <w:sz w:val="22"/>
          <w:szCs w:val="22"/>
        </w:rPr>
        <w:t>empreendimento denominado “</w:t>
      </w:r>
      <w:r w:rsidRPr="00EF0CB9">
        <w:rPr>
          <w:i/>
          <w:iCs/>
          <w:color w:val="000000" w:themeColor="text1"/>
          <w:sz w:val="22"/>
          <w:szCs w:val="22"/>
        </w:rPr>
        <w:t>Parque Ecoville - Torre Passaúna</w:t>
      </w:r>
      <w:r w:rsidRPr="00EF0CB9">
        <w:rPr>
          <w:color w:val="000000" w:themeColor="text1"/>
          <w:sz w:val="22"/>
          <w:szCs w:val="22"/>
        </w:rPr>
        <w:t>” (“</w:t>
      </w:r>
      <w:r w:rsidRPr="00EF0CB9">
        <w:rPr>
          <w:color w:val="000000" w:themeColor="text1"/>
          <w:sz w:val="22"/>
          <w:szCs w:val="22"/>
          <w:u w:val="single"/>
        </w:rPr>
        <w:t>Parque Ecoville – Torre Passaúna</w:t>
      </w:r>
      <w:r w:rsidRPr="00EF0CB9">
        <w:rPr>
          <w:color w:val="000000" w:themeColor="text1"/>
          <w:sz w:val="22"/>
          <w:szCs w:val="22"/>
        </w:rPr>
        <w:t xml:space="preserve">”) </w:t>
      </w:r>
      <w:r w:rsidRPr="00EF0CB9">
        <w:rPr>
          <w:bCs/>
          <w:color w:val="000000" w:themeColor="text1"/>
          <w:sz w:val="22"/>
          <w:szCs w:val="22"/>
        </w:rPr>
        <w:t xml:space="preserve">que estão atualmente oneradas com a hipoteca, o qual </w:t>
      </w:r>
      <w:r>
        <w:rPr>
          <w:bCs/>
          <w:color w:val="000000" w:themeColor="text1"/>
          <w:sz w:val="22"/>
          <w:szCs w:val="22"/>
        </w:rPr>
        <w:t>será registrado</w:t>
      </w:r>
      <w:r w:rsidRPr="00EF0CB9">
        <w:rPr>
          <w:bCs/>
          <w:color w:val="000000" w:themeColor="text1"/>
          <w:sz w:val="22"/>
          <w:szCs w:val="22"/>
        </w:rPr>
        <w:t xml:space="preserve"> no 8º Oficial de Registro de Imóveis de Curitiba; e </w:t>
      </w:r>
      <w:r w:rsidRPr="00EF0CB9">
        <w:rPr>
          <w:b/>
          <w:color w:val="000000" w:themeColor="text1"/>
          <w:sz w:val="22"/>
          <w:szCs w:val="22"/>
        </w:rPr>
        <w:t>(</w:t>
      </w:r>
      <w:r>
        <w:rPr>
          <w:b/>
          <w:color w:val="000000" w:themeColor="text1"/>
          <w:sz w:val="22"/>
          <w:szCs w:val="22"/>
        </w:rPr>
        <w:t>f</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imobiliário denominado “</w:t>
      </w:r>
      <w:r w:rsidRPr="00EF0CB9">
        <w:rPr>
          <w:i/>
          <w:iCs/>
          <w:color w:val="000000" w:themeColor="text1"/>
          <w:sz w:val="22"/>
          <w:szCs w:val="22"/>
        </w:rPr>
        <w:t>Scena Tatuapé</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r w:rsidRPr="00EF0CB9">
        <w:rPr>
          <w:color w:val="000000" w:themeColor="text1"/>
          <w:sz w:val="22"/>
          <w:szCs w:val="22"/>
          <w:u w:val="single"/>
        </w:rPr>
        <w:t>Scena Tatuapé</w:t>
      </w:r>
      <w:r w:rsidRPr="00EF0CB9">
        <w:rPr>
          <w:color w:val="000000" w:themeColor="text1"/>
          <w:sz w:val="22"/>
          <w:szCs w:val="22"/>
        </w:rPr>
        <w:t>”)</w:t>
      </w:r>
      <w:r w:rsidRPr="00373F93">
        <w:rPr>
          <w:bCs/>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9º Cartório de Registro de Imóveis de São Paulo, </w:t>
      </w:r>
      <w:r w:rsidR="00B10158">
        <w:rPr>
          <w:bCs/>
          <w:color w:val="000000" w:themeColor="text1"/>
          <w:sz w:val="22"/>
          <w:szCs w:val="22"/>
        </w:rPr>
        <w:t>conforme</w:t>
      </w:r>
      <w:r w:rsidRPr="00ED5D1B" w:rsidR="00B10158">
        <w:rPr>
          <w:bCs/>
          <w:color w:val="000000" w:themeColor="text1"/>
          <w:sz w:val="22"/>
          <w:szCs w:val="22"/>
        </w:rPr>
        <w:t xml:space="preserve"> </w:t>
      </w:r>
      <w:r w:rsidR="00B10158">
        <w:rPr>
          <w:bCs/>
          <w:color w:val="000000" w:themeColor="text1"/>
          <w:sz w:val="22"/>
          <w:szCs w:val="22"/>
        </w:rPr>
        <w:t xml:space="preserve">termos gerais constantes do </w:t>
      </w:r>
      <w:r w:rsidRPr="00ED5D1B" w:rsidR="00B10158">
        <w:rPr>
          <w:bCs/>
          <w:color w:val="000000" w:themeColor="text1"/>
          <w:sz w:val="22"/>
          <w:szCs w:val="22"/>
        </w:rPr>
        <w:t>Material de Suporte anexo à Proposta de Administração</w:t>
      </w:r>
      <w:r>
        <w:rPr>
          <w:bCs/>
          <w:color w:val="000000" w:themeColor="text1"/>
          <w:sz w:val="22"/>
          <w:szCs w:val="22"/>
        </w:rPr>
        <w:t>;</w:t>
      </w:r>
    </w:p>
    <w:p w:rsidR="00251A55" w:rsidRPr="007E74AD" w:rsidP="007E74AD" w14:paraId="5A0EC143" w14:textId="77777777">
      <w:pPr>
        <w:pStyle w:val="Default"/>
        <w:spacing w:line="320" w:lineRule="exact"/>
        <w:ind w:left="1080"/>
        <w:jc w:val="both"/>
        <w:rPr>
          <w:rFonts w:eastAsia="Calibri"/>
          <w:sz w:val="22"/>
          <w:szCs w:val="22"/>
        </w:rPr>
      </w:pPr>
    </w:p>
    <w:p w:rsidR="00A64254" w:rsidRPr="00A64254" w:rsidP="007E74AD" w14:paraId="35599ABD" w14:textId="77777777">
      <w:pPr>
        <w:pStyle w:val="Default"/>
        <w:numPr>
          <w:ilvl w:val="0"/>
          <w:numId w:val="13"/>
        </w:numPr>
        <w:spacing w:line="320" w:lineRule="exact"/>
        <w:jc w:val="both"/>
        <w:rPr>
          <w:rFonts w:eastAsia="Calibri"/>
          <w:sz w:val="22"/>
          <w:szCs w:val="22"/>
        </w:rPr>
      </w:pPr>
      <w:r w:rsidRPr="00EF0CB9">
        <w:rPr>
          <w:color w:val="000000" w:themeColor="text1"/>
          <w:sz w:val="22"/>
          <w:szCs w:val="22"/>
        </w:rPr>
        <w:t xml:space="preserve">de </w:t>
      </w:r>
      <w:r w:rsidRPr="007E74AD">
        <w:rPr>
          <w:color w:val="000000" w:themeColor="text1"/>
          <w:sz w:val="22"/>
          <w:szCs w:val="22"/>
        </w:rPr>
        <w:t xml:space="preserve">cada Contrato de Alienação </w:t>
      </w:r>
      <w:r w:rsidRPr="007E74AD">
        <w:rPr>
          <w:bCs/>
          <w:color w:val="000000" w:themeColor="text1"/>
          <w:sz w:val="22"/>
          <w:szCs w:val="22"/>
        </w:rPr>
        <w:t>Fiduciária</w:t>
      </w:r>
      <w:r w:rsidRPr="007E74AD">
        <w:rPr>
          <w:color w:val="000000" w:themeColor="text1"/>
          <w:sz w:val="22"/>
          <w:szCs w:val="22"/>
        </w:rPr>
        <w:t xml:space="preserve"> de Imóveis</w:t>
      </w:r>
      <w:r w:rsidRPr="00EF0CB9">
        <w:rPr>
          <w:color w:val="000000" w:themeColor="text1"/>
          <w:sz w:val="22"/>
          <w:szCs w:val="22"/>
        </w:rPr>
        <w:t>,</w:t>
      </w:r>
      <w:r w:rsidRPr="00EF0CB9" w:rsidR="00B10158">
        <w:rPr>
          <w:color w:val="000000" w:themeColor="text1"/>
          <w:sz w:val="22"/>
          <w:szCs w:val="22"/>
        </w:rPr>
        <w:t xml:space="preserve"> </w:t>
      </w:r>
      <w:r w:rsidR="00B10158">
        <w:rPr>
          <w:bCs/>
          <w:color w:val="000000" w:themeColor="text1"/>
          <w:sz w:val="22"/>
          <w:szCs w:val="22"/>
        </w:rPr>
        <w:t>conforme</w:t>
      </w:r>
      <w:r w:rsidRPr="00ED5D1B" w:rsidR="00B10158">
        <w:rPr>
          <w:bCs/>
          <w:color w:val="000000" w:themeColor="text1"/>
          <w:sz w:val="22"/>
          <w:szCs w:val="22"/>
        </w:rPr>
        <w:t xml:space="preserve"> </w:t>
      </w:r>
      <w:r w:rsidR="00B10158">
        <w:rPr>
          <w:bCs/>
          <w:color w:val="000000" w:themeColor="text1"/>
          <w:sz w:val="22"/>
          <w:szCs w:val="22"/>
        </w:rPr>
        <w:t xml:space="preserve">termos gerais constantes do </w:t>
      </w:r>
      <w:r w:rsidRPr="00ED5D1B" w:rsidR="00B10158">
        <w:rPr>
          <w:bCs/>
          <w:color w:val="000000" w:themeColor="text1"/>
          <w:sz w:val="22"/>
          <w:szCs w:val="22"/>
        </w:rPr>
        <w:t>Material de Suporte anexo à Proposta de Administração</w:t>
      </w:r>
      <w:r w:rsidRPr="00EF0CB9">
        <w:rPr>
          <w:color w:val="000000" w:themeColor="text1"/>
          <w:sz w:val="22"/>
          <w:szCs w:val="22"/>
        </w:rPr>
        <w:t>;</w:t>
      </w:r>
    </w:p>
    <w:p w:rsidR="00A64254" w:rsidP="00A64254" w14:paraId="42BE2590" w14:textId="77777777">
      <w:pPr>
        <w:pStyle w:val="ListParagraph"/>
        <w:rPr>
          <w:color w:val="000000" w:themeColor="text1"/>
          <w:sz w:val="22"/>
          <w:szCs w:val="22"/>
        </w:rPr>
      </w:pPr>
    </w:p>
    <w:p w:rsidR="00251A55" w:rsidRPr="007E74AD" w:rsidP="007E74AD" w14:paraId="761F93C3" w14:textId="17A7072A">
      <w:pPr>
        <w:pStyle w:val="Default"/>
        <w:numPr>
          <w:ilvl w:val="0"/>
          <w:numId w:val="13"/>
        </w:numPr>
        <w:spacing w:line="320" w:lineRule="exact"/>
        <w:jc w:val="both"/>
        <w:rPr>
          <w:rFonts w:eastAsia="Calibri"/>
          <w:sz w:val="22"/>
          <w:szCs w:val="22"/>
        </w:rPr>
      </w:pPr>
      <w:r>
        <w:rPr>
          <w:color w:val="000000" w:themeColor="text1"/>
          <w:sz w:val="22"/>
          <w:szCs w:val="22"/>
        </w:rPr>
        <w:t xml:space="preserve">de aditamento à </w:t>
      </w:r>
      <w:r>
        <w:rPr>
          <w:bCs/>
          <w:color w:val="000000" w:themeColor="text1"/>
          <w:sz w:val="22"/>
          <w:szCs w:val="22"/>
        </w:rPr>
        <w:t>Escritura de Hipoteca Belvedere Lorian</w:t>
      </w:r>
      <w:r>
        <w:rPr>
          <w:color w:val="000000" w:themeColor="text1"/>
          <w:sz w:val="22"/>
          <w:szCs w:val="22"/>
        </w:rPr>
        <w:t xml:space="preserve"> e à </w:t>
      </w:r>
      <w:r>
        <w:rPr>
          <w:bCs/>
          <w:color w:val="000000" w:themeColor="text1"/>
          <w:sz w:val="22"/>
          <w:szCs w:val="22"/>
        </w:rPr>
        <w:t xml:space="preserve">Escritura de Hipoteca SPE Parque Ecoville; </w:t>
      </w:r>
      <w:r>
        <w:rPr>
          <w:color w:val="000000" w:themeColor="text1"/>
          <w:sz w:val="22"/>
          <w:szCs w:val="22"/>
        </w:rPr>
        <w:t>e</w:t>
      </w:r>
    </w:p>
    <w:p w:rsidR="00251A55" w:rsidP="007E74AD" w14:paraId="43B5DE8D" w14:textId="77777777">
      <w:pPr>
        <w:pStyle w:val="ListParagraph"/>
        <w:rPr>
          <w:rFonts w:eastAsia="Calibri"/>
          <w:sz w:val="22"/>
          <w:szCs w:val="22"/>
        </w:rPr>
      </w:pPr>
    </w:p>
    <w:p w:rsidR="00251A55" w:rsidRPr="007E74AD" w:rsidP="007E74AD" w14:paraId="75DB961F" w14:textId="19BD400F">
      <w:pPr>
        <w:pStyle w:val="Default"/>
        <w:numPr>
          <w:ilvl w:val="0"/>
          <w:numId w:val="13"/>
        </w:numPr>
        <w:spacing w:line="320" w:lineRule="exact"/>
        <w:jc w:val="both"/>
        <w:rPr>
          <w:rFonts w:eastAsia="Calibri"/>
          <w:sz w:val="22"/>
          <w:szCs w:val="22"/>
        </w:rPr>
      </w:pPr>
      <w:r w:rsidRPr="00EF0CB9">
        <w:rPr>
          <w:bCs/>
          <w:color w:val="000000" w:themeColor="text1"/>
          <w:sz w:val="22"/>
          <w:szCs w:val="22"/>
        </w:rPr>
        <w:t>d</w:t>
      </w:r>
      <w:r>
        <w:rPr>
          <w:bCs/>
          <w:color w:val="000000" w:themeColor="text1"/>
          <w:sz w:val="22"/>
          <w:szCs w:val="22"/>
        </w:rPr>
        <w:t>e</w:t>
      </w:r>
      <w:r w:rsidRPr="00EF0CB9">
        <w:rPr>
          <w:bCs/>
          <w:color w:val="000000" w:themeColor="text1"/>
          <w:sz w:val="22"/>
          <w:szCs w:val="22"/>
        </w:rPr>
        <w:t xml:space="preserve"> aditamento ao: </w:t>
      </w:r>
      <w:r w:rsidRPr="00EF0CB9">
        <w:rPr>
          <w:b/>
          <w:color w:val="000000" w:themeColor="text1"/>
          <w:sz w:val="22"/>
          <w:szCs w:val="22"/>
        </w:rPr>
        <w:t>(a)</w:t>
      </w:r>
      <w:r w:rsidRPr="00EF0CB9">
        <w:rPr>
          <w:color w:val="000000" w:themeColor="text1"/>
          <w:sz w:val="22"/>
          <w:szCs w:val="22"/>
        </w:rPr>
        <w:t xml:space="preserve"> </w:t>
      </w:r>
      <w:r w:rsidRPr="00EF0CB9">
        <w:rPr>
          <w:bCs/>
          <w:color w:val="000000" w:themeColor="text1"/>
          <w:sz w:val="22"/>
          <w:szCs w:val="22"/>
        </w:rPr>
        <w:t>“</w:t>
      </w:r>
      <w:r w:rsidRPr="00EF0CB9">
        <w:rPr>
          <w:bCs/>
          <w:i/>
          <w:iCs/>
          <w:color w:val="000000" w:themeColor="text1"/>
          <w:sz w:val="22"/>
          <w:szCs w:val="22"/>
        </w:rPr>
        <w:t>Instrumento Particular de Alienação Fiduciária de Ações e Quotas Em Garantia e Outras Avenças</w:t>
      </w:r>
      <w:r w:rsidRPr="00EF0CB9">
        <w:rPr>
          <w:bCs/>
          <w:color w:val="000000" w:themeColor="text1"/>
          <w:sz w:val="22"/>
          <w:szCs w:val="22"/>
        </w:rPr>
        <w:t xml:space="preserve">”, celebrado em 15 de setembro de 2020 entre a Fiadora, a Gafisa 80 S.A. (CNPJ/ME nº 09.272.306/0001- 71), a Novum </w:t>
      </w:r>
      <w:r w:rsidRPr="007E74AD">
        <w:rPr>
          <w:bCs/>
          <w:color w:val="000000" w:themeColor="text1"/>
          <w:sz w:val="22"/>
          <w:szCs w:val="22"/>
        </w:rPr>
        <w:t>e a Emissora, com a interveniência anuência do Agente Fiduciário e das demais Desenvolvedoras (“</w:t>
      </w:r>
      <w:r w:rsidRPr="007E74AD">
        <w:rPr>
          <w:bCs/>
          <w:color w:val="000000" w:themeColor="text1"/>
          <w:sz w:val="22"/>
          <w:szCs w:val="22"/>
          <w:u w:val="single"/>
        </w:rPr>
        <w:t>Contrato de Alienação Fiduciária de Ações e Quotas</w:t>
      </w:r>
      <w:r w:rsidRPr="007E74AD">
        <w:rPr>
          <w:bCs/>
          <w:color w:val="000000" w:themeColor="text1"/>
          <w:sz w:val="22"/>
          <w:szCs w:val="22"/>
        </w:rPr>
        <w:t>”),</w:t>
      </w:r>
      <w:r w:rsidRPr="00EF0CB9">
        <w:rPr>
          <w:bCs/>
          <w:color w:val="000000" w:themeColor="text1"/>
          <w:sz w:val="22"/>
          <w:szCs w:val="22"/>
        </w:rPr>
        <w:t xml:space="preserve"> </w:t>
      </w:r>
      <w:r w:rsidR="00B10158">
        <w:rPr>
          <w:bCs/>
          <w:color w:val="000000" w:themeColor="text1"/>
          <w:sz w:val="22"/>
          <w:szCs w:val="22"/>
        </w:rPr>
        <w:t>conforme</w:t>
      </w:r>
      <w:r w:rsidRPr="00ED5D1B" w:rsidR="00B10158">
        <w:rPr>
          <w:bCs/>
          <w:color w:val="000000" w:themeColor="text1"/>
          <w:sz w:val="22"/>
          <w:szCs w:val="22"/>
        </w:rPr>
        <w:t xml:space="preserve"> </w:t>
      </w:r>
      <w:r w:rsidR="00B10158">
        <w:rPr>
          <w:bCs/>
          <w:color w:val="000000" w:themeColor="text1"/>
          <w:sz w:val="22"/>
          <w:szCs w:val="22"/>
        </w:rPr>
        <w:t xml:space="preserve">termos gerais constantes do </w:t>
      </w:r>
      <w:r w:rsidRPr="00ED5D1B" w:rsidR="00B10158">
        <w:rPr>
          <w:bCs/>
          <w:color w:val="000000" w:themeColor="text1"/>
          <w:sz w:val="22"/>
          <w:szCs w:val="22"/>
        </w:rPr>
        <w:t>Material de Suporte anexo à Proposta de Administração</w:t>
      </w:r>
      <w:r w:rsidRPr="00EF0CB9">
        <w:rPr>
          <w:color w:val="000000" w:themeColor="text1"/>
          <w:sz w:val="22"/>
          <w:szCs w:val="22"/>
        </w:rPr>
        <w:t>;</w:t>
      </w:r>
      <w:r w:rsidRPr="00EF0CB9">
        <w:rPr>
          <w:bCs/>
          <w:color w:val="000000" w:themeColor="text1"/>
          <w:sz w:val="22"/>
          <w:szCs w:val="22"/>
        </w:rPr>
        <w:t xml:space="preserve"> e </w:t>
      </w:r>
      <w:r w:rsidRPr="00EF0CB9">
        <w:rPr>
          <w:b/>
          <w:color w:val="000000" w:themeColor="text1"/>
          <w:sz w:val="22"/>
          <w:szCs w:val="22"/>
        </w:rPr>
        <w:t xml:space="preserve">(b) </w:t>
      </w:r>
      <w:r w:rsidRPr="00EF0CB9">
        <w:rPr>
          <w:color w:val="000000" w:themeColor="text1"/>
          <w:sz w:val="22"/>
          <w:szCs w:val="22"/>
        </w:rPr>
        <w:t>“</w:t>
      </w:r>
      <w:r w:rsidRPr="00EF0CB9">
        <w:rPr>
          <w:i/>
          <w:iCs/>
          <w:color w:val="000000" w:themeColor="text1"/>
          <w:sz w:val="22"/>
          <w:szCs w:val="22"/>
        </w:rPr>
        <w:t>Instrumento Particular de Cessão Fiduciária de Direitos Creditórios e Outras Avenças</w:t>
      </w:r>
      <w:r w:rsidRPr="00EF0CB9">
        <w:rPr>
          <w:color w:val="000000" w:themeColor="text1"/>
          <w:sz w:val="22"/>
          <w:szCs w:val="22"/>
        </w:rPr>
        <w:t>”, celebrado em 15 de setembro de 2020 entre a Novum, as Desenvolvedoras e a Emissora, com a interveniência anuência do Agente Fiduciário e da Fiadora (“</w:t>
      </w:r>
      <w:r w:rsidRPr="007E74AD">
        <w:rPr>
          <w:color w:val="000000" w:themeColor="text1"/>
          <w:sz w:val="22"/>
          <w:szCs w:val="22"/>
          <w:u w:val="single"/>
        </w:rPr>
        <w:t>Contrato de Cessão Fiduciária</w:t>
      </w:r>
      <w:r w:rsidRPr="007E74AD">
        <w:rPr>
          <w:color w:val="000000" w:themeColor="text1"/>
          <w:sz w:val="22"/>
          <w:szCs w:val="22"/>
        </w:rPr>
        <w:t>”),</w:t>
      </w:r>
      <w:r w:rsidRPr="00EF0CB9">
        <w:rPr>
          <w:color w:val="000000" w:themeColor="text1"/>
          <w:sz w:val="22"/>
          <w:szCs w:val="22"/>
        </w:rPr>
        <w:t xml:space="preserve"> </w:t>
      </w:r>
      <w:r w:rsidR="00B10158">
        <w:rPr>
          <w:bCs/>
          <w:color w:val="000000" w:themeColor="text1"/>
          <w:sz w:val="22"/>
          <w:szCs w:val="22"/>
        </w:rPr>
        <w:t>conforme</w:t>
      </w:r>
      <w:r w:rsidRPr="00ED5D1B" w:rsidR="00B10158">
        <w:rPr>
          <w:bCs/>
          <w:color w:val="000000" w:themeColor="text1"/>
          <w:sz w:val="22"/>
          <w:szCs w:val="22"/>
        </w:rPr>
        <w:t xml:space="preserve"> </w:t>
      </w:r>
      <w:r w:rsidR="00B10158">
        <w:rPr>
          <w:bCs/>
          <w:color w:val="000000" w:themeColor="text1"/>
          <w:sz w:val="22"/>
          <w:szCs w:val="22"/>
        </w:rPr>
        <w:t xml:space="preserve">termos gerais constantes do </w:t>
      </w:r>
      <w:r w:rsidRPr="00ED5D1B" w:rsidR="00B10158">
        <w:rPr>
          <w:bCs/>
          <w:color w:val="000000" w:themeColor="text1"/>
          <w:sz w:val="22"/>
          <w:szCs w:val="22"/>
        </w:rPr>
        <w:t>Material de Suporte anexo à Proposta de Administração</w:t>
      </w:r>
      <w:r>
        <w:rPr>
          <w:bCs/>
          <w:color w:val="000000" w:themeColor="text1"/>
          <w:sz w:val="22"/>
          <w:szCs w:val="22"/>
        </w:rPr>
        <w:t>.</w:t>
      </w:r>
    </w:p>
    <w:p w:rsidR="00A87220" w:rsidP="00A87220" w14:paraId="257F56E4" w14:textId="28469614">
      <w:pPr>
        <w:pStyle w:val="Default"/>
        <w:spacing w:line="320" w:lineRule="exact"/>
        <w:jc w:val="both"/>
        <w:rPr>
          <w:bCs/>
          <w:color w:val="000000" w:themeColor="text1"/>
          <w:sz w:val="22"/>
          <w:szCs w:val="22"/>
        </w:rPr>
      </w:pPr>
    </w:p>
    <w:p w:rsidR="00251A55" w:rsidP="007E74AD" w14:paraId="29C86FB8" w14:textId="77777777">
      <w:pPr>
        <w:pStyle w:val="Default"/>
        <w:spacing w:line="320" w:lineRule="exact"/>
        <w:jc w:val="both"/>
        <w:rPr>
          <w:rFonts w:eastAsia="Calibri"/>
          <w:b/>
          <w:bCs/>
          <w:sz w:val="22"/>
          <w:szCs w:val="22"/>
        </w:rPr>
      </w:pPr>
      <w:r w:rsidRPr="007F16FE">
        <w:rPr>
          <w:rFonts w:eastAsia="Calibri"/>
          <w:b/>
          <w:bCs/>
          <w:sz w:val="22"/>
          <w:szCs w:val="22"/>
        </w:rPr>
        <w:t>[   ] Aprovar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Rejeitar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Abster-se</w:t>
      </w:r>
    </w:p>
    <w:p w:rsidR="00A87220" w:rsidP="00A87220" w14:paraId="36F834F0" w14:textId="77777777">
      <w:pPr>
        <w:pStyle w:val="Default"/>
        <w:spacing w:line="320" w:lineRule="exact"/>
        <w:jc w:val="both"/>
        <w:rPr>
          <w:rFonts w:eastAsia="Calibri"/>
          <w:sz w:val="22"/>
          <w:szCs w:val="22"/>
        </w:rPr>
      </w:pPr>
    </w:p>
    <w:p w:rsidR="00E86B8E" w:rsidRPr="0081398E" w:rsidP="0081398E" w14:paraId="6DFCBD56" w14:textId="2F87E437">
      <w:pPr>
        <w:pStyle w:val="Default"/>
        <w:spacing w:line="320" w:lineRule="exact"/>
        <w:jc w:val="both"/>
        <w:rPr>
          <w:rFonts w:eastAsia="Calibri"/>
          <w:sz w:val="22"/>
          <w:szCs w:val="22"/>
        </w:rPr>
      </w:pPr>
      <w:r w:rsidRPr="0081398E">
        <w:rPr>
          <w:rFonts w:eastAsia="Calibri"/>
          <w:sz w:val="22"/>
          <w:szCs w:val="22"/>
        </w:rPr>
        <w:t>A</w:t>
      </w:r>
      <w:r w:rsidRPr="0081398E" w:rsidR="00235802">
        <w:rPr>
          <w:rFonts w:eastAsia="Calibri"/>
          <w:sz w:val="22"/>
          <w:szCs w:val="22"/>
        </w:rPr>
        <w:t xml:space="preserve"> </w:t>
      </w:r>
      <w:r w:rsidRPr="0081398E">
        <w:rPr>
          <w:rFonts w:eastAsia="Calibri"/>
          <w:sz w:val="22"/>
          <w:szCs w:val="22"/>
        </w:rPr>
        <w:t xml:space="preserve">presente Instrução de Voto terá validade para participação e deliberação na </w:t>
      </w:r>
      <w:r w:rsidRPr="0081398E" w:rsidR="00EB1262">
        <w:rPr>
          <w:rFonts w:eastAsia="Calibri"/>
          <w:sz w:val="22"/>
          <w:szCs w:val="22"/>
        </w:rPr>
        <w:t>Assembleia Especial</w:t>
      </w:r>
      <w:r w:rsidRPr="0081398E">
        <w:rPr>
          <w:rFonts w:eastAsia="Calibri"/>
          <w:sz w:val="22"/>
          <w:szCs w:val="22"/>
        </w:rPr>
        <w:t xml:space="preserve">, </w:t>
      </w:r>
      <w:r w:rsidRPr="0081398E" w:rsidR="00E65C63">
        <w:rPr>
          <w:rFonts w:eastAsia="Calibri"/>
          <w:sz w:val="22"/>
          <w:szCs w:val="22"/>
        </w:rPr>
        <w:t xml:space="preserve">assim como para eventuais adiamentos (por uma ou sucessivas vezes), </w:t>
      </w:r>
      <w:r w:rsidRPr="0081398E">
        <w:rPr>
          <w:rFonts w:eastAsia="Calibri"/>
          <w:sz w:val="22"/>
          <w:szCs w:val="22"/>
        </w:rPr>
        <w:t xml:space="preserve">reaberturas ou novas convocações (inclusive segunda convocação) da </w:t>
      </w:r>
      <w:r w:rsidRPr="0081398E" w:rsidR="00EB1262">
        <w:rPr>
          <w:rFonts w:eastAsia="Calibri"/>
          <w:sz w:val="22"/>
          <w:szCs w:val="22"/>
        </w:rPr>
        <w:t>Assembleia Especial</w:t>
      </w:r>
      <w:r w:rsidRPr="0081398E">
        <w:rPr>
          <w:rFonts w:eastAsia="Calibri"/>
          <w:sz w:val="22"/>
          <w:szCs w:val="22"/>
        </w:rPr>
        <w:t>.</w:t>
      </w:r>
      <w:r w:rsidRPr="0081398E" w:rsidR="001355D5">
        <w:rPr>
          <w:rFonts w:eastAsia="Calibri"/>
          <w:sz w:val="22"/>
          <w:szCs w:val="22"/>
        </w:rPr>
        <w:t xml:space="preserve"> </w:t>
      </w:r>
    </w:p>
    <w:p w:rsidR="00E86B8E" w:rsidRPr="0081398E" w:rsidP="0081398E" w14:paraId="41A69DC9" w14:textId="77777777">
      <w:pPr>
        <w:pStyle w:val="Default"/>
        <w:spacing w:line="320" w:lineRule="exact"/>
        <w:jc w:val="both"/>
        <w:rPr>
          <w:sz w:val="22"/>
          <w:szCs w:val="22"/>
        </w:rPr>
      </w:pPr>
    </w:p>
    <w:tbl>
      <w:tblPr>
        <w:tblStyle w:val="TableGrid"/>
        <w:tblW w:w="9493" w:type="dxa"/>
        <w:tblLook w:val="04A0"/>
      </w:tblPr>
      <w:tblGrid>
        <w:gridCol w:w="3964"/>
        <w:gridCol w:w="5529"/>
      </w:tblGrid>
      <w:tr w14:paraId="75C353E5" w14:textId="77777777" w:rsidTr="005E3F30">
        <w:tblPrEx>
          <w:tblW w:w="9493" w:type="dxa"/>
          <w:tblLook w:val="04A0"/>
        </w:tblPrEx>
        <w:trPr>
          <w:trHeight w:val="382"/>
        </w:trPr>
        <w:tc>
          <w:tcPr>
            <w:tcW w:w="3964" w:type="dxa"/>
          </w:tcPr>
          <w:p w:rsidR="0022141E" w:rsidRPr="0081398E" w:rsidP="0081398E" w14:paraId="2FFFF1E6" w14:textId="77777777">
            <w:pPr>
              <w:spacing w:line="320" w:lineRule="exact"/>
              <w:jc w:val="both"/>
              <w:rPr>
                <w:color w:val="000000"/>
                <w:sz w:val="22"/>
                <w:szCs w:val="22"/>
              </w:rPr>
            </w:pPr>
            <w:r w:rsidRPr="0081398E">
              <w:rPr>
                <w:color w:val="000000"/>
                <w:sz w:val="22"/>
                <w:szCs w:val="22"/>
              </w:rPr>
              <w:t>Local:</w:t>
            </w:r>
          </w:p>
        </w:tc>
        <w:tc>
          <w:tcPr>
            <w:tcW w:w="5529" w:type="dxa"/>
          </w:tcPr>
          <w:p w:rsidR="0022141E" w:rsidRPr="0081398E" w:rsidP="0081398E" w14:paraId="188FE40F" w14:textId="77777777">
            <w:pPr>
              <w:spacing w:line="320" w:lineRule="exact"/>
              <w:jc w:val="both"/>
              <w:rPr>
                <w:color w:val="000000"/>
                <w:sz w:val="22"/>
                <w:szCs w:val="22"/>
              </w:rPr>
            </w:pPr>
          </w:p>
          <w:p w:rsidR="0035729F" w:rsidRPr="0081398E" w:rsidP="0081398E" w14:paraId="08EFE225" w14:textId="16F6E3DA">
            <w:pPr>
              <w:spacing w:line="320" w:lineRule="exact"/>
              <w:jc w:val="both"/>
              <w:rPr>
                <w:color w:val="000000"/>
                <w:sz w:val="22"/>
                <w:szCs w:val="22"/>
              </w:rPr>
            </w:pPr>
          </w:p>
        </w:tc>
      </w:tr>
      <w:tr w14:paraId="3130727A" w14:textId="77777777" w:rsidTr="00EA2399">
        <w:tblPrEx>
          <w:tblW w:w="9493" w:type="dxa"/>
          <w:tblLook w:val="04A0"/>
        </w:tblPrEx>
        <w:trPr>
          <w:trHeight w:val="425"/>
        </w:trPr>
        <w:tc>
          <w:tcPr>
            <w:tcW w:w="3964" w:type="dxa"/>
          </w:tcPr>
          <w:p w:rsidR="0022141E" w:rsidRPr="0081398E" w:rsidP="0081398E" w14:paraId="617669B5" w14:textId="77777777">
            <w:pPr>
              <w:spacing w:line="320" w:lineRule="exact"/>
              <w:jc w:val="both"/>
              <w:rPr>
                <w:color w:val="000000"/>
                <w:sz w:val="22"/>
                <w:szCs w:val="22"/>
              </w:rPr>
            </w:pPr>
            <w:r w:rsidRPr="0081398E">
              <w:rPr>
                <w:color w:val="000000"/>
                <w:sz w:val="22"/>
                <w:szCs w:val="22"/>
              </w:rPr>
              <w:t>Data:</w:t>
            </w:r>
          </w:p>
        </w:tc>
        <w:tc>
          <w:tcPr>
            <w:tcW w:w="5529" w:type="dxa"/>
          </w:tcPr>
          <w:p w:rsidR="0022141E" w:rsidRPr="0081398E" w:rsidP="0081398E" w14:paraId="1D57592D" w14:textId="77777777">
            <w:pPr>
              <w:spacing w:line="320" w:lineRule="exact"/>
              <w:jc w:val="both"/>
              <w:rPr>
                <w:color w:val="000000"/>
                <w:sz w:val="22"/>
                <w:szCs w:val="22"/>
              </w:rPr>
            </w:pPr>
          </w:p>
          <w:p w:rsidR="0035729F" w:rsidRPr="0081398E" w:rsidP="0081398E" w14:paraId="16C225CA" w14:textId="0C185A92">
            <w:pPr>
              <w:spacing w:line="320" w:lineRule="exact"/>
              <w:jc w:val="both"/>
              <w:rPr>
                <w:color w:val="000000"/>
                <w:sz w:val="22"/>
                <w:szCs w:val="22"/>
              </w:rPr>
            </w:pPr>
          </w:p>
        </w:tc>
      </w:tr>
      <w:tr w14:paraId="52E3462C" w14:textId="77777777" w:rsidTr="00EA2399">
        <w:tblPrEx>
          <w:tblW w:w="9493" w:type="dxa"/>
          <w:tblLook w:val="04A0"/>
        </w:tblPrEx>
        <w:trPr>
          <w:trHeight w:val="425"/>
        </w:trPr>
        <w:tc>
          <w:tcPr>
            <w:tcW w:w="3964" w:type="dxa"/>
          </w:tcPr>
          <w:p w:rsidR="006C3E8B" w:rsidRPr="0081398E" w:rsidP="0081398E" w14:paraId="2D8D9D2E" w14:textId="2DE1B342">
            <w:pPr>
              <w:spacing w:line="320" w:lineRule="exact"/>
              <w:jc w:val="both"/>
              <w:rPr>
                <w:color w:val="000000"/>
                <w:sz w:val="22"/>
                <w:szCs w:val="22"/>
              </w:rPr>
            </w:pPr>
            <w:r w:rsidRPr="0081398E">
              <w:rPr>
                <w:color w:val="000000"/>
                <w:sz w:val="22"/>
                <w:szCs w:val="22"/>
              </w:rPr>
              <w:t>Nome Signatário:</w:t>
            </w:r>
          </w:p>
        </w:tc>
        <w:tc>
          <w:tcPr>
            <w:tcW w:w="5529" w:type="dxa"/>
          </w:tcPr>
          <w:p w:rsidR="006C3E8B" w:rsidRPr="0081398E" w:rsidP="0081398E" w14:paraId="30E132C5" w14:textId="77777777">
            <w:pPr>
              <w:spacing w:line="320" w:lineRule="exact"/>
              <w:jc w:val="both"/>
              <w:rPr>
                <w:color w:val="000000"/>
                <w:sz w:val="22"/>
                <w:szCs w:val="22"/>
              </w:rPr>
            </w:pPr>
          </w:p>
          <w:p w:rsidR="0035729F" w:rsidRPr="0081398E" w:rsidP="0081398E" w14:paraId="2CD3C2C2" w14:textId="6C0FB009">
            <w:pPr>
              <w:spacing w:line="320" w:lineRule="exact"/>
              <w:jc w:val="both"/>
              <w:rPr>
                <w:color w:val="000000"/>
                <w:sz w:val="22"/>
                <w:szCs w:val="22"/>
              </w:rPr>
            </w:pPr>
          </w:p>
        </w:tc>
      </w:tr>
      <w:tr w14:paraId="3B1D0B59" w14:textId="77777777" w:rsidTr="00EA2399">
        <w:tblPrEx>
          <w:tblW w:w="9493" w:type="dxa"/>
          <w:tblLook w:val="04A0"/>
        </w:tblPrEx>
        <w:trPr>
          <w:trHeight w:val="425"/>
        </w:trPr>
        <w:tc>
          <w:tcPr>
            <w:tcW w:w="3964" w:type="dxa"/>
          </w:tcPr>
          <w:p w:rsidR="006C3E8B" w:rsidRPr="0081398E" w:rsidP="0081398E" w14:paraId="02C1C5BC" w14:textId="314AC66F">
            <w:pPr>
              <w:spacing w:line="320" w:lineRule="exact"/>
              <w:jc w:val="both"/>
              <w:rPr>
                <w:color w:val="000000"/>
                <w:sz w:val="22"/>
                <w:szCs w:val="22"/>
              </w:rPr>
            </w:pPr>
            <w:r w:rsidRPr="0081398E">
              <w:rPr>
                <w:color w:val="000000"/>
                <w:sz w:val="22"/>
                <w:szCs w:val="22"/>
              </w:rPr>
              <w:t>CPF Signatário:</w:t>
            </w:r>
          </w:p>
        </w:tc>
        <w:tc>
          <w:tcPr>
            <w:tcW w:w="5529" w:type="dxa"/>
          </w:tcPr>
          <w:p w:rsidR="006C3E8B" w:rsidRPr="0081398E" w:rsidP="0081398E" w14:paraId="23885155" w14:textId="77777777">
            <w:pPr>
              <w:spacing w:line="320" w:lineRule="exact"/>
              <w:jc w:val="both"/>
              <w:rPr>
                <w:color w:val="000000"/>
                <w:sz w:val="22"/>
                <w:szCs w:val="22"/>
              </w:rPr>
            </w:pPr>
          </w:p>
          <w:p w:rsidR="0035729F" w:rsidRPr="0081398E" w:rsidP="0081398E" w14:paraId="5ECB5F8A" w14:textId="23CA50BE">
            <w:pPr>
              <w:spacing w:line="320" w:lineRule="exact"/>
              <w:jc w:val="both"/>
              <w:rPr>
                <w:color w:val="000000"/>
                <w:sz w:val="22"/>
                <w:szCs w:val="22"/>
              </w:rPr>
            </w:pPr>
          </w:p>
        </w:tc>
      </w:tr>
      <w:tr w14:paraId="2A6F3437" w14:textId="77777777" w:rsidTr="00EA2399">
        <w:tblPrEx>
          <w:tblW w:w="9493" w:type="dxa"/>
          <w:tblLook w:val="04A0"/>
        </w:tblPrEx>
        <w:trPr>
          <w:trHeight w:val="410"/>
        </w:trPr>
        <w:tc>
          <w:tcPr>
            <w:tcW w:w="3964" w:type="dxa"/>
          </w:tcPr>
          <w:p w:rsidR="0022141E" w:rsidRPr="0081398E" w:rsidP="0081398E" w14:paraId="2AA47FB9" w14:textId="77777777">
            <w:pPr>
              <w:spacing w:line="320" w:lineRule="exact"/>
              <w:jc w:val="both"/>
              <w:rPr>
                <w:color w:val="000000"/>
                <w:sz w:val="22"/>
                <w:szCs w:val="22"/>
              </w:rPr>
            </w:pPr>
            <w:r w:rsidRPr="0081398E">
              <w:rPr>
                <w:color w:val="000000"/>
                <w:sz w:val="22"/>
                <w:szCs w:val="22"/>
              </w:rPr>
              <w:t>Assinatura:</w:t>
            </w:r>
          </w:p>
        </w:tc>
        <w:tc>
          <w:tcPr>
            <w:tcW w:w="5529" w:type="dxa"/>
          </w:tcPr>
          <w:p w:rsidR="0022141E" w:rsidRPr="0081398E" w:rsidP="0081398E" w14:paraId="3F04C4BE" w14:textId="77777777">
            <w:pPr>
              <w:spacing w:line="320" w:lineRule="exact"/>
              <w:jc w:val="both"/>
              <w:rPr>
                <w:color w:val="000000"/>
                <w:sz w:val="22"/>
                <w:szCs w:val="22"/>
              </w:rPr>
            </w:pPr>
          </w:p>
          <w:p w:rsidR="0035729F" w:rsidRPr="0081398E" w:rsidP="0081398E" w14:paraId="5CBFED0E" w14:textId="77777777">
            <w:pPr>
              <w:spacing w:line="320" w:lineRule="exact"/>
              <w:jc w:val="both"/>
              <w:rPr>
                <w:color w:val="000000"/>
                <w:sz w:val="22"/>
                <w:szCs w:val="22"/>
              </w:rPr>
            </w:pPr>
          </w:p>
          <w:p w:rsidR="0035729F" w:rsidRPr="0081398E" w:rsidP="0081398E" w14:paraId="03C4A80A" w14:textId="43778F44">
            <w:pPr>
              <w:spacing w:line="320" w:lineRule="exact"/>
              <w:jc w:val="both"/>
              <w:rPr>
                <w:color w:val="000000"/>
                <w:sz w:val="22"/>
                <w:szCs w:val="22"/>
              </w:rPr>
            </w:pPr>
          </w:p>
        </w:tc>
      </w:tr>
    </w:tbl>
    <w:p w:rsidR="006F4039" w:rsidRPr="0081398E" w:rsidP="0081398E" w14:paraId="0732FEBF" w14:textId="77777777">
      <w:pPr>
        <w:spacing w:line="320" w:lineRule="exact"/>
        <w:rPr>
          <w:sz w:val="22"/>
          <w:szCs w:val="22"/>
        </w:rPr>
      </w:pPr>
    </w:p>
    <w:sectPr w:rsidSect="00036927">
      <w:headerReference w:type="default" r:id="rId5"/>
      <w:footerReference w:type="default" r:id="rId6"/>
      <w:pgSz w:w="12242" w:h="15842" w:code="1"/>
      <w:pgMar w:top="1701" w:right="1418" w:bottom="1418" w:left="1418" w:header="624" w:footer="68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D31" w:rsidRPr="00852459" w:rsidP="008A78D6" w14:paraId="0C91D214" w14:textId="623917C8">
    <w:pPr>
      <w:pStyle w:val="Footer"/>
      <w:rPr>
        <w:rFonts w:ascii="Tahoma" w:hAnsi="Tahoma" w:cs="Tahoma"/>
        <w:sz w:val="12"/>
      </w:rPr>
    </w:pPr>
    <w:r>
      <w:rPr>
        <w:rFonts w:ascii="Frutiger Light" w:hAnsi="Frutiger Light"/>
        <w:sz w:val="12"/>
      </w:rPr>
      <w:fldChar w:fldCharType="begin"/>
    </w:r>
    <w:r>
      <w:rPr>
        <w:rFonts w:ascii="Frutiger Light" w:hAnsi="Frutiger Light"/>
        <w:sz w:val="12"/>
      </w:rPr>
      <w:fldChar w:fldCharType="separate"/>
    </w:r>
    <w:r>
      <w:rPr>
        <w:rFonts w:ascii="Frutiger Light" w:hAnsi="Frutiger Light"/>
        <w:sz w:val="1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B9" w:rsidP="0081398E" w14:paraId="5F8A20C1" w14:textId="1B13FDB6">
    <w:pPr>
      <w:pStyle w:val="Header"/>
      <w:jc w:val="right"/>
      <w:rPr>
        <w:i/>
        <w:iCs/>
        <w:sz w:val="20"/>
        <w:szCs w:val="20"/>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-619613</wp:posOffset>
          </wp:positionV>
          <wp:extent cx="1807200" cy="1807200"/>
          <wp:effectExtent l="0" t="0" r="3175" b="3175"/>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21415" name="Picture 3" descr="Preparo"/>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7200" cy="1807200"/>
                  </a:xfrm>
                  <a:prstGeom prst="rect">
                    <a:avLst/>
                  </a:prstGeom>
                  <a:noFill/>
                  <a:ln>
                    <a:noFill/>
                  </a:ln>
                </pic:spPr>
              </pic:pic>
            </a:graphicData>
          </a:graphic>
        </wp:anchor>
      </w:drawing>
    </w:r>
    <w:r w:rsidR="0081398E">
      <w:rPr>
        <w:i/>
        <w:iCs/>
        <w:sz w:val="20"/>
        <w:szCs w:val="20"/>
      </w:rPr>
      <w:t>Minuta Cescon Barrieu</w:t>
    </w:r>
  </w:p>
  <w:p w:rsidR="0081398E" w:rsidP="0081398E" w14:paraId="68F8EFEE" w14:textId="619C45BB">
    <w:pPr>
      <w:pStyle w:val="Header"/>
      <w:jc w:val="right"/>
    </w:pPr>
    <w:r>
      <w:rPr>
        <w:i/>
        <w:iCs/>
        <w:sz w:val="20"/>
        <w:szCs w:val="20"/>
      </w:rPr>
      <w:t>25</w:t>
    </w:r>
    <w:r>
      <w:rPr>
        <w:i/>
        <w:iCs/>
        <w:sz w:val="20"/>
        <w:szCs w:val="20"/>
      </w:rPr>
      <w:t>.10.2022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A512C3"/>
    <w:multiLevelType w:val="multilevel"/>
    <w:tmpl w:val="0ACA4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24386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E405EC9"/>
    <w:multiLevelType w:val="hybridMultilevel"/>
    <w:tmpl w:val="74AC74E2"/>
    <w:lvl w:ilvl="0">
      <w:start w:val="1"/>
      <w:numFmt w:val="decimal"/>
      <w:lvlText w:val="%1)"/>
      <w:lvlJc w:val="left"/>
      <w:pPr>
        <w:ind w:left="786" w:hanging="360"/>
      </w:pPr>
      <w:rPr>
        <w:rFonts w:hint="default"/>
        <w:b/>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nsid w:val="33ED446E"/>
    <w:multiLevelType w:val="hybridMultilevel"/>
    <w:tmpl w:val="6E80A2D6"/>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850E9C"/>
    <w:multiLevelType w:val="hybridMultilevel"/>
    <w:tmpl w:val="0310B9E8"/>
    <w:lvl w:ilvl="0">
      <w:start w:val="1"/>
      <w:numFmt w:val="low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E13225F"/>
    <w:multiLevelType w:val="hybridMultilevel"/>
    <w:tmpl w:val="1F9E5EC8"/>
    <w:lvl w:ilvl="0">
      <w:start w:val="1"/>
      <w:numFmt w:val="upperRoman"/>
      <w:lvlText w:val="(%1)"/>
      <w:lvlJc w:val="left"/>
      <w:pPr>
        <w:ind w:left="1080" w:hanging="72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BF41752"/>
    <w:multiLevelType w:val="hybridMultilevel"/>
    <w:tmpl w:val="F7ECA37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69C63D2"/>
    <w:multiLevelType w:val="hybridMultilevel"/>
    <w:tmpl w:val="B1CC9144"/>
    <w:lvl w:ilvl="0">
      <w:start w:val="1"/>
      <w:numFmt w:val="lowerLetter"/>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AE36464"/>
    <w:multiLevelType w:val="hybridMultilevel"/>
    <w:tmpl w:val="7860617A"/>
    <w:lvl w:ilvl="0">
      <w:start w:val="1"/>
      <w:numFmt w:val="decimal"/>
      <w:lvlText w:val="%1."/>
      <w:lvlJc w:val="left"/>
      <w:pPr>
        <w:ind w:left="6958" w:hanging="720"/>
      </w:pPr>
      <w:rPr>
        <w:rFonts w:hint="default"/>
        <w:b/>
      </w:rPr>
    </w:lvl>
    <w:lvl w:ilvl="1" w:tentative="1">
      <w:start w:val="1"/>
      <w:numFmt w:val="lowerLetter"/>
      <w:lvlText w:val="%2."/>
      <w:lvlJc w:val="left"/>
      <w:pPr>
        <w:ind w:left="7318" w:hanging="360"/>
      </w:pPr>
    </w:lvl>
    <w:lvl w:ilvl="2" w:tentative="1">
      <w:start w:val="1"/>
      <w:numFmt w:val="lowerRoman"/>
      <w:lvlText w:val="%3."/>
      <w:lvlJc w:val="right"/>
      <w:pPr>
        <w:ind w:left="8038" w:hanging="180"/>
      </w:pPr>
    </w:lvl>
    <w:lvl w:ilvl="3" w:tentative="1">
      <w:start w:val="1"/>
      <w:numFmt w:val="decimal"/>
      <w:lvlText w:val="%4."/>
      <w:lvlJc w:val="left"/>
      <w:pPr>
        <w:ind w:left="8758" w:hanging="360"/>
      </w:pPr>
    </w:lvl>
    <w:lvl w:ilvl="4" w:tentative="1">
      <w:start w:val="1"/>
      <w:numFmt w:val="lowerLetter"/>
      <w:lvlText w:val="%5."/>
      <w:lvlJc w:val="left"/>
      <w:pPr>
        <w:ind w:left="9478" w:hanging="360"/>
      </w:pPr>
    </w:lvl>
    <w:lvl w:ilvl="5" w:tentative="1">
      <w:start w:val="1"/>
      <w:numFmt w:val="lowerRoman"/>
      <w:lvlText w:val="%6."/>
      <w:lvlJc w:val="right"/>
      <w:pPr>
        <w:ind w:left="10198" w:hanging="180"/>
      </w:pPr>
    </w:lvl>
    <w:lvl w:ilvl="6" w:tentative="1">
      <w:start w:val="1"/>
      <w:numFmt w:val="decimal"/>
      <w:lvlText w:val="%7."/>
      <w:lvlJc w:val="left"/>
      <w:pPr>
        <w:ind w:left="10918" w:hanging="360"/>
      </w:pPr>
    </w:lvl>
    <w:lvl w:ilvl="7" w:tentative="1">
      <w:start w:val="1"/>
      <w:numFmt w:val="lowerLetter"/>
      <w:lvlText w:val="%8."/>
      <w:lvlJc w:val="left"/>
      <w:pPr>
        <w:ind w:left="11638" w:hanging="360"/>
      </w:pPr>
    </w:lvl>
    <w:lvl w:ilvl="8" w:tentative="1">
      <w:start w:val="1"/>
      <w:numFmt w:val="lowerRoman"/>
      <w:lvlText w:val="%9."/>
      <w:lvlJc w:val="right"/>
      <w:pPr>
        <w:ind w:left="12358" w:hanging="180"/>
      </w:pPr>
    </w:lvl>
  </w:abstractNum>
  <w:abstractNum w:abstractNumId="9">
    <w:nsid w:val="6DC854B9"/>
    <w:multiLevelType w:val="hybridMultilevel"/>
    <w:tmpl w:val="2A7E94A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1CE343A"/>
    <w:multiLevelType w:val="hybridMultilevel"/>
    <w:tmpl w:val="B4909BEC"/>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6C57BF"/>
    <w:multiLevelType w:val="hybridMultilevel"/>
    <w:tmpl w:val="18F82AC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29B70A9"/>
    <w:multiLevelType w:val="hybridMultilevel"/>
    <w:tmpl w:val="32C4163A"/>
    <w:lvl w:ilvl="0">
      <w:start w:val="1"/>
      <w:numFmt w:val="lowerRoman"/>
      <w:lvlText w:val="(%1)"/>
      <w:lvlJc w:val="left"/>
      <w:pPr>
        <w:ind w:left="108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EC779FA"/>
    <w:multiLevelType w:val="hybridMultilevel"/>
    <w:tmpl w:val="D026FE00"/>
    <w:lvl w:ilvl="0">
      <w:start w:val="1"/>
      <w:numFmt w:val="lowerRoman"/>
      <w:lvlText w:val="(%1)"/>
      <w:lvlJc w:val="left"/>
      <w:pPr>
        <w:ind w:left="720" w:hanging="360"/>
      </w:pPr>
      <w:rPr>
        <w:rFonts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8"/>
  </w:num>
  <w:num w:numId="6">
    <w:abstractNumId w:val="12"/>
  </w:num>
  <w:num w:numId="7">
    <w:abstractNumId w:val="0"/>
  </w:num>
  <w:num w:numId="8">
    <w:abstractNumId w:val="9"/>
  </w:num>
  <w:num w:numId="9">
    <w:abstractNumId w:val="10"/>
  </w:num>
  <w:num w:numId="10">
    <w:abstractNumId w:val="4"/>
  </w:num>
  <w:num w:numId="11">
    <w:abstractNumId w:val="3"/>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120"/>
  <w:drawingGridVerticalSpacing w:val="17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AC"/>
    <w:rsid w:val="000047FA"/>
    <w:rsid w:val="00005A91"/>
    <w:rsid w:val="0000674B"/>
    <w:rsid w:val="0000687A"/>
    <w:rsid w:val="00006F6C"/>
    <w:rsid w:val="0001743C"/>
    <w:rsid w:val="0002347E"/>
    <w:rsid w:val="000259A5"/>
    <w:rsid w:val="00025C22"/>
    <w:rsid w:val="00030A02"/>
    <w:rsid w:val="00036927"/>
    <w:rsid w:val="0004690F"/>
    <w:rsid w:val="00050BF1"/>
    <w:rsid w:val="00051B4F"/>
    <w:rsid w:val="000629B8"/>
    <w:rsid w:val="00064892"/>
    <w:rsid w:val="00071026"/>
    <w:rsid w:val="0007302A"/>
    <w:rsid w:val="0007342C"/>
    <w:rsid w:val="00074D95"/>
    <w:rsid w:val="00084757"/>
    <w:rsid w:val="00086288"/>
    <w:rsid w:val="000958D4"/>
    <w:rsid w:val="00097640"/>
    <w:rsid w:val="000A0AB0"/>
    <w:rsid w:val="000B2529"/>
    <w:rsid w:val="000B4044"/>
    <w:rsid w:val="000B4C97"/>
    <w:rsid w:val="000B5523"/>
    <w:rsid w:val="000D1E62"/>
    <w:rsid w:val="000D6DBE"/>
    <w:rsid w:val="000E0216"/>
    <w:rsid w:val="000E515C"/>
    <w:rsid w:val="000E729B"/>
    <w:rsid w:val="000F15AA"/>
    <w:rsid w:val="000F3E12"/>
    <w:rsid w:val="000F4BD9"/>
    <w:rsid w:val="000F4C9A"/>
    <w:rsid w:val="000F7D09"/>
    <w:rsid w:val="00100DDD"/>
    <w:rsid w:val="00100F01"/>
    <w:rsid w:val="001028A9"/>
    <w:rsid w:val="0010319E"/>
    <w:rsid w:val="001068D5"/>
    <w:rsid w:val="00115802"/>
    <w:rsid w:val="00120B20"/>
    <w:rsid w:val="00122CF7"/>
    <w:rsid w:val="0012571D"/>
    <w:rsid w:val="00126D70"/>
    <w:rsid w:val="00130D4C"/>
    <w:rsid w:val="00131183"/>
    <w:rsid w:val="00133659"/>
    <w:rsid w:val="001352F1"/>
    <w:rsid w:val="001355D5"/>
    <w:rsid w:val="001461AC"/>
    <w:rsid w:val="00151632"/>
    <w:rsid w:val="001549FE"/>
    <w:rsid w:val="00154A84"/>
    <w:rsid w:val="00155912"/>
    <w:rsid w:val="00156263"/>
    <w:rsid w:val="001571B8"/>
    <w:rsid w:val="0016037F"/>
    <w:rsid w:val="00160EBF"/>
    <w:rsid w:val="0016670F"/>
    <w:rsid w:val="00173F97"/>
    <w:rsid w:val="00175E81"/>
    <w:rsid w:val="0017692D"/>
    <w:rsid w:val="00176CB0"/>
    <w:rsid w:val="00180AF6"/>
    <w:rsid w:val="001856EC"/>
    <w:rsid w:val="00185B91"/>
    <w:rsid w:val="00187FE5"/>
    <w:rsid w:val="001914D1"/>
    <w:rsid w:val="0019354F"/>
    <w:rsid w:val="00194982"/>
    <w:rsid w:val="001963C4"/>
    <w:rsid w:val="001A23DB"/>
    <w:rsid w:val="001B105A"/>
    <w:rsid w:val="001B692E"/>
    <w:rsid w:val="001C0D7C"/>
    <w:rsid w:val="001C2D91"/>
    <w:rsid w:val="001C71E5"/>
    <w:rsid w:val="001D2D54"/>
    <w:rsid w:val="001D3054"/>
    <w:rsid w:val="001D3DCE"/>
    <w:rsid w:val="001D7976"/>
    <w:rsid w:val="001E3660"/>
    <w:rsid w:val="001E3A8A"/>
    <w:rsid w:val="001E46AC"/>
    <w:rsid w:val="001E6224"/>
    <w:rsid w:val="001F3C39"/>
    <w:rsid w:val="001F4258"/>
    <w:rsid w:val="001F7058"/>
    <w:rsid w:val="001F7D56"/>
    <w:rsid w:val="00203037"/>
    <w:rsid w:val="00205F48"/>
    <w:rsid w:val="00210E38"/>
    <w:rsid w:val="00214347"/>
    <w:rsid w:val="00216960"/>
    <w:rsid w:val="0022141E"/>
    <w:rsid w:val="00221433"/>
    <w:rsid w:val="00222B44"/>
    <w:rsid w:val="00223B7B"/>
    <w:rsid w:val="002255D9"/>
    <w:rsid w:val="00231C92"/>
    <w:rsid w:val="002352F3"/>
    <w:rsid w:val="00235802"/>
    <w:rsid w:val="00236E5D"/>
    <w:rsid w:val="00237677"/>
    <w:rsid w:val="002412A6"/>
    <w:rsid w:val="002417FE"/>
    <w:rsid w:val="00241A59"/>
    <w:rsid w:val="00243F0E"/>
    <w:rsid w:val="00246A85"/>
    <w:rsid w:val="00251A55"/>
    <w:rsid w:val="00253B51"/>
    <w:rsid w:val="00257E22"/>
    <w:rsid w:val="00257E65"/>
    <w:rsid w:val="00263176"/>
    <w:rsid w:val="00263274"/>
    <w:rsid w:val="00274F1A"/>
    <w:rsid w:val="002775C7"/>
    <w:rsid w:val="002829E2"/>
    <w:rsid w:val="002924D1"/>
    <w:rsid w:val="0029324D"/>
    <w:rsid w:val="002A1E7C"/>
    <w:rsid w:val="002A424D"/>
    <w:rsid w:val="002A5A08"/>
    <w:rsid w:val="002B00CF"/>
    <w:rsid w:val="002B0AC7"/>
    <w:rsid w:val="002B192F"/>
    <w:rsid w:val="002C54A4"/>
    <w:rsid w:val="002C5705"/>
    <w:rsid w:val="002C64EC"/>
    <w:rsid w:val="002D4CDB"/>
    <w:rsid w:val="002D4D1A"/>
    <w:rsid w:val="002E1C7D"/>
    <w:rsid w:val="002E4300"/>
    <w:rsid w:val="002E6B82"/>
    <w:rsid w:val="002E7344"/>
    <w:rsid w:val="002F0E47"/>
    <w:rsid w:val="002F2848"/>
    <w:rsid w:val="002F2D30"/>
    <w:rsid w:val="002F4082"/>
    <w:rsid w:val="002F50F3"/>
    <w:rsid w:val="00300A64"/>
    <w:rsid w:val="00300B20"/>
    <w:rsid w:val="00303D28"/>
    <w:rsid w:val="00306060"/>
    <w:rsid w:val="00307011"/>
    <w:rsid w:val="00307F4A"/>
    <w:rsid w:val="00310874"/>
    <w:rsid w:val="003113D9"/>
    <w:rsid w:val="003135B8"/>
    <w:rsid w:val="00314AC1"/>
    <w:rsid w:val="00320058"/>
    <w:rsid w:val="00324163"/>
    <w:rsid w:val="00333053"/>
    <w:rsid w:val="00335CC4"/>
    <w:rsid w:val="0033744C"/>
    <w:rsid w:val="00353283"/>
    <w:rsid w:val="0035340C"/>
    <w:rsid w:val="003542CA"/>
    <w:rsid w:val="0035729F"/>
    <w:rsid w:val="003577EC"/>
    <w:rsid w:val="00357BDF"/>
    <w:rsid w:val="00366467"/>
    <w:rsid w:val="00367B64"/>
    <w:rsid w:val="003726FF"/>
    <w:rsid w:val="003728A8"/>
    <w:rsid w:val="00373F93"/>
    <w:rsid w:val="00377267"/>
    <w:rsid w:val="00377EE6"/>
    <w:rsid w:val="00381E21"/>
    <w:rsid w:val="00383E4F"/>
    <w:rsid w:val="003841E5"/>
    <w:rsid w:val="00392A69"/>
    <w:rsid w:val="00395809"/>
    <w:rsid w:val="0039591C"/>
    <w:rsid w:val="00396A25"/>
    <w:rsid w:val="003A0659"/>
    <w:rsid w:val="003C7A79"/>
    <w:rsid w:val="003D2F2F"/>
    <w:rsid w:val="003D5D4A"/>
    <w:rsid w:val="003D7939"/>
    <w:rsid w:val="003E1799"/>
    <w:rsid w:val="003E2924"/>
    <w:rsid w:val="003F1A9C"/>
    <w:rsid w:val="003F7D1C"/>
    <w:rsid w:val="00406431"/>
    <w:rsid w:val="00413D25"/>
    <w:rsid w:val="004211D8"/>
    <w:rsid w:val="00430E0F"/>
    <w:rsid w:val="00432FD6"/>
    <w:rsid w:val="004465C2"/>
    <w:rsid w:val="00447D56"/>
    <w:rsid w:val="004546D4"/>
    <w:rsid w:val="00456766"/>
    <w:rsid w:val="0047271B"/>
    <w:rsid w:val="00481264"/>
    <w:rsid w:val="0048532D"/>
    <w:rsid w:val="0049774E"/>
    <w:rsid w:val="004A0324"/>
    <w:rsid w:val="004C153A"/>
    <w:rsid w:val="004C712A"/>
    <w:rsid w:val="004C71DE"/>
    <w:rsid w:val="004C7791"/>
    <w:rsid w:val="004D3AAD"/>
    <w:rsid w:val="004E2E5E"/>
    <w:rsid w:val="004E404F"/>
    <w:rsid w:val="0050253C"/>
    <w:rsid w:val="00503BB3"/>
    <w:rsid w:val="0050587F"/>
    <w:rsid w:val="00511B98"/>
    <w:rsid w:val="0051663E"/>
    <w:rsid w:val="00521CD3"/>
    <w:rsid w:val="0052519A"/>
    <w:rsid w:val="00526FFB"/>
    <w:rsid w:val="00531793"/>
    <w:rsid w:val="00532E3C"/>
    <w:rsid w:val="00534412"/>
    <w:rsid w:val="005426FB"/>
    <w:rsid w:val="00542F9B"/>
    <w:rsid w:val="00551E58"/>
    <w:rsid w:val="00556539"/>
    <w:rsid w:val="005632E5"/>
    <w:rsid w:val="00563409"/>
    <w:rsid w:val="00572EFB"/>
    <w:rsid w:val="00574630"/>
    <w:rsid w:val="005755CC"/>
    <w:rsid w:val="00580FC3"/>
    <w:rsid w:val="00583040"/>
    <w:rsid w:val="00585507"/>
    <w:rsid w:val="00586323"/>
    <w:rsid w:val="00591CE6"/>
    <w:rsid w:val="00591E18"/>
    <w:rsid w:val="00595EE0"/>
    <w:rsid w:val="00596874"/>
    <w:rsid w:val="005A6B3D"/>
    <w:rsid w:val="005A735F"/>
    <w:rsid w:val="005B43C4"/>
    <w:rsid w:val="005C1052"/>
    <w:rsid w:val="005C4766"/>
    <w:rsid w:val="005C679C"/>
    <w:rsid w:val="005C7319"/>
    <w:rsid w:val="005C7F6A"/>
    <w:rsid w:val="005D40BF"/>
    <w:rsid w:val="005D4E6D"/>
    <w:rsid w:val="005D5D46"/>
    <w:rsid w:val="005D67D4"/>
    <w:rsid w:val="005E24CB"/>
    <w:rsid w:val="005E3F30"/>
    <w:rsid w:val="005E40E1"/>
    <w:rsid w:val="005E758A"/>
    <w:rsid w:val="005F028A"/>
    <w:rsid w:val="005F1C5E"/>
    <w:rsid w:val="005F66FC"/>
    <w:rsid w:val="00606371"/>
    <w:rsid w:val="00616E5E"/>
    <w:rsid w:val="006174A0"/>
    <w:rsid w:val="00621341"/>
    <w:rsid w:val="006434FE"/>
    <w:rsid w:val="00645CD4"/>
    <w:rsid w:val="0064690E"/>
    <w:rsid w:val="00647E8D"/>
    <w:rsid w:val="006515BA"/>
    <w:rsid w:val="00652898"/>
    <w:rsid w:val="0065779F"/>
    <w:rsid w:val="00660476"/>
    <w:rsid w:val="0066493A"/>
    <w:rsid w:val="006655B6"/>
    <w:rsid w:val="00666B07"/>
    <w:rsid w:val="00682ECC"/>
    <w:rsid w:val="0068517C"/>
    <w:rsid w:val="00687488"/>
    <w:rsid w:val="00692ED8"/>
    <w:rsid w:val="00693776"/>
    <w:rsid w:val="00697951"/>
    <w:rsid w:val="006A2377"/>
    <w:rsid w:val="006A4851"/>
    <w:rsid w:val="006A6496"/>
    <w:rsid w:val="006A772D"/>
    <w:rsid w:val="006A7B7C"/>
    <w:rsid w:val="006B1709"/>
    <w:rsid w:val="006B554C"/>
    <w:rsid w:val="006C3E8B"/>
    <w:rsid w:val="006C64D4"/>
    <w:rsid w:val="006D3493"/>
    <w:rsid w:val="006D4A8B"/>
    <w:rsid w:val="006E34EA"/>
    <w:rsid w:val="006E4215"/>
    <w:rsid w:val="006F1B63"/>
    <w:rsid w:val="006F22EB"/>
    <w:rsid w:val="006F4039"/>
    <w:rsid w:val="006F6A6B"/>
    <w:rsid w:val="006F771F"/>
    <w:rsid w:val="00700A35"/>
    <w:rsid w:val="00700D61"/>
    <w:rsid w:val="00701238"/>
    <w:rsid w:val="00704DD6"/>
    <w:rsid w:val="00707249"/>
    <w:rsid w:val="007175C4"/>
    <w:rsid w:val="0072010A"/>
    <w:rsid w:val="00721F89"/>
    <w:rsid w:val="007327FA"/>
    <w:rsid w:val="0073465F"/>
    <w:rsid w:val="00734EE1"/>
    <w:rsid w:val="0076764C"/>
    <w:rsid w:val="007751DE"/>
    <w:rsid w:val="00775C64"/>
    <w:rsid w:val="00780EA3"/>
    <w:rsid w:val="007865F2"/>
    <w:rsid w:val="007925D0"/>
    <w:rsid w:val="007934B5"/>
    <w:rsid w:val="00793FEC"/>
    <w:rsid w:val="00795334"/>
    <w:rsid w:val="0079650E"/>
    <w:rsid w:val="007A0D05"/>
    <w:rsid w:val="007A294D"/>
    <w:rsid w:val="007A2E78"/>
    <w:rsid w:val="007A78A5"/>
    <w:rsid w:val="007B2EF8"/>
    <w:rsid w:val="007B3D12"/>
    <w:rsid w:val="007B761E"/>
    <w:rsid w:val="007B797F"/>
    <w:rsid w:val="007C5181"/>
    <w:rsid w:val="007C71F9"/>
    <w:rsid w:val="007C7249"/>
    <w:rsid w:val="007D4A03"/>
    <w:rsid w:val="007E3400"/>
    <w:rsid w:val="007E39BE"/>
    <w:rsid w:val="007E3C89"/>
    <w:rsid w:val="007E4649"/>
    <w:rsid w:val="007E47A5"/>
    <w:rsid w:val="007E74AD"/>
    <w:rsid w:val="007E7E05"/>
    <w:rsid w:val="007F16FE"/>
    <w:rsid w:val="007F2752"/>
    <w:rsid w:val="00800391"/>
    <w:rsid w:val="00800FAF"/>
    <w:rsid w:val="00804E59"/>
    <w:rsid w:val="0081004D"/>
    <w:rsid w:val="00810E6F"/>
    <w:rsid w:val="0081353F"/>
    <w:rsid w:val="0081398E"/>
    <w:rsid w:val="00814217"/>
    <w:rsid w:val="00817BD1"/>
    <w:rsid w:val="008210A3"/>
    <w:rsid w:val="008245BC"/>
    <w:rsid w:val="00826063"/>
    <w:rsid w:val="008264D0"/>
    <w:rsid w:val="008306D6"/>
    <w:rsid w:val="0083246B"/>
    <w:rsid w:val="008428DB"/>
    <w:rsid w:val="00842B22"/>
    <w:rsid w:val="008447FE"/>
    <w:rsid w:val="00845532"/>
    <w:rsid w:val="008506D0"/>
    <w:rsid w:val="00852459"/>
    <w:rsid w:val="0085606D"/>
    <w:rsid w:val="0085701E"/>
    <w:rsid w:val="00861F65"/>
    <w:rsid w:val="008627CB"/>
    <w:rsid w:val="00865296"/>
    <w:rsid w:val="00870283"/>
    <w:rsid w:val="00873549"/>
    <w:rsid w:val="00876A33"/>
    <w:rsid w:val="0088023A"/>
    <w:rsid w:val="00885A3E"/>
    <w:rsid w:val="00886D39"/>
    <w:rsid w:val="00894396"/>
    <w:rsid w:val="00897665"/>
    <w:rsid w:val="008A42E9"/>
    <w:rsid w:val="008A60B2"/>
    <w:rsid w:val="008A78D6"/>
    <w:rsid w:val="008B0B1E"/>
    <w:rsid w:val="008B24D9"/>
    <w:rsid w:val="008B7957"/>
    <w:rsid w:val="008C13C9"/>
    <w:rsid w:val="008C327A"/>
    <w:rsid w:val="008D1660"/>
    <w:rsid w:val="008D41F6"/>
    <w:rsid w:val="008D4998"/>
    <w:rsid w:val="008D6083"/>
    <w:rsid w:val="008D662B"/>
    <w:rsid w:val="008E4213"/>
    <w:rsid w:val="008E6A54"/>
    <w:rsid w:val="008F128E"/>
    <w:rsid w:val="008F152C"/>
    <w:rsid w:val="008F7E06"/>
    <w:rsid w:val="00902B5B"/>
    <w:rsid w:val="0090693A"/>
    <w:rsid w:val="009143B9"/>
    <w:rsid w:val="00914508"/>
    <w:rsid w:val="009154A1"/>
    <w:rsid w:val="00920AA0"/>
    <w:rsid w:val="00920B6E"/>
    <w:rsid w:val="00925743"/>
    <w:rsid w:val="0092690C"/>
    <w:rsid w:val="00934614"/>
    <w:rsid w:val="00936238"/>
    <w:rsid w:val="00943AD6"/>
    <w:rsid w:val="009543CC"/>
    <w:rsid w:val="00955C92"/>
    <w:rsid w:val="00957FF0"/>
    <w:rsid w:val="0096344A"/>
    <w:rsid w:val="00964667"/>
    <w:rsid w:val="0096599D"/>
    <w:rsid w:val="0097576F"/>
    <w:rsid w:val="0098653F"/>
    <w:rsid w:val="00987933"/>
    <w:rsid w:val="00987D80"/>
    <w:rsid w:val="00990C1E"/>
    <w:rsid w:val="00992395"/>
    <w:rsid w:val="00993DF4"/>
    <w:rsid w:val="009A0410"/>
    <w:rsid w:val="009A0947"/>
    <w:rsid w:val="009A226D"/>
    <w:rsid w:val="009A6F01"/>
    <w:rsid w:val="009B0A37"/>
    <w:rsid w:val="009B0AC0"/>
    <w:rsid w:val="009B239E"/>
    <w:rsid w:val="009B2C26"/>
    <w:rsid w:val="009B41DC"/>
    <w:rsid w:val="009B4D8A"/>
    <w:rsid w:val="009B57E5"/>
    <w:rsid w:val="009C5C7B"/>
    <w:rsid w:val="009C5DB1"/>
    <w:rsid w:val="009D080C"/>
    <w:rsid w:val="009D0A46"/>
    <w:rsid w:val="009D25E5"/>
    <w:rsid w:val="009D2EBC"/>
    <w:rsid w:val="009D2FAD"/>
    <w:rsid w:val="009D5B0E"/>
    <w:rsid w:val="009E04B3"/>
    <w:rsid w:val="009E2C94"/>
    <w:rsid w:val="009E63A9"/>
    <w:rsid w:val="009E7F16"/>
    <w:rsid w:val="009F0710"/>
    <w:rsid w:val="009F1433"/>
    <w:rsid w:val="009F2846"/>
    <w:rsid w:val="009F3244"/>
    <w:rsid w:val="009F59D1"/>
    <w:rsid w:val="00A02903"/>
    <w:rsid w:val="00A23719"/>
    <w:rsid w:val="00A25C34"/>
    <w:rsid w:val="00A27C15"/>
    <w:rsid w:val="00A3166F"/>
    <w:rsid w:val="00A31746"/>
    <w:rsid w:val="00A32542"/>
    <w:rsid w:val="00A3563A"/>
    <w:rsid w:val="00A46B13"/>
    <w:rsid w:val="00A5423F"/>
    <w:rsid w:val="00A544DD"/>
    <w:rsid w:val="00A63342"/>
    <w:rsid w:val="00A64254"/>
    <w:rsid w:val="00A6511B"/>
    <w:rsid w:val="00A67096"/>
    <w:rsid w:val="00A67DC9"/>
    <w:rsid w:val="00A67DE0"/>
    <w:rsid w:val="00A728E6"/>
    <w:rsid w:val="00A775F3"/>
    <w:rsid w:val="00A87220"/>
    <w:rsid w:val="00A87430"/>
    <w:rsid w:val="00A87ABA"/>
    <w:rsid w:val="00A966EB"/>
    <w:rsid w:val="00AA1F52"/>
    <w:rsid w:val="00AA29CA"/>
    <w:rsid w:val="00AA44D7"/>
    <w:rsid w:val="00AA67CA"/>
    <w:rsid w:val="00AA71AC"/>
    <w:rsid w:val="00AB27FB"/>
    <w:rsid w:val="00AB47BE"/>
    <w:rsid w:val="00AB4B67"/>
    <w:rsid w:val="00AB5323"/>
    <w:rsid w:val="00AC0490"/>
    <w:rsid w:val="00AC0858"/>
    <w:rsid w:val="00AC34C0"/>
    <w:rsid w:val="00AC383D"/>
    <w:rsid w:val="00AC44AE"/>
    <w:rsid w:val="00AC634E"/>
    <w:rsid w:val="00AC7492"/>
    <w:rsid w:val="00AD0FCC"/>
    <w:rsid w:val="00AD5C3E"/>
    <w:rsid w:val="00AD6D81"/>
    <w:rsid w:val="00AE0598"/>
    <w:rsid w:val="00AE4BA5"/>
    <w:rsid w:val="00AF3BA0"/>
    <w:rsid w:val="00AF4C25"/>
    <w:rsid w:val="00AF4F4B"/>
    <w:rsid w:val="00AF7B9B"/>
    <w:rsid w:val="00B02A23"/>
    <w:rsid w:val="00B10158"/>
    <w:rsid w:val="00B10338"/>
    <w:rsid w:val="00B13A98"/>
    <w:rsid w:val="00B14DB4"/>
    <w:rsid w:val="00B15136"/>
    <w:rsid w:val="00B16449"/>
    <w:rsid w:val="00B2184E"/>
    <w:rsid w:val="00B21F56"/>
    <w:rsid w:val="00B2273E"/>
    <w:rsid w:val="00B256AC"/>
    <w:rsid w:val="00B30774"/>
    <w:rsid w:val="00B3443B"/>
    <w:rsid w:val="00B349F2"/>
    <w:rsid w:val="00B3567F"/>
    <w:rsid w:val="00B35AA7"/>
    <w:rsid w:val="00B42CB8"/>
    <w:rsid w:val="00B4430F"/>
    <w:rsid w:val="00B4456B"/>
    <w:rsid w:val="00B460D4"/>
    <w:rsid w:val="00B71159"/>
    <w:rsid w:val="00B74B4E"/>
    <w:rsid w:val="00B9115E"/>
    <w:rsid w:val="00B957D7"/>
    <w:rsid w:val="00B9695B"/>
    <w:rsid w:val="00BB1673"/>
    <w:rsid w:val="00BB7EEC"/>
    <w:rsid w:val="00BC1C7B"/>
    <w:rsid w:val="00BC3DA9"/>
    <w:rsid w:val="00BD1013"/>
    <w:rsid w:val="00BD3CF2"/>
    <w:rsid w:val="00BD675C"/>
    <w:rsid w:val="00BE515E"/>
    <w:rsid w:val="00BE5E4A"/>
    <w:rsid w:val="00BE6374"/>
    <w:rsid w:val="00BE737B"/>
    <w:rsid w:val="00BF0D94"/>
    <w:rsid w:val="00BF4127"/>
    <w:rsid w:val="00BF4484"/>
    <w:rsid w:val="00BF5437"/>
    <w:rsid w:val="00C00C5B"/>
    <w:rsid w:val="00C0143A"/>
    <w:rsid w:val="00C034B0"/>
    <w:rsid w:val="00C0603D"/>
    <w:rsid w:val="00C07A9C"/>
    <w:rsid w:val="00C10F43"/>
    <w:rsid w:val="00C16793"/>
    <w:rsid w:val="00C20548"/>
    <w:rsid w:val="00C34416"/>
    <w:rsid w:val="00C52792"/>
    <w:rsid w:val="00C52F86"/>
    <w:rsid w:val="00C57791"/>
    <w:rsid w:val="00C61020"/>
    <w:rsid w:val="00C64ACB"/>
    <w:rsid w:val="00C65DE1"/>
    <w:rsid w:val="00C704BC"/>
    <w:rsid w:val="00C731AE"/>
    <w:rsid w:val="00C75127"/>
    <w:rsid w:val="00C75F5B"/>
    <w:rsid w:val="00C80850"/>
    <w:rsid w:val="00C80C28"/>
    <w:rsid w:val="00C816D7"/>
    <w:rsid w:val="00C929DC"/>
    <w:rsid w:val="00C92ECE"/>
    <w:rsid w:val="00C97D6F"/>
    <w:rsid w:val="00CA1467"/>
    <w:rsid w:val="00CA170A"/>
    <w:rsid w:val="00CA7B29"/>
    <w:rsid w:val="00CB1DA7"/>
    <w:rsid w:val="00CB5076"/>
    <w:rsid w:val="00CB758D"/>
    <w:rsid w:val="00CC109F"/>
    <w:rsid w:val="00CC28C7"/>
    <w:rsid w:val="00CC4870"/>
    <w:rsid w:val="00CC53EC"/>
    <w:rsid w:val="00CC66A9"/>
    <w:rsid w:val="00CC74AF"/>
    <w:rsid w:val="00CD02E3"/>
    <w:rsid w:val="00CD4BF2"/>
    <w:rsid w:val="00CE1F61"/>
    <w:rsid w:val="00CE2071"/>
    <w:rsid w:val="00CE483D"/>
    <w:rsid w:val="00CE4C48"/>
    <w:rsid w:val="00CE6A6F"/>
    <w:rsid w:val="00CE734F"/>
    <w:rsid w:val="00CE7D80"/>
    <w:rsid w:val="00CF2474"/>
    <w:rsid w:val="00CF596C"/>
    <w:rsid w:val="00D022B7"/>
    <w:rsid w:val="00D05597"/>
    <w:rsid w:val="00D07B81"/>
    <w:rsid w:val="00D24FA9"/>
    <w:rsid w:val="00D2758A"/>
    <w:rsid w:val="00D352DF"/>
    <w:rsid w:val="00D40C7C"/>
    <w:rsid w:val="00D4125F"/>
    <w:rsid w:val="00D46900"/>
    <w:rsid w:val="00D47017"/>
    <w:rsid w:val="00D554FD"/>
    <w:rsid w:val="00D56DDB"/>
    <w:rsid w:val="00D57042"/>
    <w:rsid w:val="00D60D48"/>
    <w:rsid w:val="00D635A8"/>
    <w:rsid w:val="00D71692"/>
    <w:rsid w:val="00D73FDB"/>
    <w:rsid w:val="00D83257"/>
    <w:rsid w:val="00D91E1B"/>
    <w:rsid w:val="00D925E6"/>
    <w:rsid w:val="00D92628"/>
    <w:rsid w:val="00DA591D"/>
    <w:rsid w:val="00DA6C57"/>
    <w:rsid w:val="00DB7959"/>
    <w:rsid w:val="00DC2799"/>
    <w:rsid w:val="00DC2B54"/>
    <w:rsid w:val="00DC3003"/>
    <w:rsid w:val="00DC597D"/>
    <w:rsid w:val="00DC762B"/>
    <w:rsid w:val="00DD1423"/>
    <w:rsid w:val="00DD3101"/>
    <w:rsid w:val="00DD6C1B"/>
    <w:rsid w:val="00DE5CEC"/>
    <w:rsid w:val="00DE7497"/>
    <w:rsid w:val="00DF0C7E"/>
    <w:rsid w:val="00DF1E62"/>
    <w:rsid w:val="00DF2A12"/>
    <w:rsid w:val="00E00258"/>
    <w:rsid w:val="00E11734"/>
    <w:rsid w:val="00E1218F"/>
    <w:rsid w:val="00E207A7"/>
    <w:rsid w:val="00E3050C"/>
    <w:rsid w:val="00E34133"/>
    <w:rsid w:val="00E34A40"/>
    <w:rsid w:val="00E34B0A"/>
    <w:rsid w:val="00E35BF5"/>
    <w:rsid w:val="00E41272"/>
    <w:rsid w:val="00E50AE3"/>
    <w:rsid w:val="00E52BE0"/>
    <w:rsid w:val="00E5387A"/>
    <w:rsid w:val="00E64EE7"/>
    <w:rsid w:val="00E65C63"/>
    <w:rsid w:val="00E7385E"/>
    <w:rsid w:val="00E76B23"/>
    <w:rsid w:val="00E84281"/>
    <w:rsid w:val="00E86B8E"/>
    <w:rsid w:val="00E87E70"/>
    <w:rsid w:val="00E938AE"/>
    <w:rsid w:val="00EA1E02"/>
    <w:rsid w:val="00EA2399"/>
    <w:rsid w:val="00EA4A41"/>
    <w:rsid w:val="00EA4F79"/>
    <w:rsid w:val="00EB1262"/>
    <w:rsid w:val="00EB20DD"/>
    <w:rsid w:val="00EB4ADA"/>
    <w:rsid w:val="00EC6681"/>
    <w:rsid w:val="00ED5D1B"/>
    <w:rsid w:val="00ED67E9"/>
    <w:rsid w:val="00EE06F9"/>
    <w:rsid w:val="00EE3698"/>
    <w:rsid w:val="00EE5519"/>
    <w:rsid w:val="00EE7577"/>
    <w:rsid w:val="00EF0CB9"/>
    <w:rsid w:val="00EF2834"/>
    <w:rsid w:val="00EF5547"/>
    <w:rsid w:val="00EF5BC7"/>
    <w:rsid w:val="00F01EE5"/>
    <w:rsid w:val="00F067AB"/>
    <w:rsid w:val="00F106A1"/>
    <w:rsid w:val="00F129D2"/>
    <w:rsid w:val="00F15230"/>
    <w:rsid w:val="00F171E9"/>
    <w:rsid w:val="00F21A3D"/>
    <w:rsid w:val="00F237E6"/>
    <w:rsid w:val="00F23B63"/>
    <w:rsid w:val="00F30F91"/>
    <w:rsid w:val="00F34725"/>
    <w:rsid w:val="00F356DA"/>
    <w:rsid w:val="00F37F17"/>
    <w:rsid w:val="00F41633"/>
    <w:rsid w:val="00F420B1"/>
    <w:rsid w:val="00F432AD"/>
    <w:rsid w:val="00F470ED"/>
    <w:rsid w:val="00F474D2"/>
    <w:rsid w:val="00F5123A"/>
    <w:rsid w:val="00F514EC"/>
    <w:rsid w:val="00F518C9"/>
    <w:rsid w:val="00F60C7B"/>
    <w:rsid w:val="00F672E6"/>
    <w:rsid w:val="00F72E00"/>
    <w:rsid w:val="00F81185"/>
    <w:rsid w:val="00F8176F"/>
    <w:rsid w:val="00F875BB"/>
    <w:rsid w:val="00F90E63"/>
    <w:rsid w:val="00F92D31"/>
    <w:rsid w:val="00F9644B"/>
    <w:rsid w:val="00FA0B5F"/>
    <w:rsid w:val="00FA137B"/>
    <w:rsid w:val="00FA1937"/>
    <w:rsid w:val="00FA2781"/>
    <w:rsid w:val="00FA45A1"/>
    <w:rsid w:val="00FA5BB8"/>
    <w:rsid w:val="00FA6DE3"/>
    <w:rsid w:val="00FA7357"/>
    <w:rsid w:val="00FB1BF8"/>
    <w:rsid w:val="00FB1C39"/>
    <w:rsid w:val="00FB4A37"/>
    <w:rsid w:val="00FC1C73"/>
    <w:rsid w:val="00FD02B0"/>
    <w:rsid w:val="00FD15F9"/>
    <w:rsid w:val="00FE3501"/>
    <w:rsid w:val="00FE6E8E"/>
    <w:rsid w:val="00FF0BD2"/>
    <w:rsid w:val="00FF3BAB"/>
    <w:rsid w:val="00FF7B8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6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Header">
    <w:name w:val="header"/>
    <w:basedOn w:val="Normal"/>
    <w:link w:val="CabealhoChar"/>
    <w:uiPriority w:val="99"/>
    <w:pPr>
      <w:tabs>
        <w:tab w:val="center" w:pos="4419"/>
        <w:tab w:val="right" w:pos="8838"/>
      </w:tabs>
    </w:pPr>
  </w:style>
  <w:style w:type="paragraph" w:styleId="Footer">
    <w:name w:val="footer"/>
    <w:basedOn w:val="Normal"/>
    <w:pPr>
      <w:tabs>
        <w:tab w:val="center" w:pos="4419"/>
        <w:tab w:val="right" w:pos="8838"/>
      </w:tabs>
    </w:pPr>
  </w:style>
  <w:style w:type="paragraph" w:customStyle="1" w:styleId="E-Pat">
    <w:name w:val="E-Pat"/>
    <w:basedOn w:val="Normal"/>
    <w:link w:val="E-PatChar"/>
    <w:qFormat/>
    <w:rsid w:val="00FA0B5F"/>
    <w:pPr>
      <w:ind w:firstLine="2829"/>
    </w:pPr>
    <w:rPr>
      <w:rFonts w:ascii="Arial" w:hAnsi="Arial"/>
      <w:lang w:val="x-none" w:eastAsia="x-none"/>
    </w:rPr>
  </w:style>
  <w:style w:type="character" w:customStyle="1" w:styleId="E-PatChar">
    <w:name w:val="E-Pat Char"/>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rPr>
      <w:rFonts w:ascii="Arial" w:hAnsi="Arial"/>
      <w:lang w:val="x-none" w:eastAsia="x-none"/>
    </w:rPr>
  </w:style>
  <w:style w:type="character" w:customStyle="1" w:styleId="E-PatCitaoChar">
    <w:name w:val="E-Pat Citação Char"/>
    <w:link w:val="E-PatCitao"/>
    <w:rsid w:val="00FA0B5F"/>
    <w:rPr>
      <w:rFonts w:ascii="Arial" w:hAnsi="Arial"/>
      <w:sz w:val="24"/>
      <w:szCs w:val="24"/>
    </w:rPr>
  </w:style>
  <w:style w:type="character" w:customStyle="1" w:styleId="DeltaViewInsertion">
    <w:name w:val="DeltaView Insertion"/>
    <w:rsid w:val="00B256AC"/>
    <w:rPr>
      <w:color w:val="0000FF"/>
      <w:spacing w:val="0"/>
      <w:u w:val="double"/>
    </w:rPr>
  </w:style>
  <w:style w:type="paragraph" w:styleId="BalloonText">
    <w:name w:val="Balloon Text"/>
    <w:basedOn w:val="Normal"/>
    <w:link w:val="TextodebaloChar"/>
    <w:rsid w:val="0096599D"/>
    <w:rPr>
      <w:rFonts w:ascii="Tahoma" w:hAnsi="Tahoma"/>
      <w:sz w:val="16"/>
      <w:szCs w:val="16"/>
      <w:lang w:val="x-none" w:eastAsia="x-none"/>
    </w:rPr>
  </w:style>
  <w:style w:type="character" w:customStyle="1" w:styleId="TextodebaloChar">
    <w:name w:val="Texto de balão Char"/>
    <w:link w:val="BalloonText"/>
    <w:rsid w:val="0096599D"/>
    <w:rPr>
      <w:rFonts w:ascii="Tahoma" w:hAnsi="Tahoma" w:cs="Tahoma"/>
      <w:sz w:val="16"/>
      <w:szCs w:val="16"/>
    </w:rPr>
  </w:style>
  <w:style w:type="paragraph" w:styleId="ListParagraph">
    <w:name w:val="List Paragraph"/>
    <w:aliases w:val="List Paragraph_0,Meu,Normal numerado,Nível 1"/>
    <w:basedOn w:val="Normal"/>
    <w:link w:val="PargrafodaListaChar"/>
    <w:uiPriority w:val="34"/>
    <w:qFormat/>
    <w:rsid w:val="00AB5323"/>
    <w:pPr>
      <w:widowControl w:val="0"/>
      <w:autoSpaceDE w:val="0"/>
      <w:autoSpaceDN w:val="0"/>
      <w:adjustRightInd w:val="0"/>
      <w:ind w:left="708"/>
      <w:jc w:val="both"/>
    </w:pPr>
    <w:rPr>
      <w:sz w:val="26"/>
      <w:szCs w:val="26"/>
      <w:lang w:eastAsia="en-US"/>
    </w:rPr>
  </w:style>
  <w:style w:type="paragraph" w:customStyle="1" w:styleId="Default">
    <w:name w:val="Default"/>
    <w:rsid w:val="006F4039"/>
    <w:pPr>
      <w:autoSpaceDE w:val="0"/>
      <w:autoSpaceDN w:val="0"/>
      <w:adjustRightInd w:val="0"/>
    </w:pPr>
    <w:rPr>
      <w:color w:val="000000"/>
      <w:sz w:val="24"/>
      <w:szCs w:val="24"/>
    </w:rPr>
  </w:style>
  <w:style w:type="paragraph" w:styleId="BodyText">
    <w:name w:val="Body Text"/>
    <w:aliases w:val="!Body Text .5(J),!Body Text .5s2(J),.BT,5,BT,Body Text Char Char,Body Text Char1,CG-Single Sp 0.5,CG-Single Sp 0.51,CY Body Text,FrstInd 10,Second Heading 2,b,b Char Char,b Char1,bd,body text,bt,bt wide,s2,s21"/>
    <w:basedOn w:val="Normal"/>
    <w:link w:val="CorpodetextoChar"/>
    <w:rsid w:val="00CE734F"/>
    <w:pPr>
      <w:suppressAutoHyphens/>
      <w:jc w:val="both"/>
    </w:pPr>
    <w:rPr>
      <w:rFonts w:ascii="Arial Narrow" w:hAnsi="Arial Narrow"/>
      <w:sz w:val="22"/>
    </w:rPr>
  </w:style>
  <w:style w:type="character" w:customStyle="1" w:styleId="CorpodetextoChar">
    <w:name w:val="Corpo de texto Char"/>
    <w:aliases w:val="!Body Text .5(J) Char,!Body Text .5s2(J) Char,.BT Char,5 Char,BT Char,CG-Single Sp 0.5 Char,CG-Single Sp 0.51 Char,CY Body Text Char,Second Heading 2 Char,b Char,bd Char,body text Char,bt Char,bt wide Char,s2 Char,s21 Char"/>
    <w:basedOn w:val="DefaultParagraphFont"/>
    <w:link w:val="BodyText"/>
    <w:rsid w:val="00CE734F"/>
    <w:rPr>
      <w:rFonts w:ascii="Arial Narrow" w:hAnsi="Arial Narrow"/>
      <w:sz w:val="22"/>
      <w:szCs w:val="24"/>
    </w:rPr>
  </w:style>
  <w:style w:type="table" w:styleId="TableGrid">
    <w:name w:val="Table Grid"/>
    <w:basedOn w:val="TableNormal"/>
    <w:rsid w:val="00914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Paragraph Char,Meu Char,Normal numerado Char,Nível 1 Char"/>
    <w:link w:val="ListParagraph"/>
    <w:uiPriority w:val="34"/>
    <w:rsid w:val="00697951"/>
    <w:rPr>
      <w:sz w:val="26"/>
      <w:szCs w:val="26"/>
      <w:lang w:eastAsia="en-US"/>
    </w:rPr>
  </w:style>
  <w:style w:type="character" w:styleId="Hyperlink">
    <w:name w:val="Hyperlink"/>
    <w:unhideWhenUsed/>
    <w:rsid w:val="00697951"/>
    <w:rPr>
      <w:color w:val="0000FF"/>
      <w:u w:val="single"/>
    </w:rPr>
  </w:style>
  <w:style w:type="character" w:styleId="CommentReference">
    <w:name w:val="annotation reference"/>
    <w:basedOn w:val="DefaultParagraphFont"/>
    <w:rsid w:val="00310874"/>
    <w:rPr>
      <w:sz w:val="16"/>
      <w:szCs w:val="16"/>
    </w:rPr>
  </w:style>
  <w:style w:type="paragraph" w:styleId="CommentText">
    <w:name w:val="annotation text"/>
    <w:basedOn w:val="Normal"/>
    <w:link w:val="TextodecomentrioChar"/>
    <w:rsid w:val="00310874"/>
    <w:rPr>
      <w:sz w:val="20"/>
      <w:szCs w:val="20"/>
    </w:rPr>
  </w:style>
  <w:style w:type="character" w:customStyle="1" w:styleId="TextodecomentrioChar">
    <w:name w:val="Texto de comentário Char"/>
    <w:basedOn w:val="DefaultParagraphFont"/>
    <w:link w:val="CommentText"/>
    <w:rsid w:val="00310874"/>
  </w:style>
  <w:style w:type="paragraph" w:styleId="CommentSubject">
    <w:name w:val="annotation subject"/>
    <w:basedOn w:val="CommentText"/>
    <w:next w:val="CommentText"/>
    <w:link w:val="AssuntodocomentrioChar"/>
    <w:semiHidden/>
    <w:unhideWhenUsed/>
    <w:rsid w:val="00E65C63"/>
    <w:rPr>
      <w:b/>
      <w:bCs/>
    </w:rPr>
  </w:style>
  <w:style w:type="character" w:customStyle="1" w:styleId="AssuntodocomentrioChar">
    <w:name w:val="Assunto do comentário Char"/>
    <w:basedOn w:val="TextodecomentrioChar"/>
    <w:link w:val="CommentSubject"/>
    <w:semiHidden/>
    <w:rsid w:val="00E65C63"/>
    <w:rPr>
      <w:b/>
      <w:bCs/>
    </w:rPr>
  </w:style>
  <w:style w:type="character" w:customStyle="1" w:styleId="CabealhoChar">
    <w:name w:val="Cabeçalho Char"/>
    <w:basedOn w:val="DefaultParagraphFont"/>
    <w:link w:val="Header"/>
    <w:uiPriority w:val="99"/>
    <w:rsid w:val="00086288"/>
    <w:rPr>
      <w:sz w:val="24"/>
      <w:szCs w:val="24"/>
    </w:rPr>
  </w:style>
  <w:style w:type="paragraph" w:styleId="Revision">
    <w:name w:val="Revision"/>
    <w:hidden/>
    <w:uiPriority w:val="99"/>
    <w:semiHidden/>
    <w:rsid w:val="00EF5BC7"/>
    <w:rPr>
      <w:sz w:val="24"/>
      <w:szCs w:val="24"/>
    </w:rPr>
  </w:style>
  <w:style w:type="character" w:customStyle="1" w:styleId="UnresolvedMention">
    <w:name w:val="Unresolved Mention"/>
    <w:basedOn w:val="DefaultParagraphFont"/>
    <w:uiPriority w:val="99"/>
    <w:semiHidden/>
    <w:unhideWhenUsed/>
    <w:rsid w:val="009B4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 S C B F - S P ! 1 6 8 6 9 8 4 1 . 6 < / d o c u m e n t i d >  
     < s e n d e r i d > V S I M O N I < / s e n d e r i d >  
     < s e n d e r e m a i l > V I T T O R I A . S I M O N I @ C E S C O N B A R R I E U . C O M . B R < / s e n d e r e m a i l >  
     < l a s t m o d i f i e d > 2 0 2 2 - 1 0 - 2 5 T 2 1 : 1 4 : 0 0 . 0 0 0 0 0 0 0 - 0 3 : 0 0 < / l a s t m o d i f i e d >  
     < d a t a b a s e > S C B F - S P < / 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3639</Words>
  <Characters>20409</Characters>
  <Application>Microsoft Office Word</Application>
  <DocSecurity>0</DocSecurity>
  <Lines>170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2022-10-25T16:34:00Z</dcterms:created>
  <dcterms:modified xsi:type="dcterms:W3CDTF">2022-10-26T00:14:00Z</dcterms:modified>
</cp:coreProperties>
</file>