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785B" w14:textId="66627E57" w:rsidR="00B005EF" w:rsidRPr="005270B8" w:rsidRDefault="00B005EF" w:rsidP="003A2F36">
      <w:pPr>
        <w:spacing w:line="280" w:lineRule="atLeast"/>
        <w:jc w:val="both"/>
        <w:rPr>
          <w:rFonts w:ascii="Verdana" w:hAnsi="Verdana" w:cstheme="minorHAnsi"/>
          <w:b/>
          <w:smallCaps/>
          <w:sz w:val="20"/>
          <w:szCs w:val="20"/>
        </w:rPr>
      </w:pPr>
      <w:r>
        <w:rPr>
          <w:rFonts w:ascii="Verdana" w:hAnsi="Verdana" w:cstheme="minorHAnsi"/>
          <w:b/>
          <w:smallCaps/>
          <w:sz w:val="20"/>
          <w:szCs w:val="20"/>
        </w:rPr>
        <w:t xml:space="preserve">PRIMEIRO ADITAMENTO DO </w:t>
      </w:r>
      <w:r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p>
    <w:p w14:paraId="2AAFB21F" w14:textId="31511A7E" w:rsidR="006D080A" w:rsidRDefault="006D080A">
      <w:pPr>
        <w:pStyle w:val="Header"/>
        <w:spacing w:line="280" w:lineRule="exact"/>
        <w:ind w:right="228"/>
        <w:jc w:val="center"/>
        <w:rPr>
          <w:rFonts w:ascii="Verdana" w:hAnsi="Verdana"/>
          <w:b/>
          <w:sz w:val="20"/>
          <w:szCs w:val="20"/>
          <w:u w:val="single"/>
        </w:rPr>
      </w:pPr>
    </w:p>
    <w:p w14:paraId="0F721557" w14:textId="26A95B9C" w:rsidR="006D080A" w:rsidRDefault="006D080A">
      <w:pPr>
        <w:pStyle w:val="Header"/>
        <w:spacing w:line="280" w:lineRule="exact"/>
        <w:ind w:right="228"/>
        <w:jc w:val="center"/>
        <w:rPr>
          <w:rFonts w:ascii="Verdana" w:hAnsi="Verdana"/>
          <w:b/>
          <w:sz w:val="20"/>
          <w:szCs w:val="20"/>
          <w:u w:val="single"/>
        </w:rPr>
      </w:pPr>
    </w:p>
    <w:p w14:paraId="4244084E" w14:textId="67634200"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w:t>
      </w:r>
      <w:r w:rsidR="00BB3DD8">
        <w:rPr>
          <w:rFonts w:ascii="Verdana" w:hAnsi="Verdana"/>
          <w:i/>
          <w:sz w:val="20"/>
          <w:szCs w:val="20"/>
          <w:lang w:val="pt-BR"/>
        </w:rPr>
        <w:t xml:space="preserve">Primeiro Aditamento ao </w:t>
      </w:r>
      <w:r w:rsidR="00B005EF" w:rsidRPr="00B72701">
        <w:rPr>
          <w:rFonts w:ascii="Verdana" w:hAnsi="Verdana" w:cstheme="minorHAnsi"/>
          <w:i/>
          <w:iCs/>
          <w:sz w:val="20"/>
          <w:szCs w:val="20"/>
          <w:lang w:val="pt-BR"/>
        </w:rPr>
        <w:t>Termo de Securitização de Créditos Imobiliários da 280ª Série da 1ª Emissão de Certificados de Recebíveis Imobiliários da RB Capital Companhia de Securitização</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17F27F0C" w14:textId="3C98821D" w:rsidR="006D080A" w:rsidRDefault="006D080A" w:rsidP="006D080A">
      <w:pPr>
        <w:pStyle w:val="ListParagraph"/>
        <w:spacing w:line="280" w:lineRule="exact"/>
        <w:rPr>
          <w:rFonts w:ascii="Verdana" w:hAnsi="Verdana"/>
        </w:rPr>
      </w:pPr>
    </w:p>
    <w:p w14:paraId="41C45F43" w14:textId="2587672E" w:rsidR="00B005EF" w:rsidRDefault="00B005EF" w:rsidP="006D080A">
      <w:pPr>
        <w:pStyle w:val="ListParagraph"/>
        <w:spacing w:line="280" w:lineRule="exact"/>
        <w:rPr>
          <w:rFonts w:ascii="Verdana" w:hAnsi="Verdana"/>
        </w:rPr>
      </w:pPr>
    </w:p>
    <w:p w14:paraId="0B230D42" w14:textId="77777777" w:rsidR="00B005EF" w:rsidRPr="005270B8" w:rsidRDefault="00B005EF" w:rsidP="00BB3DD8">
      <w:pPr>
        <w:spacing w:line="280" w:lineRule="atLeast"/>
        <w:jc w:val="both"/>
        <w:rPr>
          <w:rFonts w:ascii="Verdana" w:hAnsi="Verdana" w:cstheme="minorHAnsi"/>
          <w:sz w:val="20"/>
          <w:szCs w:val="20"/>
        </w:rPr>
      </w:pPr>
      <w:r w:rsidRPr="005270B8">
        <w:rPr>
          <w:rFonts w:ascii="Verdana" w:hAnsi="Verdana" w:cstheme="minorHAnsi"/>
          <w:b/>
          <w:smallCaps/>
          <w:sz w:val="20"/>
          <w:szCs w:val="20"/>
        </w:rPr>
        <w:t>RB CAPITAL COMPANHIA DE SECURITIZAÇÃO</w:t>
      </w:r>
      <w:r w:rsidRPr="005270B8">
        <w:rPr>
          <w:rFonts w:ascii="Verdana" w:hAnsi="Verdana" w:cstheme="minorHAnsi"/>
          <w:sz w:val="20"/>
          <w:szCs w:val="20"/>
        </w:rPr>
        <w:t>, companhia aberta, com sede na Cidade de São Paulo, Estado de São Paulo, na Avenida Brigadeiro Faria Lima, nº 4.440, 11º andar, Parte, Itaim Bibi, CEP 04538-132, inscrita no CNPJ/ME (conforme abaixo definido) sob o nº 02.773.542/0001-22, neste ato representada na forma de seu estatuto social (“</w:t>
      </w:r>
      <w:r w:rsidRPr="005270B8">
        <w:rPr>
          <w:rFonts w:ascii="Verdana" w:hAnsi="Verdana" w:cstheme="minorHAnsi"/>
          <w:sz w:val="20"/>
          <w:szCs w:val="20"/>
          <w:u w:val="single"/>
        </w:rPr>
        <w:t>Emissora</w:t>
      </w:r>
      <w:r w:rsidRPr="005270B8">
        <w:rPr>
          <w:rFonts w:ascii="Verdana" w:hAnsi="Verdana" w:cstheme="minorHAnsi"/>
          <w:sz w:val="20"/>
          <w:szCs w:val="20"/>
        </w:rPr>
        <w:t>”); e</w:t>
      </w:r>
    </w:p>
    <w:p w14:paraId="5AC04297" w14:textId="77777777" w:rsidR="00B005EF" w:rsidRPr="005270B8" w:rsidRDefault="00B005EF" w:rsidP="00B005EF">
      <w:pPr>
        <w:spacing w:line="280" w:lineRule="atLeast"/>
        <w:rPr>
          <w:rFonts w:ascii="Verdana" w:hAnsi="Verdana" w:cstheme="minorHAnsi"/>
          <w:sz w:val="20"/>
          <w:szCs w:val="20"/>
        </w:rPr>
      </w:pPr>
    </w:p>
    <w:p w14:paraId="1CC77BBD" w14:textId="77777777" w:rsidR="00B005EF" w:rsidRPr="005270B8" w:rsidRDefault="00B005EF" w:rsidP="00B005EF">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Pr="005270B8">
        <w:rPr>
          <w:rFonts w:ascii="Verdana" w:hAnsi="Verdana" w:cstheme="minorHAnsi"/>
          <w:sz w:val="20"/>
          <w:szCs w:val="20"/>
        </w:rPr>
        <w:t>, na qualidade de representante dos Titulares de CRI, conforme abaixo definido (“</w:t>
      </w:r>
      <w:r w:rsidRPr="005270B8">
        <w:rPr>
          <w:rFonts w:ascii="Verdana" w:hAnsi="Verdana" w:cstheme="minorHAnsi"/>
          <w:sz w:val="20"/>
          <w:szCs w:val="20"/>
          <w:u w:val="single"/>
        </w:rPr>
        <w:t>Agente Fiduciário</w:t>
      </w:r>
      <w:r w:rsidRPr="005270B8">
        <w:rPr>
          <w:rFonts w:ascii="Verdana" w:hAnsi="Verdana" w:cstheme="minorHAnsi"/>
          <w:sz w:val="20"/>
          <w:szCs w:val="20"/>
        </w:rPr>
        <w:t xml:space="preserve">”); </w:t>
      </w:r>
    </w:p>
    <w:p w14:paraId="568E2162" w14:textId="25A385FE" w:rsidR="00B005EF" w:rsidRDefault="00B005EF" w:rsidP="006D080A">
      <w:pPr>
        <w:pStyle w:val="ListParagraph"/>
        <w:spacing w:line="280" w:lineRule="exact"/>
        <w:rPr>
          <w:rFonts w:ascii="Verdana" w:hAnsi="Verdana"/>
        </w:rPr>
      </w:pPr>
    </w:p>
    <w:p w14:paraId="0D582F81" w14:textId="77777777" w:rsidR="00B005EF" w:rsidRPr="0098456D" w:rsidRDefault="00B005EF" w:rsidP="006D080A">
      <w:pPr>
        <w:pStyle w:val="ListParagraph"/>
        <w:spacing w:line="280" w:lineRule="exact"/>
        <w:rPr>
          <w:rFonts w:ascii="Verdana" w:hAnsi="Verdana"/>
        </w:rPr>
      </w:pPr>
    </w:p>
    <w:p w14:paraId="4D00A3CF" w14:textId="15FDDB69"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sidR="00BB3DD8">
        <w:rPr>
          <w:rFonts w:ascii="Verdana" w:hAnsi="Verdana"/>
          <w:bCs/>
          <w:sz w:val="20"/>
          <w:szCs w:val="20"/>
        </w:rPr>
        <w:t>Emissora e o Agente Fiduciário</w:t>
      </w:r>
      <w:r>
        <w:rPr>
          <w:rFonts w:ascii="Verdana" w:hAnsi="Verdana"/>
          <w:bCs/>
          <w:sz w:val="20"/>
          <w:szCs w:val="20"/>
        </w:rPr>
        <w:t xml:space="preserve">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Header"/>
        <w:spacing w:line="280" w:lineRule="exact"/>
        <w:ind w:right="228"/>
        <w:jc w:val="center"/>
        <w:rPr>
          <w:rFonts w:ascii="Verdana" w:hAnsi="Verdana"/>
          <w:b/>
          <w:sz w:val="20"/>
          <w:szCs w:val="20"/>
          <w:u w:val="single"/>
        </w:rPr>
      </w:pPr>
    </w:p>
    <w:p w14:paraId="4190E9C3" w14:textId="1A9BE14C"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w:t>
      </w:r>
      <w:r w:rsidRPr="0098456D">
        <w:rPr>
          <w:rFonts w:ascii="Verdana" w:hAnsi="Verdana"/>
          <w:spacing w:val="2"/>
          <w:sz w:val="20"/>
          <w:szCs w:val="20"/>
        </w:rPr>
        <w:t xml:space="preserve"> e </w:t>
      </w:r>
      <w:r w:rsidRPr="006D080A">
        <w:rPr>
          <w:rFonts w:ascii="Verdana" w:hAnsi="Verdana"/>
          <w:sz w:val="20"/>
          <w:szCs w:val="20"/>
        </w:rPr>
        <w:t>o Credor Original</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e protocolado </w:t>
      </w:r>
      <w:r w:rsidRPr="0098456D">
        <w:rPr>
          <w:rFonts w:ascii="Verdana" w:hAnsi="Verdana" w:cstheme="minorHAnsi"/>
          <w:sz w:val="20"/>
          <w:szCs w:val="20"/>
        </w:rPr>
        <w:t xml:space="preserve">no </w:t>
      </w:r>
      <w:r w:rsidRPr="0098456D">
        <w:rPr>
          <w:rFonts w:ascii="Verdana" w:hAnsi="Verdana" w:cs="Arial"/>
          <w:sz w:val="20"/>
          <w:szCs w:val="20"/>
        </w:rPr>
        <w:t>cartório de registro de títulos e documentos da comarca da Cidade Lucas do Rio Verde, Estado do Mato Grosso, sob o nº 00021132-900 em 26 de junho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04BC6D5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que compreendem a obrigação de pagamento do Valor de Principal (conforme definido no Contrato de Cessão), acrescidos dos juros remuneratórios, 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 xml:space="preserve">Instrumento Particular de Emissão de Cédula de Crédito Imobiliário, sem Garantia Real </w:t>
      </w:r>
      <w:r w:rsidRPr="0098456D">
        <w:rPr>
          <w:rFonts w:ascii="Verdana" w:hAnsi="Verdana"/>
          <w:i/>
          <w:sz w:val="20"/>
          <w:szCs w:val="20"/>
        </w:rPr>
        <w:lastRenderedPageBreak/>
        <w:t>Imobiliária, sob Forma Escritural</w:t>
      </w:r>
      <w:r w:rsidRPr="0098456D">
        <w:rPr>
          <w:rFonts w:ascii="Verdana" w:hAnsi="Verdana"/>
          <w:sz w:val="20"/>
          <w:szCs w:val="20"/>
        </w:rPr>
        <w:t>” celebrado em 25 de junho de 2020, entre o Credor Original, na qualidade de emitente da CCI, o Agente Fiduciário,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rPr>
        <w:t>CRI</w:t>
      </w:r>
      <w:r w:rsidRPr="0098456D">
        <w:rPr>
          <w:rFonts w:ascii="Verdana" w:hAnsi="Verdana"/>
          <w:sz w:val="20"/>
          <w:szCs w:val="20"/>
        </w:rPr>
        <w:t>”), conforme condições estabelecidas no “</w:t>
      </w:r>
      <w:r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Pr="0098456D">
        <w:rPr>
          <w:rFonts w:ascii="Verdana" w:hAnsi="Verdana"/>
          <w:sz w:val="20"/>
          <w:szCs w:val="20"/>
        </w:rPr>
        <w:t>” celebrado em 25 de junho de 2020 (conforme aditado de tempos em tempos, o “</w:t>
      </w:r>
      <w:r w:rsidRPr="0098456D">
        <w:rPr>
          <w:rFonts w:ascii="Verdana" w:hAnsi="Verdana"/>
          <w:sz w:val="20"/>
          <w:szCs w:val="20"/>
          <w:u w:val="single"/>
        </w:rPr>
        <w:t>Termo de Securitização</w:t>
      </w:r>
      <w:r w:rsidRPr="0098456D">
        <w:rPr>
          <w:rFonts w:ascii="Verdana" w:hAnsi="Verdana"/>
          <w:sz w:val="20"/>
          <w:szCs w:val="20"/>
        </w:rPr>
        <w:t xml:space="preserve">”), entre a Emissora, na qualidade de emissora dos CRI, e o Agente Fiduciário, na qualidade de agente fiduciário dos CRI; </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17CF3B3B" w14:textId="0707DBC7" w:rsidR="006D080A"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os CRI foram objeto de oferta pública com esforços restritos, nos termos da Instrução da Comissão de Valores Mobiliários nº 476, de 16 de dezembro de 2009, conforme alterada;</w:t>
      </w:r>
    </w:p>
    <w:p w14:paraId="53871824" w14:textId="77777777" w:rsidR="006D080A" w:rsidRDefault="006D080A" w:rsidP="006D080A">
      <w:pPr>
        <w:tabs>
          <w:tab w:val="left" w:pos="709"/>
          <w:tab w:val="left" w:pos="1418"/>
        </w:tabs>
        <w:spacing w:line="280" w:lineRule="exact"/>
        <w:ind w:left="709"/>
        <w:jc w:val="both"/>
        <w:rPr>
          <w:rFonts w:ascii="Verdana" w:hAnsi="Verdana"/>
          <w:sz w:val="20"/>
          <w:szCs w:val="20"/>
        </w:rPr>
      </w:pPr>
    </w:p>
    <w:p w14:paraId="5F2E1C7D" w14:textId="74F2EEE1"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w:t>
      </w:r>
      <w:r w:rsidR="00BB3DD8" w:rsidRPr="00BB3DD8">
        <w:rPr>
          <w:rFonts w:ascii="Verdana" w:hAnsi="Verdana"/>
          <w:sz w:val="20"/>
          <w:szCs w:val="20"/>
        </w:rPr>
        <w:t xml:space="preserve">Cláusula 5.2.2 e seguintes do Termo de Securitização </w:t>
      </w:r>
      <w:r>
        <w:rPr>
          <w:rFonts w:ascii="Verdana" w:hAnsi="Verdana"/>
          <w:sz w:val="20"/>
          <w:szCs w:val="20"/>
        </w:rPr>
        <w:t xml:space="preserve">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o percentual da Sobretaxa será reduzido em 0,06</w:t>
      </w:r>
      <w:r>
        <w:rPr>
          <w:rFonts w:ascii="Verdana" w:hAnsi="Verdana"/>
          <w:bCs/>
          <w:sz w:val="20"/>
          <w:szCs w:val="20"/>
        </w:rPr>
        <w:t>7</w:t>
      </w:r>
      <w:r w:rsidRPr="001938B0">
        <w:rPr>
          <w:rFonts w:ascii="Verdana" w:hAnsi="Verdana"/>
          <w:bCs/>
          <w:sz w:val="20"/>
          <w:szCs w:val="20"/>
        </w:rPr>
        <w:t xml:space="preserve">% (sessenta e </w:t>
      </w:r>
      <w:r>
        <w:rPr>
          <w:rFonts w:ascii="Verdana" w:hAnsi="Verdana"/>
          <w:bCs/>
          <w:sz w:val="20"/>
          <w:szCs w:val="20"/>
        </w:rPr>
        <w:t>sete</w:t>
      </w:r>
      <w:r w:rsidRPr="001938B0">
        <w:rPr>
          <w:rFonts w:ascii="Verdana" w:hAnsi="Verdana"/>
          <w:bCs/>
          <w:sz w:val="20"/>
          <w:szCs w:val="20"/>
        </w:rPr>
        <w:t xml:space="preserve"> milésimos por cento)</w:t>
      </w:r>
      <w:r>
        <w:rPr>
          <w:rFonts w:ascii="Verdana" w:hAnsi="Verdana"/>
          <w:bCs/>
          <w:sz w:val="20"/>
          <w:szCs w:val="20"/>
        </w:rPr>
        <w:t>;</w:t>
      </w:r>
    </w:p>
    <w:p w14:paraId="03752353" w14:textId="3FD8CDAA" w:rsidR="006D080A" w:rsidRDefault="006D080A">
      <w:pPr>
        <w:pStyle w:val="Header"/>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Header"/>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3BD9628E" w:rsidR="003E0C82" w:rsidRPr="003E0C82" w:rsidRDefault="006D080A" w:rsidP="003E0C82">
      <w:pPr>
        <w:pStyle w:val="Par2"/>
        <w:numPr>
          <w:ilvl w:val="1"/>
          <w:numId w:val="100"/>
        </w:numPr>
        <w:spacing w:line="340" w:lineRule="exact"/>
        <w:ind w:left="567" w:hanging="567"/>
      </w:pPr>
      <w:r>
        <w:t xml:space="preserve">Pelo presente Aditamento, em razão das deliberações da AGT, as Partes resolvem alterar a Sobretaxa em razão da ocorrência de um Evento de Redução de Sobretaxa, conforme comunicado pela Emitente, nos termos da Cláusula </w:t>
      </w:r>
      <w:r w:rsidR="00BB3DD8">
        <w:t>5.2.2</w:t>
      </w:r>
      <w:r>
        <w:t xml:space="preserve"> e seguintes d</w:t>
      </w:r>
      <w:r w:rsidR="00BB3DD8">
        <w:t>o Termo de Securitização</w:t>
      </w:r>
      <w:r>
        <w:t xml:space="preserve">, de modo que a Sobretaxa seja reduzida em </w:t>
      </w:r>
      <w:r w:rsidR="00B72701" w:rsidRPr="00437C38">
        <w:rPr>
          <w:bCs/>
        </w:rPr>
        <w:t>0,134% (um décimo e trinta e quatro milésimos por cento)</w:t>
      </w:r>
      <w:r w:rsidRPr="00B72701">
        <w:rPr>
          <w:bCs/>
        </w:rPr>
        <w:t xml:space="preserve">, passando de </w:t>
      </w:r>
      <w:r w:rsidR="00B72701" w:rsidRPr="00B72701">
        <w:rPr>
          <w:bCs/>
        </w:rPr>
        <w:t>3%</w:t>
      </w:r>
      <w:r w:rsidRPr="00B72701">
        <w:rPr>
          <w:bCs/>
        </w:rPr>
        <w:t xml:space="preserve"> para </w:t>
      </w:r>
      <w:r w:rsidR="00B72701">
        <w:rPr>
          <w:bCs/>
        </w:rPr>
        <w:t>2,866%</w:t>
      </w:r>
      <w:r w:rsidRPr="00B72701">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339F8710" w:rsidR="003E0C82" w:rsidRPr="00BB3DD8" w:rsidRDefault="006D080A" w:rsidP="006D080A">
      <w:pPr>
        <w:pStyle w:val="Par2"/>
        <w:numPr>
          <w:ilvl w:val="1"/>
          <w:numId w:val="100"/>
        </w:numPr>
        <w:spacing w:line="340" w:lineRule="exact"/>
      </w:pPr>
      <w:r>
        <w:rPr>
          <w:bCs/>
        </w:rPr>
        <w:t xml:space="preserve">Dessa forma, </w:t>
      </w:r>
      <w:r w:rsidR="00BB3DD8">
        <w:rPr>
          <w:bCs/>
        </w:rPr>
        <w:t>a definição de “Juros Remuneratórios”</w:t>
      </w:r>
      <w:r w:rsidR="003E0C82">
        <w:rPr>
          <w:bCs/>
        </w:rPr>
        <w:t xml:space="preserve"> passa a vigorar com a seguinte nova redação:</w:t>
      </w:r>
    </w:p>
    <w:p w14:paraId="0A0D402A" w14:textId="77777777" w:rsidR="00BB3DD8" w:rsidRPr="00BB3DD8" w:rsidRDefault="00BB3DD8" w:rsidP="003A2F36">
      <w:pPr>
        <w:pStyle w:val="Par2"/>
        <w:spacing w:line="34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B3DD8" w:rsidRPr="00BB3DD8" w14:paraId="1BEECF9D" w14:textId="77777777" w:rsidTr="00523AA3">
        <w:trPr>
          <w:trHeight w:val="420"/>
        </w:trPr>
        <w:tc>
          <w:tcPr>
            <w:tcW w:w="3828" w:type="dxa"/>
          </w:tcPr>
          <w:p w14:paraId="16E90170" w14:textId="77777777" w:rsidR="00BB3DD8" w:rsidRPr="00BB3DD8" w:rsidRDefault="00BB3DD8" w:rsidP="00523AA3">
            <w:pPr>
              <w:tabs>
                <w:tab w:val="left" w:pos="540"/>
              </w:tabs>
              <w:spacing w:line="280" w:lineRule="exact"/>
              <w:rPr>
                <w:rFonts w:ascii="Verdana" w:hAnsi="Verdana" w:cs="Tahoma"/>
                <w:bCs/>
                <w:i/>
                <w:sz w:val="20"/>
                <w:szCs w:val="20"/>
              </w:rPr>
            </w:pPr>
            <w:r w:rsidRPr="00BB3DD8">
              <w:rPr>
                <w:rFonts w:ascii="Verdana" w:hAnsi="Verdana" w:cs="Tahoma"/>
                <w:bCs/>
                <w:i/>
                <w:sz w:val="20"/>
                <w:szCs w:val="20"/>
              </w:rPr>
              <w:t>Juros Remuneratórios:</w:t>
            </w:r>
          </w:p>
        </w:tc>
        <w:tc>
          <w:tcPr>
            <w:tcW w:w="6095" w:type="dxa"/>
          </w:tcPr>
          <w:p w14:paraId="03E8EFF2" w14:textId="495D3C68" w:rsidR="00BB3DD8" w:rsidRPr="00BB3DD8" w:rsidRDefault="00BB3DD8" w:rsidP="00BB3DD8">
            <w:pPr>
              <w:widowControl w:val="0"/>
              <w:spacing w:line="280" w:lineRule="exact"/>
              <w:jc w:val="both"/>
              <w:rPr>
                <w:rFonts w:ascii="Verdana" w:hAnsi="Verdana"/>
                <w:bCs/>
                <w:i/>
                <w:sz w:val="20"/>
                <w:szCs w:val="20"/>
              </w:rPr>
            </w:pPr>
            <w:r w:rsidRPr="00BB3DD8">
              <w:rPr>
                <w:rFonts w:ascii="Verdana" w:hAnsi="Verdana"/>
                <w:bCs/>
                <w:i/>
                <w:sz w:val="20"/>
                <w:szCs w:val="20"/>
              </w:rPr>
              <w:t>Sobre o Valor de Principal ou saldo do Valor de Principal, conforme o caso, incidirão juros remuneratórios, correspondentes a 100% (cem por cento)</w:t>
            </w:r>
            <w:r w:rsidRPr="00BB3DD8">
              <w:rPr>
                <w:rFonts w:ascii="Verdana" w:hAnsi="Verdana" w:cstheme="minorHAnsi"/>
                <w:i/>
                <w:sz w:val="20"/>
                <w:szCs w:val="20"/>
              </w:rPr>
              <w:t xml:space="preserve"> </w:t>
            </w:r>
            <w:r w:rsidRPr="00BB3DD8">
              <w:rPr>
                <w:rFonts w:ascii="Verdana" w:hAnsi="Verdana"/>
                <w:bCs/>
                <w:i/>
                <w:sz w:val="20"/>
                <w:szCs w:val="20"/>
              </w:rPr>
              <w:t xml:space="preserve">da variação acumulada das taxas médias diárias dos DI – Depósitos Interfinanceiros de um dia, “over </w:t>
            </w:r>
            <w:proofErr w:type="spellStart"/>
            <w:r w:rsidRPr="00BB3DD8">
              <w:rPr>
                <w:rFonts w:ascii="Verdana" w:hAnsi="Verdana"/>
                <w:bCs/>
                <w:i/>
                <w:sz w:val="20"/>
                <w:szCs w:val="20"/>
              </w:rPr>
              <w:t>extra-grupo</w:t>
            </w:r>
            <w:proofErr w:type="spellEnd"/>
            <w:r w:rsidRPr="00BB3DD8">
              <w:rPr>
                <w:rFonts w:ascii="Verdana" w:hAnsi="Verdana"/>
                <w:bCs/>
                <w:i/>
                <w:sz w:val="20"/>
                <w:szCs w:val="20"/>
              </w:rPr>
              <w:t xml:space="preserve">”, expressas na forma percentual ao ano, base 252 (duzentos e cinquenta e dois) Dias Úteis, calculadas e divulgadas diariamente pela B3, no informativo diário disponível em sua página na rede mundial de computadores </w:t>
            </w:r>
            <w:r w:rsidRPr="00BB3DD8">
              <w:rPr>
                <w:rFonts w:ascii="Verdana" w:hAnsi="Verdana"/>
                <w:bCs/>
                <w:i/>
                <w:sz w:val="20"/>
                <w:szCs w:val="20"/>
              </w:rPr>
              <w:lastRenderedPageBreak/>
              <w:t>(http://www.b3.com.br)</w:t>
            </w:r>
            <w:r w:rsidRPr="00BB3DD8">
              <w:rPr>
                <w:rFonts w:ascii="Verdana" w:hAnsi="Verdana" w:cstheme="minorHAnsi"/>
                <w:i/>
                <w:sz w:val="20"/>
                <w:szCs w:val="20"/>
              </w:rPr>
              <w:t xml:space="preserve">, </w:t>
            </w:r>
            <w:r w:rsidRPr="00BB3DD8">
              <w:rPr>
                <w:rFonts w:ascii="Verdana" w:hAnsi="Verdana"/>
                <w:bCs/>
                <w:i/>
                <w:sz w:val="20"/>
                <w:szCs w:val="20"/>
              </w:rPr>
              <w:t xml:space="preserve">acrescida de spread (sobretaxa) de </w:t>
            </w:r>
            <w:r w:rsidR="00B72701" w:rsidRPr="00B72701">
              <w:rPr>
                <w:rFonts w:ascii="Verdana" w:hAnsi="Verdana"/>
                <w:bCs/>
                <w:i/>
                <w:sz w:val="20"/>
                <w:szCs w:val="20"/>
              </w:rPr>
              <w:t>2,866</w:t>
            </w:r>
            <w:r w:rsidRPr="00B72701">
              <w:rPr>
                <w:rFonts w:ascii="Verdana" w:hAnsi="Verdana"/>
                <w:bCs/>
                <w:i/>
                <w:sz w:val="20"/>
                <w:szCs w:val="20"/>
              </w:rPr>
              <w:t>% (</w:t>
            </w:r>
            <w:r w:rsidR="00B72701" w:rsidRPr="00B72701">
              <w:rPr>
                <w:rFonts w:ascii="Verdana" w:hAnsi="Verdana"/>
                <w:bCs/>
                <w:i/>
                <w:sz w:val="20"/>
                <w:szCs w:val="20"/>
              </w:rPr>
              <w:t>dois, oito décimos e sessenta e seis milésimos</w:t>
            </w:r>
            <w:r w:rsidRPr="00B72701">
              <w:rPr>
                <w:rFonts w:ascii="Verdana" w:hAnsi="Verdana"/>
                <w:bCs/>
                <w:i/>
                <w:sz w:val="20"/>
                <w:szCs w:val="20"/>
              </w:rPr>
              <w:t xml:space="preserve"> por cento)</w:t>
            </w:r>
            <w:r w:rsidRPr="00BB3DD8">
              <w:rPr>
                <w:rFonts w:ascii="Verdana" w:hAnsi="Verdana"/>
                <w:bCs/>
                <w:i/>
                <w:sz w:val="20"/>
                <w:szCs w:val="20"/>
              </w:rPr>
              <w:t xml:space="preserve"> ao ano (“</w:t>
            </w:r>
            <w:r w:rsidRPr="00BB3DD8">
              <w:rPr>
                <w:rFonts w:ascii="Verdana" w:hAnsi="Verdana"/>
                <w:bCs/>
                <w:i/>
                <w:sz w:val="20"/>
                <w:szCs w:val="20"/>
                <w:u w:val="single"/>
              </w:rPr>
              <w:t>Sobretaxa</w:t>
            </w:r>
            <w:r w:rsidRPr="00BB3DD8">
              <w:rPr>
                <w:rFonts w:ascii="Verdana" w:hAnsi="Verdana"/>
                <w:bCs/>
                <w:i/>
                <w:sz w:val="20"/>
                <w:szCs w:val="20"/>
              </w:rPr>
              <w:t xml:space="preserve">”), base 252 (duzentos e cinquenta e dois) Dias Úteis calculados de forma exponencial e cumulativa pro rata </w:t>
            </w:r>
            <w:proofErr w:type="spellStart"/>
            <w:r w:rsidRPr="00BB3DD8">
              <w:rPr>
                <w:rFonts w:ascii="Verdana" w:hAnsi="Verdana"/>
                <w:bCs/>
                <w:i/>
                <w:sz w:val="20"/>
                <w:szCs w:val="20"/>
              </w:rPr>
              <w:t>temporis</w:t>
            </w:r>
            <w:proofErr w:type="spellEnd"/>
            <w:r w:rsidRPr="00BB3DD8">
              <w:rPr>
                <w:rFonts w:ascii="Verdana" w:hAnsi="Verdana"/>
                <w:bCs/>
                <w:i/>
                <w:sz w:val="20"/>
                <w:szCs w:val="20"/>
              </w:rPr>
              <w:t>, por Dias Úteis decorridos, desde a</w:t>
            </w:r>
            <w:r w:rsidRPr="00BB3DD8">
              <w:rPr>
                <w:rFonts w:ascii="Verdana" w:hAnsi="Verdana" w:cstheme="minorHAnsi"/>
                <w:i/>
                <w:sz w:val="20"/>
                <w:szCs w:val="20"/>
              </w:rPr>
              <w:t xml:space="preserve"> Data de Início do Período de Capitalização (conforme prevista na </w:t>
            </w:r>
            <w:r w:rsidRPr="00BB3DD8">
              <w:rPr>
                <w:rFonts w:ascii="Verdana" w:hAnsi="Verdana" w:cstheme="minorHAnsi"/>
                <w:i/>
                <w:sz w:val="20"/>
                <w:szCs w:val="20"/>
                <w:u w:val="single"/>
              </w:rPr>
              <w:t>Tabela A</w:t>
            </w:r>
            <w:r w:rsidRPr="00BB3DD8">
              <w:rPr>
                <w:rFonts w:ascii="Verdana" w:hAnsi="Verdana" w:cstheme="minorHAnsi"/>
                <w:i/>
                <w:sz w:val="20"/>
                <w:szCs w:val="20"/>
              </w:rPr>
              <w:t xml:space="preserve"> da CCB) imediatamente anterior, inclusive, conforme o caso, até a data do efetivo pagamento, exclusive </w:t>
            </w:r>
            <w:r w:rsidRPr="00BB3DD8">
              <w:rPr>
                <w:rFonts w:ascii="Verdana" w:hAnsi="Verdana"/>
                <w:i/>
                <w:spacing w:val="2"/>
                <w:sz w:val="20"/>
                <w:szCs w:val="20"/>
              </w:rPr>
              <w:t>(“</w:t>
            </w:r>
            <w:r w:rsidRPr="00BB3DD8">
              <w:rPr>
                <w:rFonts w:ascii="Verdana" w:hAnsi="Verdana"/>
                <w:i/>
                <w:spacing w:val="2"/>
                <w:sz w:val="20"/>
                <w:szCs w:val="20"/>
                <w:u w:val="single"/>
              </w:rPr>
              <w:t>Juros Remuneratórios</w:t>
            </w:r>
            <w:r w:rsidRPr="00BB3DD8">
              <w:rPr>
                <w:rFonts w:ascii="Verdana" w:hAnsi="Verdana"/>
                <w:i/>
                <w:spacing w:val="2"/>
                <w:sz w:val="20"/>
                <w:szCs w:val="20"/>
              </w:rPr>
              <w:t>” ou “</w:t>
            </w:r>
            <w:r w:rsidRPr="00BB3DD8">
              <w:rPr>
                <w:rFonts w:ascii="Verdana" w:hAnsi="Verdana"/>
                <w:i/>
                <w:spacing w:val="2"/>
                <w:sz w:val="20"/>
                <w:szCs w:val="20"/>
                <w:u w:val="single"/>
              </w:rPr>
              <w:t>Remuneração</w:t>
            </w:r>
            <w:r w:rsidRPr="00BB3DD8">
              <w:rPr>
                <w:rFonts w:ascii="Verdana" w:hAnsi="Verdana"/>
                <w:i/>
                <w:spacing w:val="2"/>
                <w:sz w:val="20"/>
                <w:szCs w:val="20"/>
              </w:rPr>
              <w:t>”)</w:t>
            </w:r>
            <w:r w:rsidRPr="00BB3DD8">
              <w:rPr>
                <w:rFonts w:ascii="Verdana" w:hAnsi="Verdana"/>
                <w:bCs/>
                <w:i/>
                <w:sz w:val="20"/>
                <w:szCs w:val="20"/>
              </w:rPr>
              <w:t>. A Sobretaxa poderá ser reduzida nos termos da Cláusula 3.3.3 e seguintes da CCB.</w:t>
            </w:r>
          </w:p>
          <w:p w14:paraId="1A49CA9E" w14:textId="77777777" w:rsidR="00BB3DD8" w:rsidRPr="00BB3DD8" w:rsidRDefault="00BB3DD8" w:rsidP="00523AA3">
            <w:pPr>
              <w:spacing w:line="280" w:lineRule="exact"/>
              <w:rPr>
                <w:rFonts w:ascii="Verdana" w:hAnsi="Verdana" w:cs="Arial"/>
                <w:i/>
                <w:sz w:val="20"/>
                <w:szCs w:val="20"/>
              </w:rPr>
            </w:pPr>
          </w:p>
        </w:tc>
      </w:tr>
    </w:tbl>
    <w:p w14:paraId="7A30865C" w14:textId="77777777" w:rsidR="003E0C82" w:rsidRPr="003E0C82" w:rsidRDefault="003E0C82" w:rsidP="003E0C82">
      <w:pPr>
        <w:pStyle w:val="Par2"/>
        <w:spacing w:line="340" w:lineRule="exact"/>
      </w:pPr>
    </w:p>
    <w:p w14:paraId="7BD77F5F" w14:textId="725FC621" w:rsidR="006D080A" w:rsidRPr="006D080A" w:rsidRDefault="003A2F36" w:rsidP="00F22201">
      <w:pPr>
        <w:pStyle w:val="Par2"/>
        <w:numPr>
          <w:ilvl w:val="1"/>
          <w:numId w:val="100"/>
        </w:numPr>
        <w:spacing w:line="340" w:lineRule="exact"/>
      </w:pPr>
      <w:r>
        <w:rPr>
          <w:bCs/>
        </w:rPr>
        <w:t>O</w:t>
      </w:r>
      <w:r w:rsidR="006D080A" w:rsidRPr="003E0C82">
        <w:rPr>
          <w:bCs/>
        </w:rPr>
        <w:t xml:space="preserve"> </w:t>
      </w:r>
      <w:r>
        <w:rPr>
          <w:bCs/>
        </w:rPr>
        <w:t xml:space="preserve">item “i)” </w:t>
      </w:r>
      <w:r w:rsidR="006D080A" w:rsidRPr="003E0C82">
        <w:rPr>
          <w:bCs/>
        </w:rPr>
        <w:t xml:space="preserve">Cláusula </w:t>
      </w:r>
      <w:r w:rsidR="003E0C82">
        <w:rPr>
          <w:bCs/>
        </w:rPr>
        <w:t>3</w:t>
      </w:r>
      <w:r w:rsidR="006D080A" w:rsidRPr="003E0C82">
        <w:rPr>
          <w:bCs/>
        </w:rPr>
        <w:t>.</w:t>
      </w:r>
      <w:r>
        <w:rPr>
          <w:bCs/>
        </w:rPr>
        <w:t>1</w:t>
      </w:r>
      <w:r w:rsidR="006D080A" w:rsidRPr="003E0C82">
        <w:rPr>
          <w:bCs/>
        </w:rPr>
        <w:t xml:space="preserve"> d</w:t>
      </w:r>
      <w:r>
        <w:rPr>
          <w:bCs/>
        </w:rPr>
        <w:t xml:space="preserve">o Termo de Securitização </w:t>
      </w:r>
      <w:r w:rsidR="006D080A" w:rsidRPr="003E0C82">
        <w:rPr>
          <w:bCs/>
        </w:rPr>
        <w:t xml:space="preserve">passa a vigorar com a seguinte nova redação: </w:t>
      </w:r>
    </w:p>
    <w:p w14:paraId="41FD69D6" w14:textId="127C1819" w:rsidR="006D080A" w:rsidRDefault="006D080A" w:rsidP="006D080A">
      <w:pPr>
        <w:pStyle w:val="BodyText"/>
        <w:widowControl w:val="0"/>
        <w:tabs>
          <w:tab w:val="left" w:pos="709"/>
        </w:tabs>
        <w:spacing w:after="0" w:line="280" w:lineRule="exact"/>
        <w:jc w:val="both"/>
        <w:rPr>
          <w:rFonts w:ascii="Verdana" w:hAnsi="Verdana"/>
          <w:spacing w:val="2"/>
          <w:sz w:val="20"/>
          <w:szCs w:val="20"/>
        </w:rPr>
      </w:pPr>
    </w:p>
    <w:p w14:paraId="3DB53DBD" w14:textId="6D0E6083" w:rsidR="003A2F36" w:rsidRDefault="003A2F36" w:rsidP="006D080A">
      <w:pPr>
        <w:pStyle w:val="BodyText"/>
        <w:widowControl w:val="0"/>
        <w:tabs>
          <w:tab w:val="left" w:pos="709"/>
        </w:tabs>
        <w:spacing w:after="0" w:line="280" w:lineRule="exact"/>
        <w:jc w:val="both"/>
        <w:rPr>
          <w:rFonts w:ascii="Verdana" w:hAnsi="Verdana"/>
          <w:spacing w:val="2"/>
          <w:sz w:val="20"/>
          <w:szCs w:val="20"/>
        </w:rPr>
      </w:pPr>
    </w:p>
    <w:p w14:paraId="1A10B155" w14:textId="095D88F9" w:rsidR="003A2F36" w:rsidRDefault="00510EF6" w:rsidP="003A2F36">
      <w:pPr>
        <w:pStyle w:val="BodyText21"/>
        <w:widowControl/>
        <w:tabs>
          <w:tab w:val="num" w:pos="1418"/>
        </w:tabs>
        <w:spacing w:line="280" w:lineRule="atLeast"/>
        <w:rPr>
          <w:rFonts w:ascii="Verdana" w:hAnsi="Verdana"/>
          <w:i/>
          <w:spacing w:val="2"/>
          <w:sz w:val="20"/>
        </w:rPr>
      </w:pPr>
      <w:r>
        <w:rPr>
          <w:rFonts w:ascii="Verdana" w:hAnsi="Verdana" w:cstheme="minorHAnsi"/>
          <w:i/>
          <w:sz w:val="20"/>
        </w:rPr>
        <w:t>“</w:t>
      </w:r>
      <w:r w:rsidR="003A2F36" w:rsidRPr="003A2F36">
        <w:rPr>
          <w:rFonts w:ascii="Verdana" w:hAnsi="Verdana" w:cstheme="minorHAnsi"/>
          <w:i/>
          <w:sz w:val="20"/>
        </w:rPr>
        <w:t>i)</w:t>
      </w:r>
      <w:r w:rsidR="003A2F36" w:rsidRPr="003A2F36">
        <w:rPr>
          <w:rFonts w:ascii="Verdana" w:hAnsi="Verdana" w:cstheme="minorHAnsi"/>
          <w:i/>
          <w:sz w:val="20"/>
        </w:rPr>
        <w:tab/>
      </w:r>
      <w:r w:rsidR="003A2F36" w:rsidRPr="003A2F36">
        <w:rPr>
          <w:rFonts w:ascii="Verdana" w:hAnsi="Verdana" w:cstheme="minorHAnsi"/>
          <w:i/>
          <w:sz w:val="20"/>
          <w:u w:val="single"/>
        </w:rPr>
        <w:t>Remuneração</w:t>
      </w:r>
      <w:r w:rsidR="003A2F36" w:rsidRPr="003A2F36">
        <w:rPr>
          <w:rFonts w:ascii="Verdana" w:hAnsi="Verdana" w:cstheme="minorHAnsi"/>
          <w:i/>
          <w:sz w:val="20"/>
        </w:rPr>
        <w:t xml:space="preserve">: </w:t>
      </w:r>
      <w:bookmarkStart w:id="0" w:name="_Hlk43294894"/>
      <w:r w:rsidR="003A2F36" w:rsidRPr="003A2F36">
        <w:rPr>
          <w:rFonts w:ascii="Verdana" w:hAnsi="Verdana"/>
          <w:bCs/>
          <w:i/>
          <w:sz w:val="20"/>
        </w:rPr>
        <w:t>Sobre o Valor Nominal Unitário ou o saldo do Valor Nominal Unitário, conforme o caso, incidirão juros remuneratórios correspondentes a 100% (cem por cento)</w:t>
      </w:r>
      <w:r w:rsidR="003A2F36" w:rsidRPr="003A2F36">
        <w:rPr>
          <w:rFonts w:ascii="Verdana" w:hAnsi="Verdana" w:cstheme="minorHAnsi"/>
          <w:i/>
          <w:sz w:val="20"/>
        </w:rPr>
        <w:t xml:space="preserve"> </w:t>
      </w:r>
      <w:r w:rsidR="003A2F36" w:rsidRPr="003A2F36">
        <w:rPr>
          <w:rFonts w:ascii="Verdana" w:hAnsi="Verdana"/>
          <w:bCs/>
          <w:i/>
          <w:sz w:val="20"/>
        </w:rPr>
        <w:t>da Taxa DI</w:t>
      </w:r>
      <w:r w:rsidR="003A2F36" w:rsidRPr="003A2F36">
        <w:rPr>
          <w:rFonts w:ascii="Verdana" w:hAnsi="Verdana" w:cstheme="minorHAnsi"/>
          <w:i/>
          <w:sz w:val="20"/>
        </w:rPr>
        <w:t xml:space="preserve">, </w:t>
      </w:r>
      <w:r w:rsidR="003A2F36" w:rsidRPr="003A2F36">
        <w:rPr>
          <w:rFonts w:ascii="Verdana" w:hAnsi="Verdana"/>
          <w:bCs/>
          <w:i/>
          <w:sz w:val="20"/>
        </w:rPr>
        <w:t xml:space="preserve">acrescida de spread (sobretaxa) de </w:t>
      </w:r>
      <w:r w:rsidR="00B72701" w:rsidRPr="00B72701">
        <w:rPr>
          <w:rFonts w:ascii="Verdana" w:hAnsi="Verdana"/>
          <w:bCs/>
          <w:i/>
          <w:sz w:val="20"/>
        </w:rPr>
        <w:t>2,866</w:t>
      </w:r>
      <w:r w:rsidR="003A2F36" w:rsidRPr="00B72701">
        <w:rPr>
          <w:rFonts w:ascii="Verdana" w:hAnsi="Verdana"/>
          <w:bCs/>
          <w:i/>
          <w:sz w:val="20"/>
        </w:rPr>
        <w:t>% (</w:t>
      </w:r>
      <w:r w:rsidR="00B72701" w:rsidRPr="00B72701">
        <w:rPr>
          <w:rFonts w:ascii="Verdana" w:hAnsi="Verdana"/>
          <w:bCs/>
          <w:i/>
          <w:sz w:val="20"/>
        </w:rPr>
        <w:t>dois, oito décimos e sessenta e seis milésimos por cento</w:t>
      </w:r>
      <w:r w:rsidR="003A2F36" w:rsidRPr="00B72701">
        <w:rPr>
          <w:rFonts w:ascii="Verdana" w:hAnsi="Verdana"/>
          <w:bCs/>
          <w:i/>
          <w:sz w:val="20"/>
        </w:rPr>
        <w:t>)</w:t>
      </w:r>
      <w:r w:rsidR="003A2F36" w:rsidRPr="003A2F36">
        <w:rPr>
          <w:rFonts w:ascii="Verdana" w:hAnsi="Verdana"/>
          <w:bCs/>
          <w:i/>
          <w:sz w:val="20"/>
        </w:rPr>
        <w:t xml:space="preserve"> ao ano (“</w:t>
      </w:r>
      <w:r w:rsidR="003A2F36" w:rsidRPr="003A2F36">
        <w:rPr>
          <w:rFonts w:ascii="Verdana" w:hAnsi="Verdana"/>
          <w:bCs/>
          <w:i/>
          <w:sz w:val="20"/>
          <w:u w:val="single"/>
        </w:rPr>
        <w:t>Sobretaxa</w:t>
      </w:r>
      <w:r w:rsidR="003A2F36" w:rsidRPr="003A2F36">
        <w:rPr>
          <w:rFonts w:ascii="Verdana" w:hAnsi="Verdana"/>
          <w:bCs/>
          <w:i/>
          <w:sz w:val="20"/>
        </w:rPr>
        <w:t>”), base 2</w:t>
      </w:r>
      <w:bookmarkStart w:id="1" w:name="_GoBack"/>
      <w:bookmarkEnd w:id="1"/>
      <w:r w:rsidR="003A2F36" w:rsidRPr="003A2F36">
        <w:rPr>
          <w:rFonts w:ascii="Verdana" w:hAnsi="Verdana"/>
          <w:bCs/>
          <w:i/>
          <w:sz w:val="20"/>
        </w:rPr>
        <w:t xml:space="preserve">52 (duzentos e cinquenta e dois) Dias Úteis, calculados de forma exponencial e cumulativa pro rata </w:t>
      </w:r>
      <w:proofErr w:type="spellStart"/>
      <w:r w:rsidR="003A2F36" w:rsidRPr="003A2F36">
        <w:rPr>
          <w:rFonts w:ascii="Verdana" w:hAnsi="Verdana"/>
          <w:bCs/>
          <w:i/>
          <w:sz w:val="20"/>
        </w:rPr>
        <w:t>temporis</w:t>
      </w:r>
      <w:proofErr w:type="spellEnd"/>
      <w:r w:rsidR="003A2F36" w:rsidRPr="003A2F36">
        <w:rPr>
          <w:rFonts w:ascii="Verdana" w:hAnsi="Verdana"/>
          <w:bCs/>
          <w:i/>
          <w:sz w:val="20"/>
        </w:rPr>
        <w:t xml:space="preserve">, por Dias Úteis decorridos, desde a </w:t>
      </w:r>
      <w:r w:rsidR="003A2F36" w:rsidRPr="003A2F36">
        <w:rPr>
          <w:rFonts w:ascii="Verdana" w:hAnsi="Verdana" w:cstheme="minorHAnsi"/>
          <w:i/>
          <w:sz w:val="20"/>
        </w:rPr>
        <w:t xml:space="preserve">Data de Início do Período de Capitalização imediatamente anterior, inclusive, conforme o caso, até a data do efetivo pagamento, exclusive </w:t>
      </w:r>
      <w:r w:rsidR="003A2F36" w:rsidRPr="003A2F36">
        <w:rPr>
          <w:rFonts w:ascii="Verdana" w:hAnsi="Verdana"/>
          <w:i/>
          <w:spacing w:val="2"/>
          <w:sz w:val="20"/>
        </w:rPr>
        <w:t>(“</w:t>
      </w:r>
      <w:r w:rsidR="003A2F36" w:rsidRPr="003A2F36">
        <w:rPr>
          <w:rFonts w:ascii="Verdana" w:hAnsi="Verdana"/>
          <w:i/>
          <w:spacing w:val="2"/>
          <w:sz w:val="20"/>
          <w:u w:val="single"/>
        </w:rPr>
        <w:t>Remuneração</w:t>
      </w:r>
      <w:r w:rsidR="003A2F36" w:rsidRPr="003A2F36">
        <w:rPr>
          <w:rFonts w:ascii="Verdana" w:hAnsi="Verdana"/>
          <w:i/>
          <w:spacing w:val="2"/>
          <w:sz w:val="20"/>
        </w:rPr>
        <w:t>”), observado o disposto na Cláusula 5.2.2 abaixo</w:t>
      </w:r>
      <w:r w:rsidR="003A2F36" w:rsidRPr="003A2F36">
        <w:rPr>
          <w:rFonts w:ascii="Verdana" w:hAnsi="Verdana"/>
          <w:bCs/>
          <w:i/>
          <w:sz w:val="20"/>
        </w:rPr>
        <w:t xml:space="preserve">, </w:t>
      </w:r>
      <w:r w:rsidR="003A2F36" w:rsidRPr="003A2F36">
        <w:rPr>
          <w:rFonts w:ascii="Verdana" w:hAnsi="Verdana"/>
          <w:i/>
          <w:spacing w:val="2"/>
          <w:sz w:val="20"/>
        </w:rPr>
        <w:t>cujo cálculo está previsto na Cláusula 5.2 abaixo</w:t>
      </w:r>
      <w:bookmarkEnd w:id="0"/>
      <w:r w:rsidR="003A2F36" w:rsidRPr="003A2F36">
        <w:rPr>
          <w:rFonts w:ascii="Verdana" w:hAnsi="Verdana"/>
          <w:i/>
          <w:spacing w:val="2"/>
          <w:sz w:val="20"/>
        </w:rPr>
        <w:t>;</w:t>
      </w:r>
      <w:r>
        <w:rPr>
          <w:rFonts w:ascii="Verdana" w:hAnsi="Verdana"/>
          <w:i/>
          <w:spacing w:val="2"/>
          <w:sz w:val="20"/>
        </w:rPr>
        <w:t>”</w:t>
      </w:r>
      <w:r w:rsidR="003A2F36" w:rsidRPr="003A2F36">
        <w:rPr>
          <w:rFonts w:ascii="Verdana" w:hAnsi="Verdana"/>
          <w:i/>
          <w:spacing w:val="2"/>
          <w:sz w:val="20"/>
        </w:rPr>
        <w:t xml:space="preserve"> </w:t>
      </w:r>
    </w:p>
    <w:p w14:paraId="0CC1A6E3" w14:textId="77777777" w:rsidR="00510EF6" w:rsidRPr="003A2F36" w:rsidRDefault="00510EF6" w:rsidP="003A2F36">
      <w:pPr>
        <w:pStyle w:val="BodyText21"/>
        <w:widowControl/>
        <w:tabs>
          <w:tab w:val="num" w:pos="1418"/>
        </w:tabs>
        <w:spacing w:line="280" w:lineRule="atLeast"/>
        <w:rPr>
          <w:rFonts w:ascii="Verdana" w:hAnsi="Verdana" w:cstheme="minorHAnsi"/>
          <w:i/>
          <w:sz w:val="20"/>
        </w:rPr>
      </w:pPr>
    </w:p>
    <w:p w14:paraId="31A1BAFD" w14:textId="75A73B45" w:rsidR="003A2F36" w:rsidRPr="006D080A" w:rsidRDefault="003A2F36" w:rsidP="003A2F36">
      <w:pPr>
        <w:pStyle w:val="Par2"/>
        <w:numPr>
          <w:ilvl w:val="1"/>
          <w:numId w:val="100"/>
        </w:numPr>
        <w:spacing w:line="340" w:lineRule="exact"/>
      </w:pPr>
      <w:r>
        <w:rPr>
          <w:spacing w:val="2"/>
        </w:rPr>
        <w:t>A</w:t>
      </w:r>
      <w:r>
        <w:rPr>
          <w:bCs/>
        </w:rPr>
        <w:t xml:space="preserve"> </w:t>
      </w:r>
      <w:r w:rsidRPr="003E0C82">
        <w:rPr>
          <w:bCs/>
        </w:rPr>
        <w:t xml:space="preserve">Cláusula </w:t>
      </w:r>
      <w:r>
        <w:rPr>
          <w:bCs/>
        </w:rPr>
        <w:t>5.2</w:t>
      </w:r>
      <w:r w:rsidRPr="003E0C82">
        <w:rPr>
          <w:bCs/>
        </w:rPr>
        <w:t xml:space="preserve"> d</w:t>
      </w:r>
      <w:r>
        <w:rPr>
          <w:bCs/>
        </w:rPr>
        <w:t xml:space="preserve">o Termo de Securitização </w:t>
      </w:r>
      <w:r w:rsidRPr="003E0C82">
        <w:rPr>
          <w:bCs/>
        </w:rPr>
        <w:t xml:space="preserve">passa a vigorar com a seguinte nova redação: </w:t>
      </w:r>
    </w:p>
    <w:p w14:paraId="57049F01" w14:textId="6754C9CB" w:rsidR="003A2F36" w:rsidRDefault="003A2F36" w:rsidP="006D080A">
      <w:pPr>
        <w:pStyle w:val="BodyText"/>
        <w:widowControl w:val="0"/>
        <w:tabs>
          <w:tab w:val="left" w:pos="709"/>
        </w:tabs>
        <w:spacing w:after="0" w:line="280" w:lineRule="exact"/>
        <w:jc w:val="both"/>
        <w:rPr>
          <w:rFonts w:ascii="Verdana" w:hAnsi="Verdana"/>
          <w:spacing w:val="2"/>
          <w:sz w:val="20"/>
          <w:szCs w:val="20"/>
        </w:rPr>
      </w:pPr>
    </w:p>
    <w:p w14:paraId="03004D4F" w14:textId="390B80EB" w:rsidR="00510EF6" w:rsidRDefault="00510EF6" w:rsidP="003A2F36">
      <w:pPr>
        <w:widowControl w:val="0"/>
        <w:tabs>
          <w:tab w:val="left" w:pos="709"/>
        </w:tabs>
        <w:autoSpaceDE w:val="0"/>
        <w:autoSpaceDN w:val="0"/>
        <w:adjustRightInd w:val="0"/>
        <w:spacing w:line="280" w:lineRule="atLeast"/>
        <w:jc w:val="both"/>
        <w:rPr>
          <w:rFonts w:ascii="Verdana" w:hAnsi="Verdana" w:cstheme="minorHAnsi"/>
          <w:bCs/>
          <w:i/>
          <w:sz w:val="20"/>
          <w:szCs w:val="20"/>
        </w:rPr>
      </w:pPr>
      <w:r>
        <w:rPr>
          <w:rFonts w:ascii="Verdana" w:hAnsi="Verdana" w:cstheme="minorHAnsi"/>
          <w:bCs/>
          <w:i/>
          <w:color w:val="000000" w:themeColor="text1"/>
          <w:sz w:val="20"/>
          <w:szCs w:val="20"/>
        </w:rPr>
        <w:t>“</w:t>
      </w:r>
      <w:r w:rsidR="003A2F36" w:rsidRPr="003A2F36">
        <w:rPr>
          <w:rFonts w:ascii="Verdana" w:hAnsi="Verdana" w:cstheme="minorHAnsi"/>
          <w:bCs/>
          <w:i/>
          <w:color w:val="000000" w:themeColor="text1"/>
          <w:sz w:val="20"/>
          <w:szCs w:val="20"/>
        </w:rPr>
        <w:t>5.2.</w:t>
      </w:r>
      <w:r w:rsidR="003A2F36" w:rsidRPr="003A2F36">
        <w:rPr>
          <w:rFonts w:ascii="Verdana" w:hAnsi="Verdana" w:cstheme="minorHAnsi"/>
          <w:bCs/>
          <w:i/>
          <w:color w:val="000000" w:themeColor="text1"/>
          <w:sz w:val="20"/>
          <w:szCs w:val="20"/>
        </w:rPr>
        <w:tab/>
      </w:r>
      <w:r w:rsidR="003A2F36" w:rsidRPr="003A2F36">
        <w:rPr>
          <w:rFonts w:ascii="Verdana" w:hAnsi="Verdana" w:cstheme="minorHAnsi"/>
          <w:bCs/>
          <w:i/>
          <w:color w:val="000000" w:themeColor="text1"/>
          <w:sz w:val="20"/>
          <w:szCs w:val="20"/>
          <w:u w:val="single"/>
        </w:rPr>
        <w:t>Remuneração</w:t>
      </w:r>
      <w:r w:rsidR="003A2F36" w:rsidRPr="003A2F36">
        <w:rPr>
          <w:rFonts w:ascii="Verdana" w:hAnsi="Verdana" w:cstheme="minorHAnsi"/>
          <w:bCs/>
          <w:i/>
          <w:color w:val="000000" w:themeColor="text1"/>
          <w:sz w:val="20"/>
          <w:szCs w:val="20"/>
        </w:rPr>
        <w:t xml:space="preserve">: Sobre o Valor Nominal Unitário ou o saldo do Valor Nominal Unitário, conforme o caso, incidirão juros remuneratórios correspondentes a 100% (cem por cento) da Taxa DI, acrescida de spread (sobretaxa) de </w:t>
      </w:r>
      <w:r w:rsidR="00B72701" w:rsidRPr="00B72701">
        <w:rPr>
          <w:rFonts w:ascii="Verdana" w:hAnsi="Verdana"/>
          <w:bCs/>
          <w:i/>
          <w:sz w:val="20"/>
        </w:rPr>
        <w:t>2,866% (</w:t>
      </w:r>
      <w:r w:rsidR="00B72701" w:rsidRPr="00B72701">
        <w:rPr>
          <w:rFonts w:ascii="Verdana" w:hAnsi="Verdana"/>
          <w:bCs/>
          <w:i/>
          <w:sz w:val="20"/>
          <w:szCs w:val="20"/>
        </w:rPr>
        <w:t>dois, oito décimos e sessenta e seis milésimos por cento</w:t>
      </w:r>
      <w:r w:rsidR="00B72701" w:rsidRPr="00B72701">
        <w:rPr>
          <w:rFonts w:ascii="Verdana" w:hAnsi="Verdana"/>
          <w:bCs/>
          <w:i/>
          <w:sz w:val="20"/>
        </w:rPr>
        <w:t>)</w:t>
      </w:r>
      <w:r w:rsidR="003A2F36" w:rsidRPr="003A2F36">
        <w:rPr>
          <w:rFonts w:ascii="Verdana" w:hAnsi="Verdana" w:cstheme="minorHAnsi"/>
          <w:bCs/>
          <w:i/>
          <w:color w:val="000000" w:themeColor="text1"/>
          <w:sz w:val="20"/>
          <w:szCs w:val="20"/>
        </w:rPr>
        <w:t xml:space="preserve">ao ano, base 252 (duzentos e cinquenta e dois) Dias Úteis, calculados de forma exponencial e cumulativa pro rata </w:t>
      </w:r>
      <w:proofErr w:type="spellStart"/>
      <w:r w:rsidR="003A2F36" w:rsidRPr="003A2F36">
        <w:rPr>
          <w:rFonts w:ascii="Verdana" w:hAnsi="Verdana" w:cstheme="minorHAnsi"/>
          <w:bCs/>
          <w:i/>
          <w:color w:val="000000" w:themeColor="text1"/>
          <w:sz w:val="20"/>
          <w:szCs w:val="20"/>
        </w:rPr>
        <w:t>temporis</w:t>
      </w:r>
      <w:proofErr w:type="spellEnd"/>
      <w:r w:rsidR="003A2F36" w:rsidRPr="003A2F36">
        <w:rPr>
          <w:rFonts w:ascii="Verdana" w:hAnsi="Verdana" w:cstheme="minorHAnsi"/>
          <w:bCs/>
          <w:i/>
          <w:color w:val="000000" w:themeColor="text1"/>
          <w:sz w:val="20"/>
          <w:szCs w:val="20"/>
        </w:rPr>
        <w:t xml:space="preserve">, por Dias Úteis decorridos, desde a Data </w:t>
      </w:r>
      <w:r w:rsidR="003A2F36" w:rsidRPr="003A2F36">
        <w:rPr>
          <w:rFonts w:ascii="Verdana" w:hAnsi="Verdana" w:cstheme="minorHAnsi"/>
          <w:i/>
          <w:sz w:val="20"/>
          <w:szCs w:val="20"/>
        </w:rPr>
        <w:t xml:space="preserve">de Início do Período de Capitalização </w:t>
      </w:r>
      <w:r w:rsidR="003A2F36" w:rsidRPr="003A2F36">
        <w:rPr>
          <w:rFonts w:ascii="Verdana" w:hAnsi="Verdana" w:cstheme="minorHAnsi"/>
          <w:bCs/>
          <w:i/>
          <w:color w:val="000000" w:themeColor="text1"/>
          <w:sz w:val="20"/>
          <w:szCs w:val="20"/>
        </w:rPr>
        <w:t xml:space="preserve">imediatamente anterior, inclusive, conforme o caso, até a data do efetivo pagamento, exclusive, </w:t>
      </w:r>
      <w:r w:rsidR="003A2F36" w:rsidRPr="003A2F36">
        <w:rPr>
          <w:rFonts w:ascii="Verdana" w:hAnsi="Verdana" w:cstheme="minorHAnsi"/>
          <w:bCs/>
          <w:i/>
          <w:sz w:val="20"/>
          <w:szCs w:val="20"/>
        </w:rPr>
        <w:t>de acordo com a fórmula prevista abaixo, observado o disposto na Cláusula 5.2.2 abaixo:</w:t>
      </w:r>
    </w:p>
    <w:p w14:paraId="3EDBA09F" w14:textId="235546C4" w:rsidR="003A2F36" w:rsidRPr="003A2F36" w:rsidRDefault="00510EF6" w:rsidP="003A2F36">
      <w:pPr>
        <w:widowControl w:val="0"/>
        <w:tabs>
          <w:tab w:val="left" w:pos="709"/>
        </w:tabs>
        <w:autoSpaceDE w:val="0"/>
        <w:autoSpaceDN w:val="0"/>
        <w:adjustRightInd w:val="0"/>
        <w:spacing w:line="280" w:lineRule="atLeast"/>
        <w:jc w:val="both"/>
        <w:rPr>
          <w:rFonts w:ascii="Verdana" w:hAnsi="Verdana" w:cstheme="minorHAnsi"/>
          <w:b/>
          <w:bCs/>
          <w:i/>
          <w:sz w:val="20"/>
          <w:szCs w:val="20"/>
        </w:rPr>
      </w:pPr>
      <w:r>
        <w:rPr>
          <w:rFonts w:ascii="Verdana" w:hAnsi="Verdana" w:cstheme="minorHAnsi"/>
          <w:bCs/>
          <w:i/>
          <w:sz w:val="20"/>
          <w:szCs w:val="20"/>
        </w:rPr>
        <w:t>(...)”</w:t>
      </w:r>
      <w:r w:rsidR="003A2F36" w:rsidRPr="003A2F36">
        <w:rPr>
          <w:rFonts w:ascii="Verdana" w:hAnsi="Verdana" w:cstheme="minorHAnsi"/>
          <w:bCs/>
          <w:i/>
          <w:sz w:val="20"/>
          <w:szCs w:val="20"/>
        </w:rPr>
        <w:t xml:space="preserve"> </w:t>
      </w:r>
    </w:p>
    <w:p w14:paraId="520E1B20" w14:textId="02336B40"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ListParagraph"/>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2"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4043DD2C" w:rsidR="003E0C82" w:rsidRPr="003E0C82" w:rsidRDefault="003E0C82" w:rsidP="003E0C82">
      <w:pPr>
        <w:pStyle w:val="ListParagraph"/>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w:t>
      </w:r>
      <w:r w:rsidR="003A2F36">
        <w:rPr>
          <w:rFonts w:ascii="Verdana" w:hAnsi="Verdana" w:cs="Times"/>
          <w:bCs/>
          <w:spacing w:val="2"/>
          <w:sz w:val="20"/>
          <w:szCs w:val="20"/>
        </w:rPr>
        <w:t xml:space="preserve">o Termo de Securitização </w:t>
      </w:r>
      <w:r w:rsidRPr="003E0C82">
        <w:rPr>
          <w:rFonts w:ascii="Verdana" w:hAnsi="Verdana" w:cs="Times"/>
          <w:bCs/>
          <w:spacing w:val="2"/>
          <w:sz w:val="20"/>
          <w:szCs w:val="20"/>
        </w:rPr>
        <w:t>que não tenham sido expressamente alterados nos termos deste Aditamento.</w:t>
      </w:r>
    </w:p>
    <w:p w14:paraId="4AD53E1B" w14:textId="107C4289" w:rsidR="003E0C82" w:rsidRDefault="003E0C82" w:rsidP="003E0C82">
      <w:pPr>
        <w:pStyle w:val="p0"/>
        <w:tabs>
          <w:tab w:val="clear" w:pos="720"/>
        </w:tabs>
        <w:suppressAutoHyphens/>
        <w:spacing w:line="280" w:lineRule="exact"/>
        <w:rPr>
          <w:rFonts w:ascii="Verdana" w:hAnsi="Verdana"/>
          <w:b/>
          <w:spacing w:val="2"/>
          <w:sz w:val="20"/>
          <w:szCs w:val="20"/>
          <w:u w:val="single"/>
        </w:rPr>
      </w:pPr>
    </w:p>
    <w:p w14:paraId="0A114BCD" w14:textId="5495BCA1"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0F725F6E" w14:textId="31C3CADD" w:rsidR="00C92038" w:rsidRDefault="00C92038" w:rsidP="003E0C82">
      <w:pPr>
        <w:pStyle w:val="p0"/>
        <w:tabs>
          <w:tab w:val="clear" w:pos="720"/>
        </w:tabs>
        <w:suppressAutoHyphens/>
        <w:spacing w:line="280" w:lineRule="exact"/>
        <w:rPr>
          <w:rFonts w:ascii="Verdana" w:hAnsi="Verdana"/>
          <w:b/>
          <w:spacing w:val="2"/>
          <w:sz w:val="20"/>
          <w:szCs w:val="20"/>
          <w:u w:val="single"/>
        </w:rPr>
      </w:pPr>
    </w:p>
    <w:p w14:paraId="3F4A5A33" w14:textId="77777777" w:rsidR="00C92038" w:rsidRPr="003E0C82" w:rsidRDefault="00C92038"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2"/>
    </w:p>
    <w:p w14:paraId="3C2564EC" w14:textId="77777777" w:rsidR="003E0C82" w:rsidRPr="003E0C82" w:rsidRDefault="003E0C82" w:rsidP="003E0C82">
      <w:pPr>
        <w:pStyle w:val="ListParagraph"/>
        <w:spacing w:line="280" w:lineRule="exact"/>
        <w:rPr>
          <w:rFonts w:ascii="Verdana" w:hAnsi="Verdana" w:cs="Tahoma"/>
          <w:sz w:val="20"/>
          <w:szCs w:val="20"/>
        </w:rPr>
      </w:pPr>
    </w:p>
    <w:p w14:paraId="019D7DCA" w14:textId="77693F57"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no </w:t>
      </w:r>
      <w:r w:rsidR="003A2F36">
        <w:rPr>
          <w:rFonts w:ascii="Verdana" w:hAnsi="Verdana" w:cs="Times"/>
          <w:bCs/>
          <w:spacing w:val="2"/>
          <w:sz w:val="20"/>
          <w:szCs w:val="20"/>
        </w:rPr>
        <w:t>Termo de Securitização</w:t>
      </w:r>
      <w:r w:rsidRPr="003E0C82">
        <w:rPr>
          <w:rFonts w:ascii="Verdana" w:hAnsi="Verdana" w:cs="Tahoma"/>
          <w:sz w:val="20"/>
          <w:szCs w:val="20"/>
        </w:rPr>
        <w:t xml:space="preserve">. </w:t>
      </w:r>
    </w:p>
    <w:p w14:paraId="11EF6FE0" w14:textId="77777777" w:rsidR="003E0C82" w:rsidRPr="003E0C82" w:rsidRDefault="003E0C82" w:rsidP="003E0C82">
      <w:pPr>
        <w:pStyle w:val="ListParagraph"/>
        <w:spacing w:line="280" w:lineRule="exact"/>
        <w:ind w:left="851" w:hanging="851"/>
        <w:rPr>
          <w:rFonts w:ascii="Verdana" w:hAnsi="Verdana" w:cs="Tahoma"/>
          <w:sz w:val="20"/>
          <w:szCs w:val="20"/>
        </w:rPr>
      </w:pPr>
    </w:p>
    <w:p w14:paraId="29A38E6A" w14:textId="4F291A48"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ListParagraph"/>
        <w:spacing w:line="280" w:lineRule="exact"/>
        <w:ind w:left="851" w:hanging="851"/>
        <w:rPr>
          <w:rFonts w:ascii="Verdana" w:hAnsi="Verdana" w:cs="Tahoma"/>
          <w:sz w:val="20"/>
          <w:szCs w:val="20"/>
        </w:rPr>
      </w:pPr>
    </w:p>
    <w:p w14:paraId="1719D6F7" w14:textId="6E6A06BE"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ListParagraph"/>
        <w:spacing w:line="280" w:lineRule="exact"/>
        <w:ind w:left="851" w:hanging="851"/>
        <w:rPr>
          <w:rFonts w:ascii="Verdana" w:hAnsi="Verdana" w:cs="Tahoma"/>
          <w:sz w:val="20"/>
          <w:szCs w:val="20"/>
        </w:rPr>
      </w:pPr>
    </w:p>
    <w:p w14:paraId="40542B4F" w14:textId="19A6B15C" w:rsidR="003E0C82" w:rsidRPr="003E0C82" w:rsidRDefault="003E0C82" w:rsidP="003E0C82">
      <w:pPr>
        <w:pStyle w:val="ListParagraph"/>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ListParagraph"/>
        <w:spacing w:line="280" w:lineRule="exact"/>
        <w:ind w:left="851" w:hanging="851"/>
        <w:jc w:val="both"/>
        <w:rPr>
          <w:rFonts w:ascii="Verdana" w:hAnsi="Verdana" w:cs="Tahoma"/>
          <w:sz w:val="20"/>
          <w:szCs w:val="20"/>
        </w:rPr>
      </w:pPr>
    </w:p>
    <w:p w14:paraId="57FA13B5" w14:textId="5A24CC86"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3A2F36">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ListParagraph"/>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7CF02949"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Pr>
          <w:rFonts w:ascii="Verdana" w:hAnsi="Verdana" w:cstheme="minorHAnsi"/>
          <w:sz w:val="20"/>
        </w:rPr>
        <w:t>[</w:t>
      </w:r>
      <w:r w:rsidRPr="00815050">
        <w:rPr>
          <w:rFonts w:ascii="Verdana" w:hAnsi="Verdana" w:cstheme="minorHAnsi"/>
          <w:sz w:val="20"/>
          <w:highlight w:val="yellow"/>
        </w:rPr>
        <w:t>=</w:t>
      </w:r>
      <w:r>
        <w:rPr>
          <w:rFonts w:ascii="Verdana" w:hAnsi="Verdana" w:cstheme="minorHAnsi"/>
          <w:sz w:val="20"/>
        </w:rPr>
        <w:t>]</w:t>
      </w:r>
      <w:r w:rsidRPr="0098456D">
        <w:rPr>
          <w:rFonts w:ascii="Verdana" w:hAnsi="Verdana" w:cstheme="minorHAnsi"/>
          <w:sz w:val="20"/>
        </w:rPr>
        <w:t xml:space="preserve"> de </w:t>
      </w:r>
      <w:r>
        <w:rPr>
          <w:rFonts w:ascii="Verdana" w:hAnsi="Verdana" w:cstheme="minorHAnsi"/>
          <w:sz w:val="20"/>
        </w:rPr>
        <w:t>[</w:t>
      </w:r>
      <w:r w:rsidRPr="00815050">
        <w:rPr>
          <w:rFonts w:ascii="Verdana" w:hAnsi="Verdana" w:cstheme="minorHAnsi"/>
          <w:sz w:val="20"/>
          <w:highlight w:val="yellow"/>
        </w:rPr>
        <w:t>=</w:t>
      </w:r>
      <w:r>
        <w:rPr>
          <w:rFonts w:ascii="Verdana" w:hAnsi="Verdana" w:cstheme="minorHAnsi"/>
          <w:sz w:val="20"/>
        </w:rPr>
        <w:t>]</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109607FB" w14:textId="66BCE6BF"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457595AC" w:rsidR="003E0C82" w:rsidRPr="003E0C82" w:rsidRDefault="003E0C82" w:rsidP="003A2F36">
      <w:pPr>
        <w:spacing w:line="280" w:lineRule="atLeast"/>
        <w:jc w:val="both"/>
        <w:rPr>
          <w:rFonts w:ascii="Verdana" w:hAnsi="Verdana"/>
          <w:b/>
          <w:sz w:val="20"/>
          <w:szCs w:val="20"/>
        </w:rPr>
      </w:pPr>
      <w:r w:rsidRPr="003E0C82">
        <w:rPr>
          <w:rFonts w:ascii="Verdana" w:hAnsi="Verdana"/>
          <w:b/>
          <w:sz w:val="20"/>
          <w:szCs w:val="20"/>
        </w:rPr>
        <w:lastRenderedPageBreak/>
        <w:t xml:space="preserve">(PÁGINA DE ASSINATURAS DO </w:t>
      </w:r>
      <w:r w:rsidR="003A2F36">
        <w:rPr>
          <w:rFonts w:ascii="Verdana" w:hAnsi="Verdana" w:cstheme="minorHAnsi"/>
          <w:b/>
          <w:smallCaps/>
          <w:sz w:val="20"/>
          <w:szCs w:val="20"/>
        </w:rPr>
        <w:t xml:space="preserve">PRIMEIRO ADITAMENTO DO </w:t>
      </w:r>
      <w:r w:rsidR="003A2F36" w:rsidRPr="005270B8">
        <w:rPr>
          <w:rFonts w:ascii="Verdana" w:hAnsi="Verdana" w:cstheme="minorHAnsi"/>
          <w:b/>
          <w:smallCaps/>
          <w:sz w:val="20"/>
          <w:szCs w:val="20"/>
        </w:rPr>
        <w:t>TERMO DE SECURITIZAÇÃO DE CRÉDITOS IMOBILIÁRIOS DA 280ª SÉRIE DA 1ª EMISSÃO DE CERTIFICADOS DE RECEBÍVEIS IMOBILIÁRIOS DA RB CAPITAL COMPANHIA DE SECURITIZAÇÃO</w:t>
      </w:r>
      <w:r w:rsidRPr="003E0C82">
        <w:rPr>
          <w:rFonts w:ascii="Verdana" w:hAnsi="Verdana"/>
          <w:b/>
          <w:sz w:val="20"/>
          <w:szCs w:val="20"/>
        </w:rPr>
        <w:t>EM [=] DE [=]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146660C3" w14:textId="3C128DDF" w:rsidR="002C2024" w:rsidRDefault="002C2024">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8E56CF1" w:rsidR="003E0C82" w:rsidRDefault="003E0C82">
      <w:pPr>
        <w:widowControl w:val="0"/>
        <w:spacing w:line="280" w:lineRule="exact"/>
        <w:jc w:val="both"/>
        <w:rPr>
          <w:rFonts w:ascii="Verdana" w:hAnsi="Verdana"/>
          <w:sz w:val="20"/>
          <w:szCs w:val="20"/>
          <w:u w:val="single"/>
        </w:rPr>
      </w:pPr>
    </w:p>
    <w:tbl>
      <w:tblPr>
        <w:tblW w:w="0" w:type="auto"/>
        <w:tblLook w:val="04A0" w:firstRow="1" w:lastRow="0" w:firstColumn="1" w:lastColumn="0" w:noHBand="0" w:noVBand="1"/>
      </w:tblPr>
      <w:tblGrid>
        <w:gridCol w:w="4942"/>
        <w:gridCol w:w="4916"/>
      </w:tblGrid>
      <w:tr w:rsidR="003A2F36" w:rsidRPr="005270B8" w14:paraId="3C5B5FF6" w14:textId="77777777" w:rsidTr="003A2F36">
        <w:tc>
          <w:tcPr>
            <w:tcW w:w="9858" w:type="dxa"/>
            <w:gridSpan w:val="2"/>
          </w:tcPr>
          <w:p w14:paraId="3BD5D56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1568BCD8"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6E215793"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10298995"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p w14:paraId="248FD141" w14:textId="77777777" w:rsidR="003A2F36" w:rsidRPr="005270B8" w:rsidRDefault="003A2F36" w:rsidP="00523AA3">
            <w:pPr>
              <w:keepNext/>
              <w:tabs>
                <w:tab w:val="left" w:pos="2366"/>
              </w:tabs>
              <w:spacing w:line="280" w:lineRule="atLeast"/>
              <w:jc w:val="center"/>
              <w:rPr>
                <w:rFonts w:ascii="Verdana" w:hAnsi="Verdana"/>
                <w:b/>
                <w:smallCaps/>
                <w:color w:val="000000"/>
                <w:sz w:val="20"/>
                <w:szCs w:val="20"/>
              </w:rPr>
            </w:pPr>
          </w:p>
        </w:tc>
      </w:tr>
      <w:tr w:rsidR="003A2F36" w:rsidRPr="005270B8" w14:paraId="58E0DF1E" w14:textId="77777777" w:rsidTr="003A2F36">
        <w:tc>
          <w:tcPr>
            <w:tcW w:w="4942" w:type="dxa"/>
          </w:tcPr>
          <w:p w14:paraId="187D46CC" w14:textId="2E68CD54"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r w:rsidRPr="001938B0">
              <w:rPr>
                <w:rFonts w:ascii="Verdana" w:hAnsi="Verdana"/>
                <w:spacing w:val="2"/>
                <w:sz w:val="20"/>
                <w:szCs w:val="20"/>
              </w:rPr>
              <w:t>Nome:</w:t>
            </w:r>
          </w:p>
        </w:tc>
        <w:tc>
          <w:tcPr>
            <w:tcW w:w="4916" w:type="dxa"/>
          </w:tcPr>
          <w:p w14:paraId="1911BF34" w14:textId="0599D115" w:rsidR="003A2F36" w:rsidRPr="005270B8" w:rsidRDefault="003A2F36" w:rsidP="003A2F36">
            <w:pPr>
              <w:pBdr>
                <w:top w:val="single" w:sz="4" w:space="1" w:color="auto"/>
              </w:pBdr>
              <w:tabs>
                <w:tab w:val="left" w:pos="8647"/>
              </w:tabs>
              <w:spacing w:line="280" w:lineRule="atLeast"/>
              <w:rPr>
                <w:rFonts w:ascii="Verdana" w:hAnsi="Verdana" w:cstheme="minorHAnsi"/>
                <w:sz w:val="20"/>
                <w:szCs w:val="20"/>
              </w:rPr>
            </w:pPr>
            <w:r w:rsidRPr="001938B0">
              <w:rPr>
                <w:rFonts w:ascii="Verdana" w:hAnsi="Verdana"/>
                <w:spacing w:val="2"/>
                <w:sz w:val="20"/>
                <w:szCs w:val="20"/>
              </w:rPr>
              <w:t xml:space="preserve">Nome: </w:t>
            </w:r>
          </w:p>
        </w:tc>
      </w:tr>
      <w:tr w:rsidR="003A2F36" w:rsidRPr="005270B8" w14:paraId="082BAC5B" w14:textId="77777777" w:rsidTr="003A2F36">
        <w:tc>
          <w:tcPr>
            <w:tcW w:w="4942" w:type="dxa"/>
          </w:tcPr>
          <w:p w14:paraId="45DC68B3" w14:textId="2DBBEFC0" w:rsidR="003A2F36" w:rsidRPr="005270B8" w:rsidRDefault="003A2F36" w:rsidP="003A2F36">
            <w:pPr>
              <w:tabs>
                <w:tab w:val="left" w:pos="8647"/>
              </w:tabs>
              <w:spacing w:line="280" w:lineRule="atLeast"/>
              <w:rPr>
                <w:rFonts w:ascii="Verdana" w:hAnsi="Verdana" w:cstheme="minorHAnsi"/>
                <w:sz w:val="20"/>
                <w:szCs w:val="20"/>
              </w:rPr>
            </w:pPr>
            <w:r w:rsidRPr="001938B0">
              <w:rPr>
                <w:rFonts w:ascii="Verdana" w:hAnsi="Verdana"/>
                <w:spacing w:val="2"/>
                <w:sz w:val="20"/>
                <w:szCs w:val="20"/>
              </w:rPr>
              <w:t>Cargo:</w:t>
            </w:r>
          </w:p>
        </w:tc>
        <w:tc>
          <w:tcPr>
            <w:tcW w:w="4916" w:type="dxa"/>
          </w:tcPr>
          <w:p w14:paraId="33A97CF6" w14:textId="1DE960C2" w:rsidR="003A2F36" w:rsidRPr="005270B8" w:rsidRDefault="003A2F36" w:rsidP="003A2F36">
            <w:pPr>
              <w:tabs>
                <w:tab w:val="left" w:pos="8647"/>
              </w:tabs>
              <w:spacing w:line="280" w:lineRule="atLeast"/>
              <w:rPr>
                <w:rFonts w:ascii="Verdana" w:hAnsi="Verdana" w:cstheme="minorHAnsi"/>
                <w:sz w:val="20"/>
                <w:szCs w:val="20"/>
              </w:rPr>
            </w:pPr>
            <w:r w:rsidRPr="001938B0">
              <w:rPr>
                <w:rFonts w:ascii="Verdana" w:hAnsi="Verdana"/>
                <w:spacing w:val="2"/>
                <w:sz w:val="20"/>
                <w:szCs w:val="20"/>
              </w:rPr>
              <w:t>Cargo:</w:t>
            </w:r>
          </w:p>
        </w:tc>
      </w:tr>
    </w:tbl>
    <w:p w14:paraId="34910E14" w14:textId="6C0613F5" w:rsidR="003A2F36" w:rsidRDefault="003A2F36">
      <w:pPr>
        <w:widowControl w:val="0"/>
        <w:spacing w:line="280" w:lineRule="exact"/>
        <w:jc w:val="both"/>
        <w:rPr>
          <w:rFonts w:ascii="Verdana" w:hAnsi="Verdana"/>
          <w:sz w:val="20"/>
          <w:szCs w:val="20"/>
          <w:u w:val="single"/>
        </w:rPr>
      </w:pPr>
    </w:p>
    <w:p w14:paraId="53F54D36"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049FF3FA"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p>
    <w:p w14:paraId="075F6BC1" w14:textId="77777777" w:rsidR="003A2F36" w:rsidRPr="005270B8" w:rsidRDefault="003A2F36" w:rsidP="003A2F36">
      <w:pPr>
        <w:pStyle w:val="BodyText"/>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3A2F36" w:rsidRPr="005270B8" w14:paraId="0922A329" w14:textId="77777777" w:rsidTr="00523AA3">
        <w:tc>
          <w:tcPr>
            <w:tcW w:w="5035" w:type="dxa"/>
          </w:tcPr>
          <w:p w14:paraId="72B58BD9"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9C301A3" w14:textId="77777777" w:rsidR="003A2F36" w:rsidRPr="005270B8" w:rsidRDefault="003A2F36"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3A2F36" w:rsidRPr="005270B8" w14:paraId="4BFB9D71" w14:textId="77777777" w:rsidTr="00523AA3">
        <w:tc>
          <w:tcPr>
            <w:tcW w:w="5035" w:type="dxa"/>
          </w:tcPr>
          <w:p w14:paraId="10DA0050"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164ABB2E"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3A2F36" w:rsidRPr="005270B8" w14:paraId="53CD6BC2" w14:textId="77777777" w:rsidTr="00523AA3">
        <w:tc>
          <w:tcPr>
            <w:tcW w:w="5035" w:type="dxa"/>
          </w:tcPr>
          <w:p w14:paraId="0ED3C7B4"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6DA0FB16" w14:textId="77777777" w:rsidR="003A2F36" w:rsidRPr="005270B8" w:rsidRDefault="003A2F36"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038893A" w14:textId="77777777" w:rsidR="003A2F36" w:rsidRPr="001938B0" w:rsidRDefault="003A2F36">
      <w:pPr>
        <w:widowControl w:val="0"/>
        <w:spacing w:line="280" w:lineRule="exact"/>
        <w:jc w:val="both"/>
        <w:rPr>
          <w:rFonts w:ascii="Verdana" w:hAnsi="Verdana"/>
          <w:sz w:val="20"/>
          <w:szCs w:val="20"/>
          <w:u w:val="single"/>
        </w:rPr>
      </w:pPr>
    </w:p>
    <w:sectPr w:rsidR="003A2F36"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8B81" w14:textId="77777777" w:rsidR="00623218" w:rsidRDefault="00623218">
      <w:r>
        <w:separator/>
      </w:r>
    </w:p>
  </w:endnote>
  <w:endnote w:type="continuationSeparator" w:id="0">
    <w:p w14:paraId="60D50EAF" w14:textId="77777777" w:rsidR="00623218" w:rsidRDefault="00623218">
      <w:r>
        <w:continuationSeparator/>
      </w:r>
    </w:p>
  </w:endnote>
  <w:endnote w:type="continuationNotice" w:id="1">
    <w:p w14:paraId="09938696" w14:textId="77777777" w:rsidR="00623218" w:rsidRDefault="00623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6D080A" w:rsidRDefault="006D080A">
    <w:pPr>
      <w:pStyle w:val="Footer"/>
      <w:jc w:val="right"/>
    </w:pPr>
  </w:p>
  <w:p w14:paraId="52BBCB46" w14:textId="77777777" w:rsidR="006D080A" w:rsidRPr="00161218" w:rsidRDefault="006D080A" w:rsidP="00FE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DD2F" w14:textId="77777777" w:rsidR="00623218" w:rsidRDefault="00623218">
      <w:r>
        <w:separator/>
      </w:r>
    </w:p>
  </w:footnote>
  <w:footnote w:type="continuationSeparator" w:id="0">
    <w:p w14:paraId="19074745" w14:textId="77777777" w:rsidR="00623218" w:rsidRDefault="00623218">
      <w:r>
        <w:continuationSeparator/>
      </w:r>
    </w:p>
  </w:footnote>
  <w:footnote w:type="continuationNotice" w:id="1">
    <w:p w14:paraId="5EAD9531" w14:textId="77777777" w:rsidR="00623218" w:rsidRDefault="00623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566" w14:textId="77777777" w:rsidR="006D080A" w:rsidRDefault="006D080A" w:rsidP="00F35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7813" w14:textId="1A6C8DEB" w:rsidR="006D080A" w:rsidRPr="00CF4CA6" w:rsidRDefault="006D080A" w:rsidP="00CF4CA6">
    <w:pPr>
      <w:pStyle w:val="Header"/>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151D1F"/>
    <w:multiLevelType w:val="multilevel"/>
    <w:tmpl w:val="E1925796"/>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1"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0"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3"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4"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1"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9"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0"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1"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4"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5"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7"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8"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9"/>
  </w:num>
  <w:num w:numId="2">
    <w:abstractNumId w:val="7"/>
  </w:num>
  <w:num w:numId="3">
    <w:abstractNumId w:val="57"/>
  </w:num>
  <w:num w:numId="4">
    <w:abstractNumId w:val="81"/>
  </w:num>
  <w:num w:numId="5">
    <w:abstractNumId w:val="33"/>
  </w:num>
  <w:num w:numId="6">
    <w:abstractNumId w:val="29"/>
  </w:num>
  <w:num w:numId="7">
    <w:abstractNumId w:val="54"/>
  </w:num>
  <w:num w:numId="8">
    <w:abstractNumId w:val="64"/>
  </w:num>
  <w:num w:numId="9">
    <w:abstractNumId w:val="58"/>
  </w:num>
  <w:num w:numId="10">
    <w:abstractNumId w:val="38"/>
  </w:num>
  <w:num w:numId="11">
    <w:abstractNumId w:val="92"/>
  </w:num>
  <w:num w:numId="12">
    <w:abstractNumId w:val="6"/>
  </w:num>
  <w:num w:numId="13">
    <w:abstractNumId w:val="84"/>
  </w:num>
  <w:num w:numId="14">
    <w:abstractNumId w:val="73"/>
  </w:num>
  <w:num w:numId="15">
    <w:abstractNumId w:val="14"/>
  </w:num>
  <w:num w:numId="16">
    <w:abstractNumId w:val="66"/>
  </w:num>
  <w:num w:numId="17">
    <w:abstractNumId w:val="28"/>
  </w:num>
  <w:num w:numId="18">
    <w:abstractNumId w:val="19"/>
  </w:num>
  <w:num w:numId="19">
    <w:abstractNumId w:val="56"/>
  </w:num>
  <w:num w:numId="20">
    <w:abstractNumId w:val="49"/>
  </w:num>
  <w:num w:numId="21">
    <w:abstractNumId w:val="65"/>
  </w:num>
  <w:num w:numId="22">
    <w:abstractNumId w:val="75"/>
  </w:num>
  <w:num w:numId="23">
    <w:abstractNumId w:val="67"/>
  </w:num>
  <w:num w:numId="24">
    <w:abstractNumId w:val="79"/>
  </w:num>
  <w:num w:numId="25">
    <w:abstractNumId w:val="43"/>
  </w:num>
  <w:num w:numId="26">
    <w:abstractNumId w:val="55"/>
  </w:num>
  <w:num w:numId="27">
    <w:abstractNumId w:val="32"/>
  </w:num>
  <w:num w:numId="28">
    <w:abstractNumId w:val="72"/>
  </w:num>
  <w:num w:numId="29">
    <w:abstractNumId w:val="18"/>
  </w:num>
  <w:num w:numId="30">
    <w:abstractNumId w:val="31"/>
  </w:num>
  <w:num w:numId="31">
    <w:abstractNumId w:val="48"/>
  </w:num>
  <w:num w:numId="32">
    <w:abstractNumId w:val="61"/>
  </w:num>
  <w:num w:numId="33">
    <w:abstractNumId w:val="9"/>
  </w:num>
  <w:num w:numId="34">
    <w:abstractNumId w:val="62"/>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8"/>
  </w:num>
  <w:num w:numId="43">
    <w:abstractNumId w:val="88"/>
  </w:num>
  <w:num w:numId="44">
    <w:abstractNumId w:val="10"/>
  </w:num>
  <w:num w:numId="45">
    <w:abstractNumId w:val="26"/>
  </w:num>
  <w:num w:numId="46">
    <w:abstractNumId w:val="39"/>
  </w:num>
  <w:num w:numId="47">
    <w:abstractNumId w:val="4"/>
  </w:num>
  <w:num w:numId="48">
    <w:abstractNumId w:val="45"/>
  </w:num>
  <w:num w:numId="49">
    <w:abstractNumId w:val="63"/>
  </w:num>
  <w:num w:numId="50">
    <w:abstractNumId w:val="25"/>
  </w:num>
  <w:num w:numId="51">
    <w:abstractNumId w:val="15"/>
  </w:num>
  <w:num w:numId="52">
    <w:abstractNumId w:val="2"/>
  </w:num>
  <w:num w:numId="53">
    <w:abstractNumId w:val="95"/>
  </w:num>
  <w:num w:numId="54">
    <w:abstractNumId w:val="25"/>
  </w:num>
  <w:num w:numId="55">
    <w:abstractNumId w:val="36"/>
  </w:num>
  <w:num w:numId="56">
    <w:abstractNumId w:val="20"/>
  </w:num>
  <w:num w:numId="57">
    <w:abstractNumId w:val="30"/>
  </w:num>
  <w:num w:numId="58">
    <w:abstractNumId w:val="0"/>
  </w:num>
  <w:num w:numId="59">
    <w:abstractNumId w:val="86"/>
  </w:num>
  <w:num w:numId="60">
    <w:abstractNumId w:val="77"/>
  </w:num>
  <w:num w:numId="61">
    <w:abstractNumId w:val="44"/>
  </w:num>
  <w:num w:numId="62">
    <w:abstractNumId w:val="37"/>
  </w:num>
  <w:num w:numId="63">
    <w:abstractNumId w:val="68"/>
  </w:num>
  <w:num w:numId="64">
    <w:abstractNumId w:val="93"/>
  </w:num>
  <w:num w:numId="65">
    <w:abstractNumId w:val="24"/>
  </w:num>
  <w:num w:numId="66">
    <w:abstractNumId w:val="50"/>
  </w:num>
  <w:num w:numId="67">
    <w:abstractNumId w:val="96"/>
  </w:num>
  <w:num w:numId="68">
    <w:abstractNumId w:val="60"/>
  </w:num>
  <w:num w:numId="69">
    <w:abstractNumId w:val="97"/>
  </w:num>
  <w:num w:numId="70">
    <w:abstractNumId w:val="46"/>
  </w:num>
  <w:num w:numId="71">
    <w:abstractNumId w:val="70"/>
  </w:num>
  <w:num w:numId="72">
    <w:abstractNumId w:val="53"/>
  </w:num>
  <w:num w:numId="73">
    <w:abstractNumId w:val="12"/>
  </w:num>
  <w:num w:numId="74">
    <w:abstractNumId w:val="21"/>
  </w:num>
  <w:num w:numId="75">
    <w:abstractNumId w:val="9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1"/>
  </w:num>
  <w:num w:numId="89">
    <w:abstractNumId w:val="22"/>
  </w:num>
  <w:num w:numId="90">
    <w:abstractNumId w:val="13"/>
  </w:num>
  <w:num w:numId="91">
    <w:abstractNumId w:val="17"/>
  </w:num>
  <w:num w:numId="92">
    <w:abstractNumId w:val="23"/>
  </w:num>
  <w:num w:numId="93">
    <w:abstractNumId w:val="80"/>
  </w:num>
  <w:num w:numId="94">
    <w:abstractNumId w:val="27"/>
  </w:num>
  <w:num w:numId="95">
    <w:abstractNumId w:val="16"/>
  </w:num>
  <w:num w:numId="96">
    <w:abstractNumId w:val="91"/>
  </w:num>
  <w:num w:numId="97">
    <w:abstractNumId w:val="74"/>
  </w:num>
  <w:num w:numId="98">
    <w:abstractNumId w:val="35"/>
  </w:num>
  <w:num w:numId="99">
    <w:abstractNumId w:val="5"/>
  </w:num>
  <w:num w:numId="100">
    <w:abstractNumId w:val="71"/>
  </w:num>
  <w:num w:numId="101">
    <w:abstractNumId w:val="40"/>
  </w:num>
  <w:num w:numId="102">
    <w:abstractNumId w:val="94"/>
  </w:num>
  <w:num w:numId="103">
    <w:abstractNumId w:val="85"/>
  </w:num>
  <w:num w:numId="104">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2F36"/>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0EF6"/>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218"/>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EF"/>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2701"/>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3DD8"/>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2038"/>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43D1"/>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BED"/>
    <w:pPr>
      <w:keepNext/>
      <w:spacing w:line="320" w:lineRule="exact"/>
      <w:jc w:val="both"/>
      <w:outlineLvl w:val="0"/>
    </w:pPr>
    <w:rPr>
      <w:rFonts w:ascii="Calibri" w:hAnsi="Calibri" w:cs="Arial"/>
      <w:b/>
      <w:spacing w:val="2"/>
      <w:lang w:eastAsia="pt-BR"/>
    </w:rPr>
  </w:style>
  <w:style w:type="paragraph" w:styleId="Heading2">
    <w:name w:val="heading 2"/>
    <w:basedOn w:val="Normal"/>
    <w:next w:val="Normal"/>
    <w:link w:val="Heading2Char"/>
    <w:qFormat/>
    <w:rsid w:val="007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8027E"/>
    <w:pPr>
      <w:keepNext/>
      <w:spacing w:line="288" w:lineRule="auto"/>
      <w:ind w:left="-120" w:right="-176"/>
      <w:jc w:val="both"/>
      <w:outlineLvl w:val="3"/>
    </w:pPr>
    <w:rPr>
      <w:rFonts w:ascii="Arial" w:hAnsi="Arial" w:cs="Arial"/>
      <w:b/>
      <w:bCs/>
      <w:sz w:val="22"/>
    </w:rPr>
  </w:style>
  <w:style w:type="paragraph" w:styleId="Heading5">
    <w:name w:val="heading 5"/>
    <w:basedOn w:val="Normal"/>
    <w:next w:val="Normal"/>
    <w:link w:val="Heading5Char"/>
    <w:qFormat/>
    <w:rsid w:val="0078027E"/>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027E"/>
    <w:rPr>
      <w:rFonts w:ascii="Arial" w:eastAsia="Times New Roman" w:hAnsi="Arial" w:cs="Arial"/>
      <w:b/>
      <w:bCs/>
      <w:i/>
      <w:iCs/>
      <w:sz w:val="28"/>
      <w:szCs w:val="28"/>
    </w:rPr>
  </w:style>
  <w:style w:type="character" w:customStyle="1" w:styleId="Heading4Char">
    <w:name w:val="Heading 4 Char"/>
    <w:basedOn w:val="DefaultParagraphFont"/>
    <w:link w:val="Heading4"/>
    <w:rsid w:val="0078027E"/>
    <w:rPr>
      <w:rFonts w:ascii="Arial" w:eastAsia="Times New Roman" w:hAnsi="Arial" w:cs="Arial"/>
      <w:b/>
      <w:bCs/>
      <w:szCs w:val="24"/>
    </w:rPr>
  </w:style>
  <w:style w:type="character" w:customStyle="1" w:styleId="Heading5Char">
    <w:name w:val="Heading 5 Char"/>
    <w:basedOn w:val="DefaultParagraphFont"/>
    <w:link w:val="Heading5"/>
    <w:rsid w:val="0078027E"/>
    <w:rPr>
      <w:rFonts w:ascii="Times New Roman" w:eastAsia="Times New Roman" w:hAnsi="Times New Roman" w:cs="Times New Roman"/>
      <w:b/>
      <w:bCs/>
      <w:i/>
      <w:iCs/>
      <w:sz w:val="26"/>
      <w:szCs w:val="26"/>
      <w:lang w:val="en-US"/>
    </w:rPr>
  </w:style>
  <w:style w:type="paragraph" w:styleId="BlockText">
    <w:name w:val="Block Text"/>
    <w:basedOn w:val="Normal"/>
    <w:uiPriority w:val="99"/>
    <w:rsid w:val="0078027E"/>
    <w:pPr>
      <w:spacing w:line="288" w:lineRule="auto"/>
      <w:ind w:left="-120" w:right="-176"/>
      <w:jc w:val="both"/>
    </w:pPr>
    <w:rPr>
      <w:rFonts w:ascii="Arial" w:hAnsi="Arial" w:cs="Arial"/>
      <w:sz w:val="22"/>
    </w:rPr>
  </w:style>
  <w:style w:type="paragraph" w:styleId="Header">
    <w:name w:val="header"/>
    <w:aliases w:val="Tulo1"/>
    <w:basedOn w:val="Normal"/>
    <w:link w:val="HeaderChar"/>
    <w:uiPriority w:val="99"/>
    <w:rsid w:val="0078027E"/>
    <w:pPr>
      <w:tabs>
        <w:tab w:val="center" w:pos="4320"/>
        <w:tab w:val="right" w:pos="8640"/>
      </w:tabs>
    </w:pPr>
  </w:style>
  <w:style w:type="character" w:customStyle="1" w:styleId="HeaderChar">
    <w:name w:val="Header Char"/>
    <w:aliases w:val="Tulo1 Char"/>
    <w:basedOn w:val="DefaultParagraphFont"/>
    <w:link w:val="Header"/>
    <w:uiPriority w:val="99"/>
    <w:rsid w:val="0078027E"/>
    <w:rPr>
      <w:rFonts w:ascii="Times New Roman" w:eastAsia="Times New Roman" w:hAnsi="Times New Roman" w:cs="Times New Roman"/>
      <w:sz w:val="24"/>
      <w:szCs w:val="24"/>
    </w:rPr>
  </w:style>
  <w:style w:type="table" w:styleId="TableGrid">
    <w:name w:val="Table Grid"/>
    <w:basedOn w:val="Table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027E"/>
    <w:pPr>
      <w:spacing w:after="120"/>
    </w:pPr>
  </w:style>
  <w:style w:type="character" w:customStyle="1" w:styleId="BodyTextChar">
    <w:name w:val="Body Text Char"/>
    <w:basedOn w:val="DefaultParagraphFont"/>
    <w:link w:val="BodyText"/>
    <w:rsid w:val="0078027E"/>
    <w:rPr>
      <w:rFonts w:ascii="Times New Roman" w:eastAsia="Times New Roman" w:hAnsi="Times New Roman" w:cs="Times New Roman"/>
      <w:sz w:val="24"/>
      <w:szCs w:val="24"/>
    </w:rPr>
  </w:style>
  <w:style w:type="paragraph" w:styleId="Footer">
    <w:name w:val="footer"/>
    <w:basedOn w:val="Normal"/>
    <w:link w:val="FooterChar"/>
    <w:uiPriority w:val="99"/>
    <w:rsid w:val="0078027E"/>
    <w:pPr>
      <w:tabs>
        <w:tab w:val="center" w:pos="4419"/>
        <w:tab w:val="right" w:pos="8838"/>
      </w:tabs>
    </w:pPr>
  </w:style>
  <w:style w:type="character" w:customStyle="1" w:styleId="FooterChar">
    <w:name w:val="Footer Char"/>
    <w:basedOn w:val="DefaultParagraphFont"/>
    <w:link w:val="Footer"/>
    <w:uiPriority w:val="99"/>
    <w:rsid w:val="0078027E"/>
    <w:rPr>
      <w:rFonts w:ascii="Times New Roman" w:eastAsia="Times New Roman" w:hAnsi="Times New Roman" w:cs="Times New Roman"/>
      <w:sz w:val="24"/>
      <w:szCs w:val="24"/>
    </w:rPr>
  </w:style>
  <w:style w:type="character" w:styleId="PageNumber">
    <w:name w:val="page number"/>
    <w:basedOn w:val="DefaultParagraphFont"/>
    <w:rsid w:val="0078027E"/>
  </w:style>
  <w:style w:type="paragraph" w:styleId="BodyTextIndent">
    <w:name w:val="Body Text Indent"/>
    <w:basedOn w:val="Normal"/>
    <w:link w:val="BodyTextIndentChar"/>
    <w:rsid w:val="0078027E"/>
    <w:pPr>
      <w:spacing w:after="120"/>
      <w:ind w:left="360"/>
    </w:pPr>
  </w:style>
  <w:style w:type="character" w:customStyle="1" w:styleId="BodyTextIndentChar">
    <w:name w:val="Body Text Indent Char"/>
    <w:basedOn w:val="DefaultParagraphFont"/>
    <w:link w:val="BodyTextIndent"/>
    <w:uiPriority w:val="99"/>
    <w:rsid w:val="0078027E"/>
    <w:rPr>
      <w:rFonts w:ascii="Times New Roman" w:eastAsia="Times New Roman" w:hAnsi="Times New Roman" w:cs="Times New Roman"/>
      <w:sz w:val="24"/>
      <w:szCs w:val="24"/>
    </w:rPr>
  </w:style>
  <w:style w:type="paragraph" w:styleId="BalloonText">
    <w:name w:val="Balloon Text"/>
    <w:basedOn w:val="Normal"/>
    <w:link w:val="BalloonTextChar"/>
    <w:semiHidden/>
    <w:rsid w:val="0078027E"/>
    <w:rPr>
      <w:rFonts w:ascii="Tahoma" w:hAnsi="Tahoma" w:cs="Tahoma"/>
      <w:sz w:val="16"/>
      <w:szCs w:val="16"/>
    </w:rPr>
  </w:style>
  <w:style w:type="character" w:customStyle="1" w:styleId="BalloonTextChar">
    <w:name w:val="Balloon Text Char"/>
    <w:basedOn w:val="DefaultParagraphFont"/>
    <w:link w:val="BalloonText"/>
    <w:semiHidden/>
    <w:rsid w:val="0078027E"/>
    <w:rPr>
      <w:rFonts w:ascii="Tahoma" w:eastAsia="Times New Roman" w:hAnsi="Tahoma" w:cs="Tahoma"/>
      <w:sz w:val="16"/>
      <w:szCs w:val="16"/>
    </w:rPr>
  </w:style>
  <w:style w:type="paragraph" w:styleId="ListBullet">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CommentReference">
    <w:name w:val="annotation reference"/>
    <w:rsid w:val="0078027E"/>
    <w:rPr>
      <w:sz w:val="16"/>
      <w:szCs w:val="16"/>
    </w:rPr>
  </w:style>
  <w:style w:type="paragraph" w:styleId="CommentText">
    <w:name w:val="annotation text"/>
    <w:basedOn w:val="Normal"/>
    <w:link w:val="CommentTextChar"/>
    <w:uiPriority w:val="99"/>
    <w:semiHidden/>
    <w:rsid w:val="00F223F2"/>
    <w:rPr>
      <w:rFonts w:ascii="Verdana" w:hAnsi="Verdana"/>
      <w:szCs w:val="20"/>
    </w:rPr>
  </w:style>
  <w:style w:type="character" w:customStyle="1" w:styleId="CommentTextChar">
    <w:name w:val="Comment Text Char"/>
    <w:basedOn w:val="DefaultParagraphFont"/>
    <w:link w:val="CommentText"/>
    <w:uiPriority w:val="99"/>
    <w:semiHidden/>
    <w:rsid w:val="00F223F2"/>
    <w:rPr>
      <w:rFonts w:ascii="Verdana" w:eastAsia="Times New Roman" w:hAnsi="Verdana" w:cs="Times New Roman"/>
      <w:sz w:val="24"/>
      <w:szCs w:val="20"/>
    </w:rPr>
  </w:style>
  <w:style w:type="paragraph" w:styleId="CommentSubject">
    <w:name w:val="annotation subject"/>
    <w:basedOn w:val="CommentText"/>
    <w:next w:val="CommentText"/>
    <w:link w:val="CommentSubjectChar"/>
    <w:semiHidden/>
    <w:rsid w:val="0078027E"/>
    <w:rPr>
      <w:b/>
      <w:bCs/>
    </w:rPr>
  </w:style>
  <w:style w:type="character" w:customStyle="1" w:styleId="CommentSubjectChar">
    <w:name w:val="Comment Subject Char"/>
    <w:basedOn w:val="CommentTextChar"/>
    <w:link w:val="CommentSubject"/>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ListParagraph">
    <w:name w:val="List Paragraph"/>
    <w:aliases w:val="Vitor Título,Vitor T’tulo,Normal numerado,Meu"/>
    <w:basedOn w:val="Normal"/>
    <w:link w:val="ListParagraph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ion">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78027E"/>
    <w:rPr>
      <w:rFonts w:ascii="Consolas" w:hAnsi="Consolas"/>
      <w:sz w:val="21"/>
      <w:szCs w:val="21"/>
      <w:lang w:val="en-US"/>
    </w:rPr>
  </w:style>
  <w:style w:type="character" w:customStyle="1" w:styleId="PlainTextChar">
    <w:name w:val="Plain Text Char"/>
    <w:basedOn w:val="DefaultParagraphFont"/>
    <w:link w:val="PlainText"/>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BodyText2">
    <w:name w:val="Body Text 2"/>
    <w:basedOn w:val="Normal"/>
    <w:link w:val="BodyText2Char"/>
    <w:rsid w:val="0078027E"/>
    <w:pPr>
      <w:spacing w:after="120" w:line="480" w:lineRule="auto"/>
    </w:pPr>
  </w:style>
  <w:style w:type="character" w:customStyle="1" w:styleId="BodyText2Char">
    <w:name w:val="Body Text 2 Char"/>
    <w:basedOn w:val="DefaultParagraphFont"/>
    <w:link w:val="BodyText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BodyTextIndent3">
    <w:name w:val="Body Text Indent 3"/>
    <w:basedOn w:val="Normal"/>
    <w:link w:val="BodyTextIndent3Char"/>
    <w:rsid w:val="0078027E"/>
    <w:pPr>
      <w:spacing w:after="120"/>
      <w:ind w:left="283"/>
    </w:pPr>
    <w:rPr>
      <w:sz w:val="16"/>
      <w:szCs w:val="16"/>
    </w:rPr>
  </w:style>
  <w:style w:type="character" w:customStyle="1" w:styleId="BodyTextIndent3Char">
    <w:name w:val="Body Text Indent 3 Char"/>
    <w:basedOn w:val="DefaultParagraphFont"/>
    <w:link w:val="BodyTextIndent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PlaceholderText">
    <w:name w:val="Placeholder Text"/>
    <w:basedOn w:val="DefaultParagraphFont"/>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NoSpacing">
    <w:name w:val="No Spacing"/>
    <w:basedOn w:val="Normal"/>
    <w:uiPriority w:val="1"/>
    <w:qFormat/>
    <w:rsid w:val="00332148"/>
    <w:rPr>
      <w:rFonts w:ascii="Calibri" w:eastAsiaTheme="minorHAnsi" w:hAnsi="Calibri" w:cs="Calibri"/>
      <w:sz w:val="22"/>
      <w:szCs w:val="22"/>
      <w:lang w:eastAsia="pt-BR"/>
    </w:rPr>
  </w:style>
  <w:style w:type="character" w:customStyle="1" w:styleId="ListParagraphChar">
    <w:name w:val="List Paragraph Char"/>
    <w:aliases w:val="Vitor Título Char,Vitor T’tulo Char,Normal numerado Char,Meu Char"/>
    <w:link w:val="ListParagraph"/>
    <w:uiPriority w:val="34"/>
    <w:qFormat/>
    <w:locked/>
    <w:rsid w:val="00757C55"/>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uiPriority w:val="9"/>
    <w:rsid w:val="008E7B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7BED"/>
    <w:rPr>
      <w:rFonts w:ascii="Calibri" w:eastAsia="Times New Roman" w:hAnsi="Calibri" w:cs="Arial"/>
      <w:b/>
      <w:spacing w:val="2"/>
      <w:sz w:val="24"/>
      <w:szCs w:val="24"/>
      <w:lang w:eastAsia="pt-BR"/>
    </w:rPr>
  </w:style>
  <w:style w:type="character" w:customStyle="1" w:styleId="Heading6Char">
    <w:name w:val="Heading 6 Char"/>
    <w:basedOn w:val="DefaultParagraphFont"/>
    <w:link w:val="Heading6"/>
    <w:uiPriority w:val="9"/>
    <w:rsid w:val="002F3C01"/>
    <w:rPr>
      <w:rFonts w:ascii="Calibri" w:eastAsia="Times New Roman" w:hAnsi="Calibri" w:cs="Times New Roman"/>
      <w:b/>
      <w:spacing w:val="2"/>
      <w:sz w:val="24"/>
      <w:szCs w:val="24"/>
    </w:rPr>
  </w:style>
  <w:style w:type="paragraph" w:styleId="List">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Strong">
    <w:name w:val="Strong"/>
    <w:basedOn w:val="DefaultParagraphFont"/>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DefaultParagraphFont"/>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itle">
    <w:name w:val="Subtitle"/>
    <w:basedOn w:val="Normal"/>
    <w:next w:val="Normal"/>
    <w:link w:val="SubtitleChar1"/>
    <w:qFormat/>
    <w:rsid w:val="009977E6"/>
    <w:pPr>
      <w:spacing w:after="60"/>
      <w:jc w:val="center"/>
      <w:outlineLvl w:val="1"/>
    </w:pPr>
    <w:rPr>
      <w:rFonts w:ascii="Cambria" w:hAnsi="Cambria"/>
      <w:lang w:val="x-none" w:eastAsia="x-none"/>
    </w:rPr>
  </w:style>
  <w:style w:type="character" w:customStyle="1" w:styleId="SubtitleChar1">
    <w:name w:val="Subtitle Char1"/>
    <w:basedOn w:val="DefaultParagraphFont"/>
    <w:link w:val="Subtitle"/>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itle">
    <w:name w:val="Title"/>
    <w:basedOn w:val="Normal"/>
    <w:link w:val="TitleChar"/>
    <w:qFormat/>
    <w:rsid w:val="00732909"/>
    <w:pPr>
      <w:jc w:val="center"/>
    </w:pPr>
    <w:rPr>
      <w:rFonts w:ascii="Akzidenz Grotesk Light" w:hAnsi="Akzidenz Grotesk Light"/>
      <w:b/>
      <w:sz w:val="20"/>
      <w:szCs w:val="20"/>
      <w:lang w:val="x-none" w:eastAsia="x-none"/>
    </w:rPr>
  </w:style>
  <w:style w:type="character" w:customStyle="1" w:styleId="TitleChar">
    <w:name w:val="Title Char"/>
    <w:basedOn w:val="DefaultParagraphFont"/>
    <w:link w:val="Title"/>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DefaultParagraphFont"/>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FootnoteText">
    <w:name w:val="footnote text"/>
    <w:basedOn w:val="Normal"/>
    <w:link w:val="FootnoteTextChar"/>
    <w:semiHidden/>
    <w:rsid w:val="00E43642"/>
    <w:pPr>
      <w:jc w:val="both"/>
    </w:pPr>
    <w:rPr>
      <w:sz w:val="20"/>
      <w:szCs w:val="20"/>
      <w:lang w:eastAsia="pt-BR"/>
    </w:rPr>
  </w:style>
  <w:style w:type="character" w:customStyle="1" w:styleId="FootnoteTextChar">
    <w:name w:val="Footnote Text Char"/>
    <w:basedOn w:val="DefaultParagraphFont"/>
    <w:link w:val="FootnoteText"/>
    <w:semiHidden/>
    <w:rsid w:val="00E43642"/>
    <w:rPr>
      <w:rFonts w:ascii="Times New Roman" w:eastAsia="Times New Roman" w:hAnsi="Times New Roman" w:cs="Times New Roman"/>
      <w:sz w:val="20"/>
      <w:szCs w:val="20"/>
      <w:lang w:eastAsia="pt-BR"/>
    </w:rPr>
  </w:style>
  <w:style w:type="character" w:styleId="FootnoteReference">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DefaultParagraphFont"/>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2D3A-E679-4234-A82F-372E0F84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1541</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CCB</vt:lpstr>
      <vt:lpstr>CCB</vt:lpstr>
    </vt:vector>
  </TitlesOfParts>
  <Company>Stocche Forbes Advogados</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Thiago Storoli</cp:lastModifiedBy>
  <cp:revision>6</cp:revision>
  <cp:lastPrinted>2020-06-26T02:31:00Z</cp:lastPrinted>
  <dcterms:created xsi:type="dcterms:W3CDTF">2021-03-10T22:46:00Z</dcterms:created>
  <dcterms:modified xsi:type="dcterms:W3CDTF">2021-03-11T22:33:00Z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