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CF59" w14:textId="60AC0B8D" w:rsidR="00732909" w:rsidRPr="003E0C82" w:rsidRDefault="00330610" w:rsidP="001938B0">
      <w:pPr>
        <w:pStyle w:val="Header"/>
        <w:spacing w:line="280" w:lineRule="exact"/>
        <w:ind w:right="228"/>
        <w:jc w:val="center"/>
        <w:rPr>
          <w:rFonts w:ascii="Verdana" w:hAnsi="Verdana"/>
          <w:b/>
          <w:sz w:val="20"/>
          <w:szCs w:val="20"/>
          <w:u w:val="single"/>
        </w:rPr>
      </w:pPr>
      <w:r>
        <w:rPr>
          <w:rFonts w:ascii="Verdana" w:hAnsi="Verdana"/>
          <w:b/>
          <w:sz w:val="20"/>
          <w:szCs w:val="20"/>
          <w:u w:val="single"/>
        </w:rPr>
        <w:t>VIA NÃO NE</w:t>
      </w:r>
      <w:bookmarkStart w:id="0" w:name="_GoBack"/>
      <w:bookmarkEnd w:id="0"/>
      <w:r>
        <w:rPr>
          <w:rFonts w:ascii="Verdana" w:hAnsi="Verdana"/>
          <w:b/>
          <w:sz w:val="20"/>
          <w:szCs w:val="20"/>
          <w:u w:val="single"/>
        </w:rPr>
        <w:t>GOCIÁVEL DO SEGUNDO</w:t>
      </w:r>
      <w:r w:rsidR="009E1054" w:rsidRPr="003E0C82">
        <w:rPr>
          <w:rFonts w:ascii="Verdana" w:hAnsi="Verdana"/>
          <w:b/>
          <w:sz w:val="20"/>
          <w:szCs w:val="20"/>
          <w:u w:val="single"/>
        </w:rPr>
        <w:t xml:space="preserve"> ADITAMENTO</w:t>
      </w:r>
      <w:r w:rsidR="006D080A" w:rsidRPr="003E0C82">
        <w:rPr>
          <w:rFonts w:ascii="Verdana" w:hAnsi="Verdana"/>
          <w:b/>
          <w:sz w:val="20"/>
          <w:szCs w:val="20"/>
          <w:u w:val="single"/>
        </w:rPr>
        <w:t xml:space="preserve"> DA</w:t>
      </w:r>
    </w:p>
    <w:p w14:paraId="56C4815E" w14:textId="3D61141C" w:rsidR="00732909" w:rsidRPr="003E0C82" w:rsidRDefault="00732909">
      <w:pPr>
        <w:pStyle w:val="Header"/>
        <w:spacing w:line="280" w:lineRule="exact"/>
        <w:ind w:right="228"/>
        <w:jc w:val="center"/>
        <w:rPr>
          <w:rFonts w:ascii="Verdana" w:hAnsi="Verdana"/>
          <w:b/>
          <w:sz w:val="20"/>
          <w:szCs w:val="20"/>
          <w:u w:val="single"/>
        </w:rPr>
      </w:pPr>
      <w:r w:rsidRPr="003E0C82">
        <w:rPr>
          <w:rFonts w:ascii="Verdana" w:hAnsi="Verdana"/>
          <w:b/>
          <w:sz w:val="20"/>
          <w:szCs w:val="20"/>
          <w:u w:val="single"/>
        </w:rPr>
        <w:t>CÉDULA DE CRÉDITO BANCÁRIO Nº C</w:t>
      </w:r>
      <w:r w:rsidR="00455D85" w:rsidRPr="003E0C82">
        <w:rPr>
          <w:rFonts w:ascii="Verdana" w:hAnsi="Verdana"/>
          <w:b/>
          <w:sz w:val="20"/>
          <w:szCs w:val="20"/>
          <w:u w:val="single"/>
        </w:rPr>
        <w:t>SBRA</w:t>
      </w:r>
      <w:r w:rsidR="005B61C7" w:rsidRPr="003E0C82">
        <w:rPr>
          <w:rFonts w:ascii="Verdana" w:hAnsi="Verdana"/>
          <w:b/>
          <w:sz w:val="20"/>
          <w:szCs w:val="20"/>
          <w:u w:val="single"/>
        </w:rPr>
        <w:t>20200600402</w:t>
      </w:r>
      <w:del w:id="1" w:author="Thiago Storoli" w:date="2021-04-14T09:36:00Z">
        <w:r w:rsidR="00785E1E" w:rsidRPr="003E0C82" w:rsidDel="00330610">
          <w:rPr>
            <w:rFonts w:ascii="Verdana" w:hAnsi="Verdana"/>
            <w:b/>
            <w:sz w:val="20"/>
            <w:szCs w:val="20"/>
            <w:u w:val="single"/>
          </w:rPr>
          <w:delText xml:space="preserve"> </w:delText>
        </w:r>
      </w:del>
    </w:p>
    <w:p w14:paraId="2AAFB21F" w14:textId="31511A7E" w:rsidR="006D080A" w:rsidRDefault="006D080A">
      <w:pPr>
        <w:pStyle w:val="Header"/>
        <w:spacing w:line="280" w:lineRule="exact"/>
        <w:ind w:right="228"/>
        <w:jc w:val="center"/>
        <w:rPr>
          <w:rFonts w:ascii="Verdana" w:hAnsi="Verdana"/>
          <w:b/>
          <w:sz w:val="20"/>
          <w:szCs w:val="20"/>
          <w:u w:val="single"/>
        </w:rPr>
      </w:pPr>
    </w:p>
    <w:p w14:paraId="0F721557" w14:textId="26A95B9C" w:rsidR="006D080A" w:rsidRDefault="006D080A">
      <w:pPr>
        <w:pStyle w:val="Header"/>
        <w:spacing w:line="280" w:lineRule="exact"/>
        <w:ind w:right="228"/>
        <w:jc w:val="center"/>
        <w:rPr>
          <w:rFonts w:ascii="Verdana" w:hAnsi="Verdana"/>
          <w:b/>
          <w:sz w:val="20"/>
          <w:szCs w:val="20"/>
          <w:u w:val="single"/>
        </w:rPr>
      </w:pPr>
    </w:p>
    <w:p w14:paraId="4244084E" w14:textId="68DC467C" w:rsidR="006D080A" w:rsidRPr="0098456D" w:rsidRDefault="006D080A" w:rsidP="006D080A">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“Primeiro</w:t>
      </w:r>
      <w:r w:rsidRPr="0098456D">
        <w:rPr>
          <w:rFonts w:ascii="Verdana" w:hAnsi="Verdana" w:cstheme="minorHAnsi"/>
          <w:sz w:val="20"/>
          <w:szCs w:val="20"/>
          <w:lang w:val="pt-BR"/>
        </w:rPr>
        <w:t xml:space="preserve"> </w:t>
      </w:r>
      <w:r w:rsidRPr="006D080A">
        <w:rPr>
          <w:rFonts w:ascii="Verdana" w:hAnsi="Verdana" w:cstheme="minorHAnsi"/>
          <w:i/>
          <w:sz w:val="20"/>
          <w:szCs w:val="20"/>
          <w:lang w:val="pt-BR"/>
        </w:rPr>
        <w:t>Aditamento</w:t>
      </w:r>
      <w:r>
        <w:rPr>
          <w:rFonts w:ascii="Verdana" w:hAnsi="Verdana" w:cstheme="minorHAnsi"/>
          <w:sz w:val="20"/>
          <w:szCs w:val="20"/>
          <w:lang w:val="pt-BR"/>
        </w:rPr>
        <w:t xml:space="preserve"> </w:t>
      </w:r>
      <w:r w:rsidRPr="006D080A">
        <w:rPr>
          <w:rFonts w:ascii="Verdana" w:hAnsi="Verdana" w:cstheme="minorHAnsi"/>
          <w:i/>
          <w:sz w:val="20"/>
          <w:szCs w:val="20"/>
          <w:lang w:val="pt-BR"/>
        </w:rPr>
        <w:t>da</w:t>
      </w:r>
      <w:r>
        <w:rPr>
          <w:rFonts w:ascii="Verdana" w:hAnsi="Verdana" w:cstheme="minorHAnsi"/>
          <w:i/>
          <w:sz w:val="20"/>
          <w:szCs w:val="20"/>
          <w:lang w:val="pt-BR"/>
        </w:rPr>
        <w:t xml:space="preserve"> </w:t>
      </w:r>
      <w:r w:rsidRPr="006D080A">
        <w:rPr>
          <w:rFonts w:ascii="Verdana" w:hAnsi="Verdana" w:cstheme="minorHAnsi"/>
          <w:i/>
          <w:sz w:val="20"/>
          <w:szCs w:val="20"/>
          <w:lang w:val="pt-BR"/>
        </w:rPr>
        <w:t>Cédula de Crédito Bancário Nº CSBRA20200600402</w:t>
      </w:r>
      <w:r w:rsidRPr="0098456D">
        <w:rPr>
          <w:rFonts w:ascii="Verdana" w:hAnsi="Verdana" w:cstheme="minorHAnsi"/>
          <w:sz w:val="20"/>
          <w:szCs w:val="20"/>
          <w:lang w:val="pt-BR"/>
        </w:rPr>
        <w:t>”</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46FF613E" w14:textId="77777777" w:rsidR="006D080A" w:rsidRPr="0098456D" w:rsidRDefault="006D080A" w:rsidP="006D080A">
      <w:pPr>
        <w:spacing w:line="280" w:lineRule="exact"/>
        <w:rPr>
          <w:rFonts w:ascii="Verdana" w:hAnsi="Verdana" w:cstheme="minorHAnsi"/>
          <w:sz w:val="20"/>
          <w:szCs w:val="20"/>
        </w:rPr>
      </w:pPr>
    </w:p>
    <w:p w14:paraId="4E42573F" w14:textId="50E822DE"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437C38">
        <w:rPr>
          <w:rFonts w:ascii="Verdana" w:hAnsi="Verdana"/>
          <w:b/>
          <w:spacing w:val="2"/>
          <w:sz w:val="20"/>
          <w:szCs w:val="20"/>
          <w:lang w:val="pt-BR"/>
        </w:rPr>
        <w:t>FS AGRISOLUTIONS INDÚSTRIA DE BIOCOMBUSTÍVEIS LTDA.</w:t>
      </w:r>
      <w:r w:rsidRPr="00437C38">
        <w:rPr>
          <w:rFonts w:ascii="Verdana" w:hAnsi="Verdana"/>
          <w:spacing w:val="2"/>
          <w:sz w:val="20"/>
          <w:szCs w:val="20"/>
          <w:lang w:val="pt-BR"/>
        </w:rPr>
        <w:t>, sociedade limitada, com sede na Cidade de Lucas do Rio Verde, Estado do Mato Grosso, Estrada Linha 1A, a 900m do Km 7 da Avenida das Industrias, s/n, Distrito Industrial, Senador Atílio Fontana, CEP 78455-000, inscrita no Cadastro Nacional da Pessoa Jurídica do Ministério da Economia (“</w:t>
      </w:r>
      <w:r w:rsidRPr="00437C38">
        <w:rPr>
          <w:rFonts w:ascii="Verdana" w:hAnsi="Verdana"/>
          <w:spacing w:val="2"/>
          <w:sz w:val="20"/>
          <w:szCs w:val="20"/>
          <w:u w:val="single"/>
          <w:lang w:val="pt-BR"/>
        </w:rPr>
        <w:t>CNPJ/ME</w:t>
      </w:r>
      <w:r w:rsidRPr="00437C38">
        <w:rPr>
          <w:rFonts w:ascii="Verdana" w:hAnsi="Verdana"/>
          <w:spacing w:val="2"/>
          <w:sz w:val="20"/>
          <w:szCs w:val="20"/>
          <w:lang w:val="pt-BR"/>
        </w:rPr>
        <w:t>”) sob o nº 20.003.699/0001-50, neste ato representada nos termos de seu contrato social, arquivado na Junta Comercial do Estado do Mato Grosso sob o NIRE 51.2.014.17971</w:t>
      </w:r>
      <w:r w:rsidRPr="0098456D">
        <w:rPr>
          <w:rFonts w:ascii="Verdana" w:hAnsi="Verdana"/>
          <w:sz w:val="20"/>
          <w:szCs w:val="20"/>
          <w:lang w:val="pt-BR"/>
        </w:rPr>
        <w:t xml:space="preserve"> (“</w:t>
      </w:r>
      <w:r>
        <w:rPr>
          <w:rFonts w:ascii="Verdana" w:hAnsi="Verdana"/>
          <w:sz w:val="20"/>
          <w:szCs w:val="20"/>
          <w:u w:val="single"/>
          <w:lang w:val="pt-BR"/>
        </w:rPr>
        <w:t>Emitente</w:t>
      </w:r>
      <w:r w:rsidRPr="0098456D">
        <w:rPr>
          <w:rFonts w:ascii="Verdana" w:hAnsi="Verdana"/>
          <w:sz w:val="20"/>
          <w:szCs w:val="20"/>
          <w:lang w:val="pt-BR"/>
        </w:rPr>
        <w:t>”); e</w:t>
      </w:r>
    </w:p>
    <w:p w14:paraId="4A015942" w14:textId="77777777" w:rsidR="006D080A" w:rsidRDefault="006D080A" w:rsidP="006D080A">
      <w:pPr>
        <w:pStyle w:val="AONormal"/>
        <w:spacing w:line="280" w:lineRule="exact"/>
        <w:jc w:val="both"/>
        <w:rPr>
          <w:rFonts w:ascii="Verdana" w:hAnsi="Verdana"/>
          <w:sz w:val="20"/>
          <w:szCs w:val="20"/>
          <w:lang w:val="pt-BR"/>
        </w:rPr>
      </w:pPr>
    </w:p>
    <w:p w14:paraId="79E75EF7" w14:textId="20CDAE22"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98456D">
        <w:rPr>
          <w:rFonts w:ascii="Verdana" w:hAnsi="Verdana" w:cs="Arial"/>
          <w:b/>
          <w:smallCaps/>
          <w:color w:val="000000"/>
          <w:sz w:val="20"/>
          <w:szCs w:val="20"/>
          <w:lang w:val="pt-BR"/>
        </w:rPr>
        <w:t>RB CAPITAL COMPANHIA DE SECURITIZAÇÃO</w:t>
      </w:r>
      <w:r w:rsidRPr="0098456D">
        <w:rPr>
          <w:rFonts w:ascii="Verdana" w:hAnsi="Verdana" w:cs="Arial"/>
          <w:color w:val="000000"/>
          <w:sz w:val="20"/>
          <w:szCs w:val="20"/>
          <w:lang w:val="pt-BR"/>
        </w:rPr>
        <w:t xml:space="preserve">, companhia </w:t>
      </w:r>
      <w:proofErr w:type="spellStart"/>
      <w:r w:rsidRPr="0098456D">
        <w:rPr>
          <w:rFonts w:ascii="Verdana" w:hAnsi="Verdana" w:cs="Arial"/>
          <w:color w:val="000000"/>
          <w:sz w:val="20"/>
          <w:szCs w:val="20"/>
          <w:lang w:val="pt-BR"/>
        </w:rPr>
        <w:t>securitizadora</w:t>
      </w:r>
      <w:proofErr w:type="spellEnd"/>
      <w:r w:rsidRPr="0098456D">
        <w:rPr>
          <w:rFonts w:ascii="Verdana" w:hAnsi="Verdana" w:cs="Arial"/>
          <w:color w:val="000000"/>
          <w:sz w:val="20"/>
          <w:szCs w:val="20"/>
          <w:lang w:val="pt-BR"/>
        </w:rPr>
        <w:t xml:space="preserve"> com sede na Cidade de São Paulo, Estado de São Paulo, na Avenida Brigadeiro Faria Lima, nº 4.440, 11º andar, Parte, Itaim Bibi, CEP 04538-132, inscrita no </w:t>
      </w:r>
      <w:r w:rsidR="007F6498">
        <w:rPr>
          <w:rFonts w:ascii="Verdana" w:hAnsi="Verdana"/>
          <w:spacing w:val="2"/>
          <w:sz w:val="20"/>
          <w:szCs w:val="20"/>
          <w:lang w:val="pt-BR"/>
        </w:rPr>
        <w:t xml:space="preserve">CNPJ/ME </w:t>
      </w:r>
      <w:r w:rsidRPr="0098456D">
        <w:rPr>
          <w:rFonts w:ascii="Verdana" w:hAnsi="Verdana" w:cs="Arial"/>
          <w:color w:val="000000"/>
          <w:sz w:val="20"/>
          <w:szCs w:val="20"/>
          <w:lang w:val="pt-BR"/>
        </w:rPr>
        <w:t>sob o n° 02.773.542/0001-22</w:t>
      </w:r>
      <w:bookmarkStart w:id="2" w:name="_DV_M9"/>
      <w:bookmarkEnd w:id="2"/>
      <w:r w:rsidRPr="0098456D">
        <w:rPr>
          <w:rFonts w:ascii="Verdana" w:eastAsia="Arial Unicode MS" w:hAnsi="Verdana"/>
          <w:color w:val="000000"/>
          <w:sz w:val="20"/>
          <w:szCs w:val="20"/>
          <w:lang w:val="pt-BR"/>
        </w:rPr>
        <w:t>, neste ato representada na forma de seu estatuto social</w:t>
      </w:r>
      <w:r>
        <w:rPr>
          <w:rFonts w:ascii="Verdana" w:eastAsia="Arial Unicode MS" w:hAnsi="Verdana"/>
          <w:color w:val="000000"/>
          <w:sz w:val="20"/>
          <w:szCs w:val="20"/>
          <w:lang w:val="pt-BR"/>
        </w:rPr>
        <w:t xml:space="preserve"> (“</w:t>
      </w:r>
      <w:r w:rsidRPr="006D080A">
        <w:rPr>
          <w:rFonts w:ascii="Verdana" w:eastAsia="Arial Unicode MS" w:hAnsi="Verdana"/>
          <w:color w:val="000000"/>
          <w:sz w:val="20"/>
          <w:szCs w:val="20"/>
          <w:u w:val="single"/>
          <w:lang w:val="pt-BR"/>
        </w:rPr>
        <w:t>Cessionária</w:t>
      </w:r>
      <w:r>
        <w:rPr>
          <w:rFonts w:ascii="Verdana" w:eastAsia="Arial Unicode MS" w:hAnsi="Verdana"/>
          <w:color w:val="000000"/>
          <w:sz w:val="20"/>
          <w:szCs w:val="20"/>
          <w:lang w:val="pt-BR"/>
        </w:rPr>
        <w:t>”)</w:t>
      </w:r>
    </w:p>
    <w:p w14:paraId="17F27F0C" w14:textId="77777777" w:rsidR="006D080A" w:rsidRPr="0098456D" w:rsidRDefault="006D080A" w:rsidP="006D080A">
      <w:pPr>
        <w:pStyle w:val="ListParagraph"/>
        <w:spacing w:line="280" w:lineRule="exact"/>
        <w:rPr>
          <w:rFonts w:ascii="Verdana" w:hAnsi="Verdana"/>
        </w:rPr>
      </w:pPr>
    </w:p>
    <w:p w14:paraId="4D00A3CF" w14:textId="2E8BA64E" w:rsidR="006D080A" w:rsidRDefault="006D080A" w:rsidP="006D080A">
      <w:pPr>
        <w:widowControl w:val="0"/>
        <w:spacing w:line="280" w:lineRule="exact"/>
        <w:jc w:val="both"/>
        <w:rPr>
          <w:rFonts w:ascii="Verdana" w:hAnsi="Verdana"/>
          <w:sz w:val="20"/>
          <w:szCs w:val="20"/>
        </w:rPr>
      </w:pPr>
      <w:r w:rsidRPr="0098456D">
        <w:rPr>
          <w:rFonts w:ascii="Verdana" w:hAnsi="Verdana"/>
          <w:bCs/>
          <w:sz w:val="20"/>
          <w:szCs w:val="20"/>
        </w:rPr>
        <w:t xml:space="preserve">Sendo a </w:t>
      </w:r>
      <w:r>
        <w:rPr>
          <w:rFonts w:ascii="Verdana" w:hAnsi="Verdana"/>
          <w:bCs/>
          <w:sz w:val="20"/>
          <w:szCs w:val="20"/>
        </w:rPr>
        <w:t>Emitente</w:t>
      </w:r>
      <w:r w:rsidR="003367C7">
        <w:rPr>
          <w:rFonts w:ascii="Verdana" w:hAnsi="Verdana"/>
          <w:bCs/>
          <w:sz w:val="20"/>
          <w:szCs w:val="20"/>
        </w:rPr>
        <w:t xml:space="preserve"> </w:t>
      </w:r>
      <w:r>
        <w:rPr>
          <w:rFonts w:ascii="Verdana" w:hAnsi="Verdana"/>
          <w:bCs/>
          <w:sz w:val="20"/>
          <w:szCs w:val="20"/>
        </w:rPr>
        <w:t xml:space="preserve">e a Cessionária </w:t>
      </w:r>
      <w:r w:rsidRPr="0098456D">
        <w:rPr>
          <w:rFonts w:ascii="Verdana" w:hAnsi="Verdana"/>
          <w:bCs/>
          <w:sz w:val="20"/>
          <w:szCs w:val="20"/>
        </w:rPr>
        <w:t xml:space="preserve">denominados individualmente </w:t>
      </w:r>
      <w:r w:rsidRPr="0098456D">
        <w:rPr>
          <w:rFonts w:ascii="Verdana" w:hAnsi="Verdana"/>
          <w:sz w:val="20"/>
          <w:szCs w:val="20"/>
        </w:rPr>
        <w:t>“</w:t>
      </w:r>
      <w:r w:rsidRPr="0098456D">
        <w:rPr>
          <w:rFonts w:ascii="Verdana" w:hAnsi="Verdana"/>
          <w:bCs/>
          <w:sz w:val="20"/>
          <w:szCs w:val="20"/>
          <w:u w:val="single"/>
        </w:rPr>
        <w:t>Parte</w:t>
      </w:r>
      <w:r w:rsidRPr="0098456D">
        <w:rPr>
          <w:rFonts w:ascii="Verdana" w:hAnsi="Verdana"/>
          <w:sz w:val="20"/>
          <w:szCs w:val="20"/>
        </w:rPr>
        <w:t>”</w:t>
      </w:r>
      <w:r w:rsidRPr="0098456D">
        <w:rPr>
          <w:rFonts w:ascii="Verdana" w:hAnsi="Verdana"/>
          <w:bCs/>
          <w:sz w:val="20"/>
          <w:szCs w:val="20"/>
        </w:rPr>
        <w:t xml:space="preserve"> e, em conjunto, </w:t>
      </w:r>
      <w:r w:rsidRPr="0098456D">
        <w:rPr>
          <w:rFonts w:ascii="Verdana" w:hAnsi="Verdana"/>
          <w:sz w:val="20"/>
          <w:szCs w:val="20"/>
        </w:rPr>
        <w:t>“</w:t>
      </w:r>
      <w:r w:rsidRPr="0098456D">
        <w:rPr>
          <w:rFonts w:ascii="Verdana" w:hAnsi="Verdana"/>
          <w:bCs/>
          <w:sz w:val="20"/>
          <w:szCs w:val="20"/>
          <w:u w:val="single"/>
        </w:rPr>
        <w:t>Partes</w:t>
      </w:r>
      <w:r w:rsidRPr="0098456D">
        <w:rPr>
          <w:rFonts w:ascii="Verdana" w:hAnsi="Verdana"/>
          <w:sz w:val="20"/>
          <w:szCs w:val="20"/>
        </w:rPr>
        <w:t>”.</w:t>
      </w:r>
    </w:p>
    <w:p w14:paraId="5950367D" w14:textId="75473E30" w:rsidR="006D080A" w:rsidRDefault="006D080A" w:rsidP="006D080A">
      <w:pPr>
        <w:widowControl w:val="0"/>
        <w:spacing w:line="280" w:lineRule="exact"/>
        <w:jc w:val="both"/>
        <w:rPr>
          <w:rFonts w:ascii="Verdana" w:hAnsi="Verdana"/>
          <w:bCs/>
          <w:sz w:val="20"/>
          <w:szCs w:val="20"/>
        </w:rPr>
      </w:pPr>
    </w:p>
    <w:p w14:paraId="49299D0A" w14:textId="61BAF905" w:rsidR="006D080A" w:rsidRPr="006D080A" w:rsidRDefault="006D080A" w:rsidP="006D080A">
      <w:pPr>
        <w:widowControl w:val="0"/>
        <w:spacing w:line="280" w:lineRule="exact"/>
        <w:jc w:val="both"/>
        <w:rPr>
          <w:rFonts w:ascii="Verdana" w:hAnsi="Verdana"/>
          <w:b/>
          <w:bCs/>
          <w:sz w:val="20"/>
          <w:szCs w:val="20"/>
        </w:rPr>
      </w:pPr>
      <w:r w:rsidRPr="006D080A">
        <w:rPr>
          <w:rFonts w:ascii="Verdana" w:hAnsi="Verdana"/>
          <w:b/>
          <w:bCs/>
          <w:sz w:val="20"/>
          <w:szCs w:val="20"/>
        </w:rPr>
        <w:t>CONSIDERANDO QUE</w:t>
      </w:r>
    </w:p>
    <w:p w14:paraId="4A2C4191" w14:textId="1EDC45F9" w:rsidR="006D080A" w:rsidRDefault="006D080A">
      <w:pPr>
        <w:pStyle w:val="Header"/>
        <w:spacing w:line="280" w:lineRule="exact"/>
        <w:ind w:right="228"/>
        <w:jc w:val="center"/>
        <w:rPr>
          <w:rFonts w:ascii="Verdana" w:hAnsi="Verdana"/>
          <w:b/>
          <w:sz w:val="20"/>
          <w:szCs w:val="20"/>
          <w:u w:val="single"/>
        </w:rPr>
      </w:pPr>
    </w:p>
    <w:p w14:paraId="4190E9C3" w14:textId="68AC0A60" w:rsidR="006D080A" w:rsidRPr="0098456D" w:rsidRDefault="006D080A" w:rsidP="00207847">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em 25 de junho de 2020, </w:t>
      </w:r>
      <w:r w:rsidRPr="0098456D">
        <w:rPr>
          <w:rFonts w:ascii="Verdana" w:hAnsi="Verdana"/>
          <w:spacing w:val="2"/>
          <w:sz w:val="20"/>
          <w:szCs w:val="20"/>
        </w:rPr>
        <w:t xml:space="preserve">a </w:t>
      </w:r>
      <w:r>
        <w:rPr>
          <w:rFonts w:ascii="Verdana" w:hAnsi="Verdana"/>
          <w:spacing w:val="2"/>
          <w:sz w:val="20"/>
          <w:szCs w:val="20"/>
        </w:rPr>
        <w:t>Emitente</w:t>
      </w:r>
      <w:r w:rsidR="00207847">
        <w:rPr>
          <w:rFonts w:ascii="Verdana" w:hAnsi="Verdana"/>
          <w:spacing w:val="2"/>
          <w:sz w:val="20"/>
          <w:szCs w:val="20"/>
        </w:rPr>
        <w:t>, a Cession</w:t>
      </w:r>
      <w:r w:rsidR="000C54EF">
        <w:rPr>
          <w:rFonts w:ascii="Verdana" w:hAnsi="Verdana"/>
          <w:spacing w:val="2"/>
          <w:sz w:val="20"/>
          <w:szCs w:val="20"/>
        </w:rPr>
        <w:t>ária</w:t>
      </w:r>
      <w:r w:rsidRPr="0098456D">
        <w:rPr>
          <w:rFonts w:ascii="Verdana" w:hAnsi="Verdana"/>
          <w:spacing w:val="2"/>
          <w:sz w:val="20"/>
          <w:szCs w:val="20"/>
        </w:rPr>
        <w:t xml:space="preserve"> e </w:t>
      </w:r>
      <w:r w:rsidRPr="006D080A">
        <w:rPr>
          <w:rFonts w:ascii="Verdana" w:hAnsi="Verdana"/>
          <w:sz w:val="20"/>
          <w:szCs w:val="20"/>
        </w:rPr>
        <w:t>o</w:t>
      </w:r>
      <w:r w:rsidR="00207847">
        <w:rPr>
          <w:rFonts w:ascii="Verdana" w:hAnsi="Verdana"/>
          <w:sz w:val="20"/>
          <w:szCs w:val="20"/>
        </w:rPr>
        <w:t xml:space="preserve"> </w:t>
      </w:r>
      <w:r w:rsidR="00207847" w:rsidRPr="00F504D6">
        <w:rPr>
          <w:rFonts w:ascii="Verdana" w:hAnsi="Verdana"/>
          <w:b/>
          <w:sz w:val="20"/>
          <w:szCs w:val="20"/>
        </w:rPr>
        <w:t>BANCO DE INVESTIMENTOS CREDIT SUISSE (BRASIL) S.A.</w:t>
      </w:r>
      <w:r w:rsidR="00207847" w:rsidRPr="00207847">
        <w:rPr>
          <w:rFonts w:ascii="Verdana" w:hAnsi="Verdana"/>
          <w:sz w:val="20"/>
          <w:szCs w:val="20"/>
        </w:rPr>
        <w:t>, instituição financeira, com sede na Cidade de São Paulo, Estado de São Paulo, na Rua Leopoldo Couto de Magalhães Junior, nº 700, 10º andar (parte) e 12º a 14º andares (partes), CEP 04.542-000, Bairro Itaim Bibi, inscrito no CNPJ/ME sob o nº 33.987.793/0001-33 (“</w:t>
      </w:r>
      <w:r w:rsidRPr="00F504D6">
        <w:rPr>
          <w:rFonts w:ascii="Verdana" w:hAnsi="Verdana"/>
          <w:sz w:val="20"/>
          <w:szCs w:val="20"/>
          <w:u w:val="single"/>
        </w:rPr>
        <w:t>Credor Original</w:t>
      </w:r>
      <w:r w:rsidR="00207847" w:rsidRPr="00F504D6">
        <w:rPr>
          <w:rFonts w:ascii="Verdana" w:hAnsi="Verdana"/>
          <w:sz w:val="20"/>
          <w:szCs w:val="20"/>
        </w:rPr>
        <w:t>”)</w:t>
      </w:r>
      <w:r>
        <w:rPr>
          <w:rFonts w:ascii="Verdana" w:hAnsi="Verdana"/>
          <w:b/>
          <w:sz w:val="20"/>
          <w:szCs w:val="20"/>
        </w:rPr>
        <w:t xml:space="preserve"> </w:t>
      </w:r>
      <w:r w:rsidRPr="0098456D">
        <w:rPr>
          <w:rFonts w:ascii="Verdana" w:hAnsi="Verdana"/>
          <w:spacing w:val="2"/>
          <w:sz w:val="20"/>
          <w:szCs w:val="20"/>
        </w:rPr>
        <w:t xml:space="preserve">celebraram o </w:t>
      </w:r>
      <w:r w:rsidRPr="0098456D">
        <w:rPr>
          <w:rFonts w:ascii="Verdana" w:hAnsi="Verdana" w:cstheme="minorHAnsi"/>
          <w:sz w:val="20"/>
          <w:szCs w:val="20"/>
        </w:rPr>
        <w:t>“</w:t>
      </w:r>
      <w:r w:rsidRPr="0098456D">
        <w:rPr>
          <w:rFonts w:ascii="Verdana" w:hAnsi="Verdana" w:cstheme="minorHAnsi"/>
          <w:i/>
          <w:sz w:val="20"/>
          <w:szCs w:val="20"/>
        </w:rPr>
        <w:t>Instrumento Particular de Cessão de Créditos Imobiliários e Outras Avenças</w:t>
      </w:r>
      <w:r w:rsidRPr="0098456D">
        <w:rPr>
          <w:rFonts w:ascii="Verdana" w:hAnsi="Verdana" w:cstheme="minorHAnsi"/>
          <w:sz w:val="20"/>
          <w:szCs w:val="20"/>
        </w:rPr>
        <w:t xml:space="preserve">”, devidamente registrado no </w:t>
      </w:r>
      <w:r w:rsidRPr="0098456D">
        <w:rPr>
          <w:rFonts w:ascii="Verdana" w:hAnsi="Verdana" w:cs="Arial"/>
          <w:sz w:val="20"/>
          <w:szCs w:val="20"/>
        </w:rPr>
        <w:t xml:space="preserve">cartório de registro de títulos e documentos da comarca da Cidade de São Paulo, Estado de São Paulo, sob o nº 9.048.568 em 30 de junho de 2020, </w:t>
      </w:r>
      <w:r w:rsidRPr="007365DD">
        <w:rPr>
          <w:rFonts w:ascii="Verdana" w:hAnsi="Verdana" w:cs="Arial"/>
          <w:sz w:val="20"/>
          <w:szCs w:val="20"/>
        </w:rPr>
        <w:t xml:space="preserve">e </w:t>
      </w:r>
      <w:proofErr w:type="spellStart"/>
      <w:r w:rsidR="007365DD" w:rsidRPr="007365DD">
        <w:rPr>
          <w:rFonts w:ascii="Verdana" w:hAnsi="Verdana" w:cs="Arial"/>
          <w:sz w:val="20"/>
          <w:szCs w:val="20"/>
        </w:rPr>
        <w:t>registrado</w:t>
      </w:r>
      <w:r w:rsidRPr="007365DD">
        <w:rPr>
          <w:rFonts w:ascii="Verdana" w:hAnsi="Verdana" w:cstheme="minorHAnsi"/>
          <w:sz w:val="20"/>
          <w:szCs w:val="20"/>
        </w:rPr>
        <w:t>no</w:t>
      </w:r>
      <w:proofErr w:type="spellEnd"/>
      <w:r w:rsidRPr="007365DD">
        <w:rPr>
          <w:rFonts w:ascii="Verdana" w:hAnsi="Verdana" w:cstheme="minorHAnsi"/>
          <w:sz w:val="20"/>
          <w:szCs w:val="20"/>
        </w:rPr>
        <w:t xml:space="preserve"> </w:t>
      </w:r>
      <w:r w:rsidRPr="007365DD">
        <w:rPr>
          <w:rFonts w:ascii="Verdana" w:hAnsi="Verdana" w:cs="Arial"/>
          <w:sz w:val="20"/>
          <w:szCs w:val="20"/>
        </w:rPr>
        <w:t>cartório de registro de títulos e documentos da comarca da Cidade Lucas do Rio Verde, Estado do Mato Grosso, sob o nº 000</w:t>
      </w:r>
      <w:r w:rsidR="007365DD" w:rsidRPr="00F504D6">
        <w:rPr>
          <w:rFonts w:ascii="Verdana" w:hAnsi="Verdana" w:cs="Arial"/>
          <w:sz w:val="20"/>
          <w:szCs w:val="20"/>
        </w:rPr>
        <w:t>16512</w:t>
      </w:r>
      <w:r w:rsidR="007365DD">
        <w:rPr>
          <w:rFonts w:ascii="Verdana" w:hAnsi="Verdana" w:cs="Arial"/>
          <w:sz w:val="20"/>
          <w:szCs w:val="20"/>
        </w:rPr>
        <w:t>,</w:t>
      </w:r>
      <w:del w:id="3" w:author="TozziniFreire Advogados" w:date="2021-03-26T12:41:00Z">
        <w:r w:rsidRPr="007365DD" w:rsidDel="007365DD">
          <w:rPr>
            <w:rFonts w:ascii="Verdana" w:hAnsi="Verdana" w:cs="Arial"/>
            <w:sz w:val="20"/>
            <w:szCs w:val="20"/>
          </w:rPr>
          <w:delText xml:space="preserve"> </w:delText>
        </w:r>
      </w:del>
      <w:r w:rsidR="007365DD" w:rsidRPr="00F504D6">
        <w:rPr>
          <w:rFonts w:ascii="Verdana" w:hAnsi="Verdana" w:cs="Arial"/>
          <w:sz w:val="20"/>
          <w:szCs w:val="20"/>
        </w:rPr>
        <w:t xml:space="preserve"> no livro B-54</w:t>
      </w:r>
      <w:r w:rsidR="007365DD">
        <w:rPr>
          <w:rFonts w:ascii="Verdana" w:hAnsi="Verdana" w:cs="Arial"/>
          <w:sz w:val="20"/>
          <w:szCs w:val="20"/>
        </w:rPr>
        <w:t>,</w:t>
      </w:r>
      <w:r w:rsidR="007365DD" w:rsidRPr="00F504D6">
        <w:rPr>
          <w:rFonts w:ascii="Verdana" w:hAnsi="Verdana" w:cs="Arial"/>
          <w:sz w:val="20"/>
          <w:szCs w:val="20"/>
        </w:rPr>
        <w:t xml:space="preserve"> </w:t>
      </w:r>
      <w:r w:rsidRPr="007365DD">
        <w:rPr>
          <w:rFonts w:ascii="Verdana" w:hAnsi="Verdana" w:cs="Arial"/>
          <w:sz w:val="20"/>
          <w:szCs w:val="20"/>
        </w:rPr>
        <w:t xml:space="preserve">em </w:t>
      </w:r>
      <w:r w:rsidR="007365DD" w:rsidRPr="00F504D6">
        <w:rPr>
          <w:rFonts w:ascii="Verdana" w:hAnsi="Verdana" w:cs="Arial"/>
          <w:sz w:val="20"/>
          <w:szCs w:val="20"/>
        </w:rPr>
        <w:t>30 de julho</w:t>
      </w:r>
      <w:r w:rsidRPr="007365DD">
        <w:rPr>
          <w:rFonts w:ascii="Verdana" w:hAnsi="Verdana" w:cs="Arial"/>
          <w:sz w:val="20"/>
          <w:szCs w:val="20"/>
        </w:rPr>
        <w:t xml:space="preserve"> de 2020</w:t>
      </w:r>
      <w:r w:rsidR="00207847">
        <w:rPr>
          <w:rFonts w:ascii="Verdana" w:hAnsi="Verdana" w:cs="Arial"/>
          <w:sz w:val="20"/>
          <w:szCs w:val="20"/>
        </w:rPr>
        <w:t>, conforme aditado em 31 de julho de 2020</w:t>
      </w:r>
      <w:r w:rsidRPr="0098456D">
        <w:rPr>
          <w:rFonts w:ascii="Verdana" w:hAnsi="Verdana"/>
          <w:sz w:val="20"/>
          <w:szCs w:val="20"/>
        </w:rPr>
        <w:t xml:space="preserve"> </w:t>
      </w:r>
      <w:r w:rsidRPr="0098456D">
        <w:rPr>
          <w:rFonts w:ascii="Verdana" w:hAnsi="Verdana" w:cstheme="minorHAnsi"/>
          <w:sz w:val="20"/>
          <w:szCs w:val="20"/>
        </w:rPr>
        <w:t>(“</w:t>
      </w:r>
      <w:r w:rsidRPr="0098456D">
        <w:rPr>
          <w:rFonts w:ascii="Verdana" w:hAnsi="Verdana" w:cstheme="minorHAnsi"/>
          <w:sz w:val="20"/>
          <w:szCs w:val="20"/>
          <w:u w:val="single"/>
        </w:rPr>
        <w:t>Contrato de Cessão</w:t>
      </w:r>
      <w:r w:rsidRPr="0098456D">
        <w:rPr>
          <w:rFonts w:ascii="Verdana" w:hAnsi="Verdana" w:cstheme="minorHAnsi"/>
          <w:sz w:val="20"/>
          <w:szCs w:val="20"/>
        </w:rPr>
        <w:t>”)</w:t>
      </w:r>
      <w:r w:rsidRPr="0098456D">
        <w:rPr>
          <w:rFonts w:ascii="Verdana" w:hAnsi="Verdana"/>
          <w:sz w:val="20"/>
          <w:szCs w:val="20"/>
        </w:rPr>
        <w:t xml:space="preserve">; </w:t>
      </w:r>
    </w:p>
    <w:p w14:paraId="6F64AFE2"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04BC6D56" w14:textId="01187D50" w:rsidR="006D080A" w:rsidRPr="0098456D" w:rsidRDefault="006D080A" w:rsidP="00C91011">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por meio do Contrato de Cessão, o </w:t>
      </w:r>
      <w:r w:rsidRPr="0098456D">
        <w:rPr>
          <w:rFonts w:ascii="Verdana" w:hAnsi="Verdana"/>
          <w:bCs/>
          <w:sz w:val="20"/>
          <w:szCs w:val="20"/>
        </w:rPr>
        <w:t xml:space="preserve">Credor Original, na qualidade de cedente, cedeu </w:t>
      </w:r>
      <w:r w:rsidRPr="0098456D">
        <w:rPr>
          <w:rFonts w:ascii="Verdana" w:hAnsi="Verdana"/>
          <w:sz w:val="20"/>
          <w:szCs w:val="20"/>
        </w:rPr>
        <w:t>à Emissora, em caráter irrevogável e irretratável, a integralidade dos créditos imobiliários decorrentes da “</w:t>
      </w:r>
      <w:r w:rsidRPr="0098456D">
        <w:rPr>
          <w:rFonts w:ascii="Verdana" w:hAnsi="Verdana"/>
          <w:i/>
          <w:iCs/>
          <w:sz w:val="20"/>
          <w:szCs w:val="20"/>
        </w:rPr>
        <w:t>Cédula de Crédito Bancário nº CSBRA20200600402</w:t>
      </w:r>
      <w:r w:rsidRPr="0098456D">
        <w:rPr>
          <w:rFonts w:ascii="Verdana" w:hAnsi="Verdana"/>
          <w:sz w:val="20"/>
          <w:szCs w:val="20"/>
        </w:rPr>
        <w:t>”, emitida pela Devedora em favor do Credor Original em 25 de junho de 2020 (conforme aditada de tempos em tempos, a “</w:t>
      </w:r>
      <w:r w:rsidRPr="0098456D">
        <w:rPr>
          <w:rFonts w:ascii="Verdana" w:hAnsi="Verdana"/>
          <w:sz w:val="20"/>
          <w:szCs w:val="20"/>
          <w:u w:val="single"/>
        </w:rPr>
        <w:t>CCB</w:t>
      </w:r>
      <w:r w:rsidRPr="0098456D">
        <w:rPr>
          <w:rFonts w:ascii="Verdana" w:hAnsi="Verdana"/>
          <w:sz w:val="20"/>
          <w:szCs w:val="20"/>
        </w:rPr>
        <w:t>”), que compreendem a obrigação de pagamento do Valor de Principal (conforme definido no Contrato de Cessão), acrescidos dos juros remuneratórios, bem como demais encargos moratórios, eventuais despesas e honorários advocatícios, penalidades, indenizações, demais encargos e ainda quaisquer outros montantes devidos e ainda não pagos definidos na CCB (“</w:t>
      </w:r>
      <w:r w:rsidRPr="0098456D">
        <w:rPr>
          <w:rFonts w:ascii="Verdana" w:hAnsi="Verdana"/>
          <w:sz w:val="20"/>
          <w:szCs w:val="20"/>
          <w:u w:val="single"/>
        </w:rPr>
        <w:t>Créditos Imobiliários</w:t>
      </w:r>
      <w:r w:rsidRPr="0098456D">
        <w:rPr>
          <w:rFonts w:ascii="Verdana" w:hAnsi="Verdana"/>
          <w:sz w:val="20"/>
          <w:szCs w:val="20"/>
        </w:rPr>
        <w:t>”), representados por 1 (uma) cédula de crédito imobiliário (“</w:t>
      </w:r>
      <w:r w:rsidRPr="0098456D">
        <w:rPr>
          <w:rFonts w:ascii="Verdana" w:hAnsi="Verdana"/>
          <w:sz w:val="20"/>
          <w:szCs w:val="20"/>
          <w:u w:val="single"/>
        </w:rPr>
        <w:t>CCI</w:t>
      </w:r>
      <w:r w:rsidRPr="0098456D">
        <w:rPr>
          <w:rFonts w:ascii="Verdana" w:hAnsi="Verdana"/>
          <w:sz w:val="20"/>
          <w:szCs w:val="20"/>
        </w:rPr>
        <w:t>”) emitida pelo Credor Original, nos termos do “</w:t>
      </w:r>
      <w:r w:rsidRPr="0098456D">
        <w:rPr>
          <w:rFonts w:ascii="Verdana" w:hAnsi="Verdana"/>
          <w:i/>
          <w:sz w:val="20"/>
          <w:szCs w:val="20"/>
        </w:rPr>
        <w:t xml:space="preserve">Instrumento Particular de Emissão de Cédula de Crédito Imobiliário, sem Garantia Real </w:t>
      </w:r>
      <w:r w:rsidRPr="0098456D">
        <w:rPr>
          <w:rFonts w:ascii="Verdana" w:hAnsi="Verdana"/>
          <w:i/>
          <w:sz w:val="20"/>
          <w:szCs w:val="20"/>
        </w:rPr>
        <w:lastRenderedPageBreak/>
        <w:t>Imobiliária, sob Forma Escritural</w:t>
      </w:r>
      <w:r w:rsidRPr="0098456D">
        <w:rPr>
          <w:rFonts w:ascii="Verdana" w:hAnsi="Verdana"/>
          <w:sz w:val="20"/>
          <w:szCs w:val="20"/>
        </w:rPr>
        <w:t xml:space="preserve">” celebrado em 25 de junho de 2020, entre o Credor Original, na qualidade de emitente da CCI, </w:t>
      </w:r>
      <w:r w:rsidR="00C91011">
        <w:rPr>
          <w:rFonts w:ascii="Verdana" w:hAnsi="Verdana"/>
          <w:sz w:val="20"/>
          <w:szCs w:val="20"/>
        </w:rPr>
        <w:t xml:space="preserve">a </w:t>
      </w:r>
      <w:r w:rsidR="00C91011" w:rsidRPr="00F504D6">
        <w:rPr>
          <w:rFonts w:ascii="Verdana" w:hAnsi="Verdana"/>
          <w:b/>
          <w:sz w:val="20"/>
          <w:szCs w:val="20"/>
        </w:rPr>
        <w:t>SIMPLIFIC PAVARINI DISTRIBUIDORA DE TÍTULOS E VALORES MOBILIÁRIOS LTDA.</w:t>
      </w:r>
      <w:r w:rsidR="00C91011" w:rsidRPr="00C91011">
        <w:rPr>
          <w:rFonts w:ascii="Verdana" w:hAnsi="Verdana"/>
          <w:sz w:val="20"/>
          <w:szCs w:val="20"/>
        </w:rPr>
        <w:t>, instituição financeira com filial na Cidade de São Paulo, Estado de São Paulo, na Rua Joaquim Floriano, nº 466, Bloco B, sala 1.401, CEP 04534-002, inscrita no CNPJ</w:t>
      </w:r>
      <w:r w:rsidR="00C91011">
        <w:rPr>
          <w:rFonts w:ascii="Verdana" w:hAnsi="Verdana"/>
          <w:sz w:val="20"/>
          <w:szCs w:val="20"/>
        </w:rPr>
        <w:t>/ME sob o nº 15.227.994/0004-01 (“</w:t>
      </w:r>
      <w:r w:rsidR="00C91011">
        <w:rPr>
          <w:rFonts w:ascii="Verdana" w:hAnsi="Verdana"/>
          <w:sz w:val="20"/>
          <w:szCs w:val="20"/>
          <w:u w:val="single"/>
        </w:rPr>
        <w:t>Agente Fiduciário</w:t>
      </w:r>
      <w:r w:rsidR="00C91011">
        <w:rPr>
          <w:rFonts w:ascii="Verdana" w:hAnsi="Verdana"/>
          <w:sz w:val="20"/>
          <w:szCs w:val="20"/>
        </w:rPr>
        <w:t>”)</w:t>
      </w:r>
      <w:r w:rsidRPr="0098456D">
        <w:rPr>
          <w:rFonts w:ascii="Verdana" w:hAnsi="Verdana"/>
          <w:sz w:val="20"/>
          <w:szCs w:val="20"/>
        </w:rPr>
        <w:t>, na qualidade de instituição custodiante, a Emissora e a Devedora, na qualidade de intervenientes anuentes;</w:t>
      </w:r>
    </w:p>
    <w:p w14:paraId="4BBB3603"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6813ECA6" w14:textId="77777777"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a Emissora vinculou os Créditos Imobiliários, decorrentes da CCB e representados pela CCI, à emissão de certificados de recebíveis imobiliários da 280ª série da 1ª emissão da Emissora, com lastro nos Créditos Imobiliários (“</w:t>
      </w:r>
      <w:r w:rsidRPr="0098456D">
        <w:rPr>
          <w:rFonts w:ascii="Verdana" w:hAnsi="Verdana"/>
          <w:sz w:val="20"/>
          <w:szCs w:val="20"/>
          <w:u w:val="single"/>
        </w:rPr>
        <w:t>CRI</w:t>
      </w:r>
      <w:r w:rsidRPr="0098456D">
        <w:rPr>
          <w:rFonts w:ascii="Verdana" w:hAnsi="Verdana"/>
          <w:sz w:val="20"/>
          <w:szCs w:val="20"/>
        </w:rPr>
        <w:t>”), conforme condições estabelecidas no “</w:t>
      </w:r>
      <w:r w:rsidRPr="0098456D">
        <w:rPr>
          <w:rFonts w:ascii="Verdana" w:hAnsi="Verdana"/>
          <w:i/>
          <w:iCs/>
          <w:sz w:val="20"/>
          <w:szCs w:val="20"/>
        </w:rPr>
        <w:t>Termo de Securitização de Créditos Imobiliários da 280ª Série da 1ª Emissão de Certificados de Recebíveis Imobiliários da RB Capital Companhia de Securitização</w:t>
      </w:r>
      <w:r w:rsidRPr="0098456D">
        <w:rPr>
          <w:rFonts w:ascii="Verdana" w:hAnsi="Verdana"/>
          <w:sz w:val="20"/>
          <w:szCs w:val="20"/>
        </w:rPr>
        <w:t>” celebrado em 25 de junho de 2020 (conforme aditado de tempos em tempos, o “</w:t>
      </w:r>
      <w:r w:rsidRPr="0098456D">
        <w:rPr>
          <w:rFonts w:ascii="Verdana" w:hAnsi="Verdana"/>
          <w:sz w:val="20"/>
          <w:szCs w:val="20"/>
          <w:u w:val="single"/>
        </w:rPr>
        <w:t>Termo de Securitização</w:t>
      </w:r>
      <w:r w:rsidRPr="0098456D">
        <w:rPr>
          <w:rFonts w:ascii="Verdana" w:hAnsi="Verdana"/>
          <w:sz w:val="20"/>
          <w:szCs w:val="20"/>
        </w:rPr>
        <w:t xml:space="preserve">”), entre a Emissora, na qualidade de emissora dos CRI, e o Agente Fiduciário, na qualidade de agente fiduciário dos CRI; </w:t>
      </w:r>
    </w:p>
    <w:p w14:paraId="5F6A9B28" w14:textId="77777777" w:rsidR="006D080A" w:rsidRPr="0098456D" w:rsidRDefault="006D080A" w:rsidP="006D080A">
      <w:pPr>
        <w:tabs>
          <w:tab w:val="left" w:pos="709"/>
          <w:tab w:val="left" w:pos="1418"/>
        </w:tabs>
        <w:spacing w:line="280" w:lineRule="exact"/>
        <w:ind w:left="720"/>
        <w:jc w:val="both"/>
        <w:rPr>
          <w:rFonts w:ascii="Verdana" w:hAnsi="Verdana"/>
          <w:sz w:val="20"/>
          <w:szCs w:val="20"/>
        </w:rPr>
      </w:pPr>
    </w:p>
    <w:p w14:paraId="17CF3B3B" w14:textId="0707DBC7" w:rsidR="006D080A"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os CRI foram objeto de oferta pública com esforços restritos, nos termos da Instrução da Comissão de Valores Mobiliários nº 476, de 16 de dezembro de 2009, conforme alterada;</w:t>
      </w:r>
    </w:p>
    <w:p w14:paraId="53871824" w14:textId="77777777" w:rsidR="006D080A" w:rsidRDefault="006D080A" w:rsidP="006D080A">
      <w:pPr>
        <w:tabs>
          <w:tab w:val="left" w:pos="709"/>
          <w:tab w:val="left" w:pos="1418"/>
        </w:tabs>
        <w:spacing w:line="280" w:lineRule="exact"/>
        <w:ind w:left="709"/>
        <w:jc w:val="both"/>
        <w:rPr>
          <w:rFonts w:ascii="Verdana" w:hAnsi="Verdana"/>
          <w:sz w:val="20"/>
          <w:szCs w:val="20"/>
        </w:rPr>
      </w:pPr>
    </w:p>
    <w:p w14:paraId="5F2E1C7D" w14:textId="238C12F2"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Pr>
          <w:rFonts w:ascii="Verdana" w:hAnsi="Verdana"/>
          <w:sz w:val="20"/>
          <w:szCs w:val="20"/>
        </w:rPr>
        <w:t xml:space="preserve">conforme previsto na Cláusula 3.3.3 e seguintes da CCB na hipótese de ocorrência de </w:t>
      </w:r>
      <w:r w:rsidRPr="001938B0">
        <w:rPr>
          <w:rFonts w:ascii="Verdana" w:hAnsi="Verdana"/>
          <w:bCs/>
          <w:sz w:val="20"/>
          <w:szCs w:val="20"/>
        </w:rPr>
        <w:t>um Evento de Redução de Sobretaxa</w:t>
      </w:r>
      <w:r>
        <w:rPr>
          <w:rFonts w:ascii="Verdana" w:hAnsi="Verdana"/>
          <w:bCs/>
          <w:sz w:val="20"/>
          <w:szCs w:val="20"/>
        </w:rPr>
        <w:t xml:space="preserve">, </w:t>
      </w:r>
      <w:r w:rsidRPr="001938B0">
        <w:rPr>
          <w:rFonts w:ascii="Verdana" w:hAnsi="Verdana"/>
          <w:bCs/>
          <w:sz w:val="20"/>
          <w:szCs w:val="20"/>
        </w:rPr>
        <w:t xml:space="preserve">o percentual da Sobretaxa será reduzido em </w:t>
      </w:r>
      <w:r w:rsidR="00902DC9" w:rsidRPr="00902DC9">
        <w:rPr>
          <w:rFonts w:ascii="Verdana" w:hAnsi="Verdana"/>
          <w:bCs/>
          <w:sz w:val="20"/>
          <w:szCs w:val="20"/>
        </w:rPr>
        <w:t xml:space="preserve">0,134% </w:t>
      </w:r>
      <w:r w:rsidR="00C91011">
        <w:rPr>
          <w:rFonts w:ascii="Verdana" w:hAnsi="Verdana"/>
          <w:bCs/>
          <w:sz w:val="20"/>
          <w:szCs w:val="20"/>
        </w:rPr>
        <w:t>cento e</w:t>
      </w:r>
      <w:r w:rsidR="00902DC9" w:rsidRPr="00902DC9">
        <w:rPr>
          <w:rFonts w:ascii="Verdana" w:hAnsi="Verdana"/>
          <w:bCs/>
          <w:sz w:val="20"/>
          <w:szCs w:val="20"/>
        </w:rPr>
        <w:t xml:space="preserve"> trinta e quatro milésimos por cento)</w:t>
      </w:r>
      <w:r w:rsidR="00902DC9">
        <w:rPr>
          <w:rFonts w:ascii="Verdana" w:hAnsi="Verdana"/>
          <w:bCs/>
          <w:sz w:val="20"/>
          <w:szCs w:val="20"/>
        </w:rPr>
        <w:t>.</w:t>
      </w:r>
    </w:p>
    <w:p w14:paraId="03752353" w14:textId="3FD8CDAA" w:rsidR="006D080A" w:rsidRDefault="006D080A">
      <w:pPr>
        <w:pStyle w:val="Header"/>
        <w:spacing w:line="280" w:lineRule="exact"/>
        <w:ind w:right="228"/>
        <w:jc w:val="center"/>
        <w:rPr>
          <w:rFonts w:ascii="Verdana" w:hAnsi="Verdana"/>
          <w:b/>
          <w:sz w:val="20"/>
          <w:szCs w:val="20"/>
          <w:u w:val="single"/>
        </w:rPr>
      </w:pPr>
    </w:p>
    <w:p w14:paraId="62514BC3" w14:textId="77777777" w:rsidR="006D080A" w:rsidRPr="0098456D" w:rsidRDefault="006D080A" w:rsidP="006D080A">
      <w:pPr>
        <w:tabs>
          <w:tab w:val="left" w:pos="709"/>
          <w:tab w:val="left" w:pos="1418"/>
        </w:tabs>
        <w:spacing w:line="280" w:lineRule="exact"/>
        <w:jc w:val="both"/>
        <w:rPr>
          <w:rFonts w:ascii="Verdana" w:hAnsi="Verdana"/>
          <w:sz w:val="20"/>
          <w:szCs w:val="20"/>
        </w:rPr>
      </w:pPr>
      <w:r w:rsidRPr="0098456D">
        <w:rPr>
          <w:rFonts w:ascii="Verdana" w:hAnsi="Verdana"/>
          <w:b/>
          <w:sz w:val="20"/>
          <w:szCs w:val="20"/>
        </w:rPr>
        <w:t xml:space="preserve">RESOLVEM </w:t>
      </w:r>
      <w:r w:rsidRPr="0098456D">
        <w:rPr>
          <w:rFonts w:ascii="Verdana" w:hAnsi="Verdana"/>
          <w:sz w:val="20"/>
          <w:szCs w:val="20"/>
        </w:rPr>
        <w:t>celebrar o presente Aditamento, que será regido pelas Cláusulas e condições a seguir estabelecidas.</w:t>
      </w:r>
    </w:p>
    <w:p w14:paraId="7B56DA88" w14:textId="63D471F9" w:rsidR="006D080A" w:rsidRDefault="006D080A">
      <w:pPr>
        <w:pStyle w:val="Header"/>
        <w:spacing w:line="280" w:lineRule="exact"/>
        <w:ind w:right="228"/>
        <w:jc w:val="center"/>
        <w:rPr>
          <w:rFonts w:ascii="Verdana" w:hAnsi="Verdana"/>
          <w:b/>
          <w:sz w:val="20"/>
          <w:szCs w:val="20"/>
          <w:u w:val="single"/>
        </w:rPr>
      </w:pPr>
    </w:p>
    <w:p w14:paraId="39391C07" w14:textId="27F9E9BE" w:rsidR="006D080A" w:rsidRPr="003E0C82" w:rsidRDefault="006D080A" w:rsidP="006D080A">
      <w:pPr>
        <w:tabs>
          <w:tab w:val="left" w:pos="709"/>
          <w:tab w:val="left" w:pos="1418"/>
        </w:tabs>
        <w:spacing w:line="280" w:lineRule="exact"/>
        <w:jc w:val="both"/>
        <w:rPr>
          <w:rFonts w:ascii="Verdana" w:hAnsi="Verdana"/>
          <w:b/>
          <w:sz w:val="20"/>
          <w:szCs w:val="20"/>
          <w:u w:val="single"/>
        </w:rPr>
      </w:pPr>
      <w:r w:rsidRPr="003E0C82">
        <w:rPr>
          <w:rFonts w:ascii="Verdana" w:hAnsi="Verdana"/>
          <w:b/>
          <w:sz w:val="20"/>
          <w:szCs w:val="20"/>
          <w:u w:val="single"/>
        </w:rPr>
        <w:t>I - ADITAMENTO</w:t>
      </w:r>
    </w:p>
    <w:p w14:paraId="5EF51946" w14:textId="77777777" w:rsidR="006D080A" w:rsidRDefault="006D080A" w:rsidP="006D080A">
      <w:pPr>
        <w:keepNext/>
        <w:spacing w:line="340" w:lineRule="exact"/>
        <w:rPr>
          <w:rFonts w:ascii="Verdana" w:hAnsi="Verdana"/>
          <w:sz w:val="20"/>
          <w:szCs w:val="20"/>
        </w:rPr>
      </w:pPr>
    </w:p>
    <w:p w14:paraId="75BFC14E" w14:textId="4742B6F2" w:rsidR="003E0C82" w:rsidRPr="003E0C82" w:rsidRDefault="006D080A" w:rsidP="003E0C82">
      <w:pPr>
        <w:pStyle w:val="Par2"/>
        <w:numPr>
          <w:ilvl w:val="1"/>
          <w:numId w:val="100"/>
        </w:numPr>
        <w:spacing w:line="340" w:lineRule="exact"/>
        <w:ind w:left="567" w:hanging="567"/>
      </w:pPr>
      <w:r>
        <w:t>Pelo presente Aditamento,</w:t>
      </w:r>
      <w:r w:rsidR="00F504D6">
        <w:t xml:space="preserve"> </w:t>
      </w:r>
      <w:r>
        <w:t xml:space="preserve">as Partes resolvem alterar a Sobretaxa em razão da ocorrência de um Evento de Redução de Sobretaxa, conforme comunicado pela Emitente, nos termos da Cláusula 3.3.3. e seguintes da CCB, de modo que a Sobretaxa seja reduzida em </w:t>
      </w:r>
      <w:r w:rsidRPr="00437C38">
        <w:rPr>
          <w:bCs/>
        </w:rPr>
        <w:t>0,</w:t>
      </w:r>
      <w:r w:rsidR="00437C38" w:rsidRPr="00437C38">
        <w:rPr>
          <w:bCs/>
        </w:rPr>
        <w:t>134</w:t>
      </w:r>
      <w:r w:rsidRPr="00437C38">
        <w:rPr>
          <w:bCs/>
        </w:rPr>
        <w:t>% (</w:t>
      </w:r>
      <w:r w:rsidR="00C91011">
        <w:rPr>
          <w:bCs/>
        </w:rPr>
        <w:t>cento</w:t>
      </w:r>
      <w:r w:rsidR="00437C38" w:rsidRPr="00437C38">
        <w:rPr>
          <w:bCs/>
        </w:rPr>
        <w:t xml:space="preserve"> e trinta e quatro milésimos</w:t>
      </w:r>
      <w:r w:rsidRPr="00437C38">
        <w:rPr>
          <w:bCs/>
        </w:rPr>
        <w:t xml:space="preserve"> por cento), passando de </w:t>
      </w:r>
      <w:r w:rsidR="00437C38" w:rsidRPr="00437C38">
        <w:rPr>
          <w:bCs/>
        </w:rPr>
        <w:t>12%</w:t>
      </w:r>
      <w:r w:rsidR="00F06AB5">
        <w:rPr>
          <w:bCs/>
        </w:rPr>
        <w:t xml:space="preserve"> (doze por cento)</w:t>
      </w:r>
      <w:r w:rsidRPr="00437C38">
        <w:rPr>
          <w:bCs/>
        </w:rPr>
        <w:t xml:space="preserve"> para </w:t>
      </w:r>
      <w:r w:rsidR="00437C38" w:rsidRPr="00437C38">
        <w:rPr>
          <w:bCs/>
        </w:rPr>
        <w:t>11,866%</w:t>
      </w:r>
      <w:r w:rsidR="00F06AB5">
        <w:rPr>
          <w:bCs/>
        </w:rPr>
        <w:t xml:space="preserve"> </w:t>
      </w:r>
      <w:r w:rsidR="00F06AB5" w:rsidRPr="00F504D6">
        <w:rPr>
          <w:bCs/>
        </w:rPr>
        <w:t>(</w:t>
      </w:r>
      <w:r w:rsidR="00F06AB5" w:rsidRPr="00F504D6">
        <w:t>onze inteiros, oitocentos e sessenta e seis milésimos por cento</w:t>
      </w:r>
      <w:r w:rsidR="00F06AB5" w:rsidRPr="00F504D6">
        <w:rPr>
          <w:bCs/>
        </w:rPr>
        <w:t>)</w:t>
      </w:r>
      <w:r w:rsidR="003367C7">
        <w:rPr>
          <w:bCs/>
        </w:rPr>
        <w:t xml:space="preserve"> </w:t>
      </w:r>
      <w:r w:rsidR="003367C7" w:rsidRPr="003367C7">
        <w:rPr>
          <w:bCs/>
          <w:u w:val="single"/>
        </w:rPr>
        <w:t>a partir de 2</w:t>
      </w:r>
      <w:r w:rsidR="006E6ADF">
        <w:rPr>
          <w:bCs/>
          <w:u w:val="single"/>
        </w:rPr>
        <w:t>2</w:t>
      </w:r>
      <w:r w:rsidR="003367C7" w:rsidRPr="003367C7">
        <w:rPr>
          <w:bCs/>
          <w:u w:val="single"/>
        </w:rPr>
        <w:t xml:space="preserve"> de </w:t>
      </w:r>
      <w:r w:rsidR="006E6ADF">
        <w:rPr>
          <w:bCs/>
          <w:u w:val="single"/>
        </w:rPr>
        <w:t>fevereiro</w:t>
      </w:r>
      <w:r w:rsidR="003367C7" w:rsidRPr="003367C7">
        <w:rPr>
          <w:bCs/>
          <w:u w:val="single"/>
        </w:rPr>
        <w:t xml:space="preserve"> de 2021</w:t>
      </w:r>
      <w:r w:rsidRPr="00437C38">
        <w:rPr>
          <w:bCs/>
        </w:rPr>
        <w:t>.</w:t>
      </w:r>
      <w:r w:rsidRPr="001938B0">
        <w:rPr>
          <w:bCs/>
        </w:rPr>
        <w:t xml:space="preserve"> </w:t>
      </w:r>
    </w:p>
    <w:p w14:paraId="21EBB161" w14:textId="77777777" w:rsidR="003E0C82" w:rsidRPr="003E0C82" w:rsidRDefault="003E0C82" w:rsidP="003E0C82">
      <w:pPr>
        <w:pStyle w:val="Par2"/>
        <w:spacing w:line="340" w:lineRule="exact"/>
      </w:pPr>
    </w:p>
    <w:p w14:paraId="487E5A9E" w14:textId="77777777" w:rsidR="003E0C82" w:rsidRPr="003E0C82" w:rsidRDefault="006D080A" w:rsidP="006D080A">
      <w:pPr>
        <w:pStyle w:val="Par2"/>
        <w:numPr>
          <w:ilvl w:val="1"/>
          <w:numId w:val="100"/>
        </w:numPr>
        <w:spacing w:line="340" w:lineRule="exact"/>
      </w:pPr>
      <w:r>
        <w:rPr>
          <w:bCs/>
        </w:rPr>
        <w:t xml:space="preserve">Dessa forma, </w:t>
      </w:r>
      <w:r w:rsidR="003E0C82">
        <w:rPr>
          <w:bCs/>
        </w:rPr>
        <w:t>o item 4 do Quadro Resumo passa a vigorar com a seguinte nova redação:</w:t>
      </w:r>
    </w:p>
    <w:p w14:paraId="3B0921FB" w14:textId="2A4AFD73" w:rsidR="003E0C82" w:rsidRPr="003E0C82" w:rsidRDefault="003E0C82" w:rsidP="003E0C82">
      <w:pPr>
        <w:pStyle w:val="Par2"/>
        <w:spacing w:line="340" w:lineRule="exact"/>
        <w:rPr>
          <w:i/>
        </w:rPr>
      </w:pPr>
    </w:p>
    <w:tbl>
      <w:tblPr>
        <w:tblStyle w:val="TableGrid"/>
        <w:tblW w:w="0" w:type="auto"/>
        <w:tblInd w:w="108" w:type="dxa"/>
        <w:tblLook w:val="04A0" w:firstRow="1" w:lastRow="0" w:firstColumn="1" w:lastColumn="0" w:noHBand="0" w:noVBand="1"/>
      </w:tblPr>
      <w:tblGrid>
        <w:gridCol w:w="693"/>
        <w:gridCol w:w="8866"/>
      </w:tblGrid>
      <w:tr w:rsidR="003E0C82" w:rsidRPr="003E0C82" w14:paraId="642274BD" w14:textId="77777777" w:rsidTr="00523AA3">
        <w:tc>
          <w:tcPr>
            <w:tcW w:w="693" w:type="dxa"/>
          </w:tcPr>
          <w:p w14:paraId="329F6FD5" w14:textId="77777777" w:rsidR="003E0C82" w:rsidRPr="003E0C82" w:rsidRDefault="003E0C82" w:rsidP="00523AA3">
            <w:pPr>
              <w:widowControl w:val="0"/>
              <w:spacing w:line="280" w:lineRule="exact"/>
              <w:jc w:val="both"/>
              <w:rPr>
                <w:rFonts w:ascii="Verdana" w:hAnsi="Verdana"/>
                <w:b/>
                <w:i/>
                <w:spacing w:val="2"/>
                <w:sz w:val="20"/>
                <w:szCs w:val="20"/>
              </w:rPr>
            </w:pPr>
            <w:r w:rsidRPr="003E0C82">
              <w:rPr>
                <w:rFonts w:ascii="Verdana" w:hAnsi="Verdana"/>
                <w:b/>
                <w:i/>
                <w:spacing w:val="2"/>
                <w:sz w:val="20"/>
                <w:szCs w:val="20"/>
              </w:rPr>
              <w:t>4</w:t>
            </w:r>
          </w:p>
        </w:tc>
        <w:tc>
          <w:tcPr>
            <w:tcW w:w="8866" w:type="dxa"/>
          </w:tcPr>
          <w:p w14:paraId="29921453" w14:textId="77777777" w:rsidR="003E0C82" w:rsidRPr="003E0C82" w:rsidRDefault="003E0C82" w:rsidP="00523AA3">
            <w:pPr>
              <w:pStyle w:val="Heading1"/>
              <w:keepNext w:val="0"/>
              <w:widowControl w:val="0"/>
              <w:spacing w:line="280" w:lineRule="exact"/>
              <w:outlineLvl w:val="0"/>
              <w:rPr>
                <w:rFonts w:ascii="Verdana" w:hAnsi="Verdana"/>
                <w:i/>
                <w:sz w:val="20"/>
                <w:szCs w:val="20"/>
              </w:rPr>
            </w:pPr>
            <w:r w:rsidRPr="003E0C82">
              <w:rPr>
                <w:rFonts w:ascii="Verdana" w:hAnsi="Verdana"/>
                <w:i/>
                <w:sz w:val="20"/>
                <w:szCs w:val="20"/>
              </w:rPr>
              <w:t>Atualização Monetária e Remuneração</w:t>
            </w:r>
          </w:p>
        </w:tc>
      </w:tr>
      <w:tr w:rsidR="003E0C82" w:rsidRPr="003E0C82" w14:paraId="23A5DDAF" w14:textId="77777777" w:rsidTr="00523AA3">
        <w:tc>
          <w:tcPr>
            <w:tcW w:w="9559" w:type="dxa"/>
            <w:gridSpan w:val="2"/>
          </w:tcPr>
          <w:p w14:paraId="18E56688" w14:textId="77777777"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i/>
                <w:spacing w:val="2"/>
                <w:sz w:val="20"/>
                <w:szCs w:val="20"/>
              </w:rPr>
              <w:t xml:space="preserve">O Valor de Principal não será atualizado monetariamente. </w:t>
            </w:r>
          </w:p>
          <w:p w14:paraId="339B2A27" w14:textId="77777777" w:rsidR="003E0C82" w:rsidRPr="003E0C82" w:rsidRDefault="003E0C82" w:rsidP="00523AA3">
            <w:pPr>
              <w:widowControl w:val="0"/>
              <w:spacing w:line="280" w:lineRule="exact"/>
              <w:jc w:val="both"/>
              <w:rPr>
                <w:rFonts w:ascii="Verdana" w:hAnsi="Verdana"/>
                <w:i/>
                <w:spacing w:val="2"/>
                <w:sz w:val="20"/>
                <w:szCs w:val="20"/>
              </w:rPr>
            </w:pPr>
          </w:p>
          <w:p w14:paraId="62ACDD3A" w14:textId="45A9514B"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bCs/>
                <w:i/>
                <w:sz w:val="20"/>
                <w:szCs w:val="20"/>
              </w:rPr>
              <w:t>Sobre o Valor de Principal ou o saldo do Valor de Principal, conforme o caso, incidirão juros remuneratórios correspondentes a 100% (cem por cento)</w:t>
            </w:r>
            <w:r w:rsidRPr="003E0C82">
              <w:rPr>
                <w:rFonts w:ascii="Verdana" w:hAnsi="Verdana" w:cstheme="minorHAnsi"/>
                <w:i/>
                <w:sz w:val="20"/>
                <w:szCs w:val="20"/>
              </w:rPr>
              <w:t xml:space="preserve"> </w:t>
            </w:r>
            <w:r w:rsidRPr="003E0C82">
              <w:rPr>
                <w:rFonts w:ascii="Verdana" w:hAnsi="Verdana"/>
                <w:bCs/>
                <w:i/>
                <w:sz w:val="20"/>
                <w:szCs w:val="20"/>
              </w:rPr>
              <w:t xml:space="preserve">da variação acumulada das taxas </w:t>
            </w:r>
            <w:r w:rsidRPr="003E0C82">
              <w:rPr>
                <w:rFonts w:ascii="Verdana" w:hAnsi="Verdana"/>
                <w:bCs/>
                <w:i/>
                <w:sz w:val="20"/>
                <w:szCs w:val="20"/>
              </w:rPr>
              <w:lastRenderedPageBreak/>
              <w:t xml:space="preserve">médias diárias dos DI – Depósitos Interfinanceiros de um dia, “over </w:t>
            </w:r>
            <w:proofErr w:type="spellStart"/>
            <w:r w:rsidRPr="003E0C82">
              <w:rPr>
                <w:rFonts w:ascii="Verdana" w:hAnsi="Verdana"/>
                <w:bCs/>
                <w:i/>
                <w:sz w:val="20"/>
                <w:szCs w:val="20"/>
              </w:rPr>
              <w:t>extra-grupo</w:t>
            </w:r>
            <w:proofErr w:type="spellEnd"/>
            <w:r w:rsidRPr="003E0C82">
              <w:rPr>
                <w:rFonts w:ascii="Verdana" w:hAnsi="Verdana"/>
                <w:bCs/>
                <w:i/>
                <w:sz w:val="20"/>
                <w:szCs w:val="20"/>
              </w:rPr>
              <w:t>”, expressas na forma percentual ao ano, base 252 (duzentos e cinquenta e dois) Dias Úteis, calculadas e divulgadas diariamente pela B3 S.A. – Brasil, Bolsa, Balcão – Segmento CETIP UTVM (“</w:t>
            </w:r>
            <w:r w:rsidRPr="003E0C82">
              <w:rPr>
                <w:rFonts w:ascii="Verdana" w:hAnsi="Verdana"/>
                <w:bCs/>
                <w:i/>
                <w:sz w:val="20"/>
                <w:szCs w:val="20"/>
                <w:u w:val="single"/>
              </w:rPr>
              <w:t>B3</w:t>
            </w:r>
            <w:r w:rsidRPr="003E0C82">
              <w:rPr>
                <w:rFonts w:ascii="Verdana" w:hAnsi="Verdana"/>
                <w:bCs/>
                <w:i/>
                <w:sz w:val="20"/>
                <w:szCs w:val="20"/>
              </w:rPr>
              <w:t>”), no informativo diário disponível em sua página na rede mundial de computadores (http://www.b3.com.br) (“</w:t>
            </w:r>
            <w:r w:rsidRPr="003E0C82">
              <w:rPr>
                <w:rFonts w:ascii="Verdana" w:hAnsi="Verdana"/>
                <w:bCs/>
                <w:i/>
                <w:sz w:val="20"/>
                <w:szCs w:val="20"/>
                <w:u w:val="single"/>
              </w:rPr>
              <w:t>Taxa DI</w:t>
            </w:r>
            <w:r w:rsidRPr="003E0C82">
              <w:rPr>
                <w:rFonts w:ascii="Verdana" w:hAnsi="Verdana"/>
                <w:bCs/>
                <w:i/>
                <w:sz w:val="20"/>
                <w:szCs w:val="20"/>
              </w:rPr>
              <w:t>”)</w:t>
            </w:r>
            <w:r w:rsidRPr="003E0C82">
              <w:rPr>
                <w:rFonts w:ascii="Verdana" w:hAnsi="Verdana" w:cstheme="minorHAnsi"/>
                <w:i/>
                <w:sz w:val="20"/>
                <w:szCs w:val="20"/>
              </w:rPr>
              <w:t xml:space="preserve">, </w:t>
            </w:r>
            <w:r w:rsidRPr="003E0C82">
              <w:rPr>
                <w:rFonts w:ascii="Verdana" w:hAnsi="Verdana"/>
                <w:bCs/>
                <w:i/>
                <w:sz w:val="20"/>
                <w:szCs w:val="20"/>
              </w:rPr>
              <w:t xml:space="preserve">acrescida de spread (sobretaxa) </w:t>
            </w:r>
            <w:r w:rsidRPr="007B35CB">
              <w:rPr>
                <w:rFonts w:ascii="Verdana" w:hAnsi="Verdana"/>
                <w:bCs/>
                <w:i/>
                <w:sz w:val="20"/>
                <w:szCs w:val="20"/>
              </w:rPr>
              <w:t>de</w:t>
            </w:r>
            <w:r w:rsidR="005C5F2A" w:rsidRPr="007B35CB">
              <w:rPr>
                <w:rFonts w:ascii="Verdana" w:hAnsi="Verdana"/>
                <w:bCs/>
                <w:i/>
                <w:sz w:val="20"/>
                <w:szCs w:val="20"/>
              </w:rPr>
              <w:t xml:space="preserve"> </w:t>
            </w:r>
            <w:bookmarkStart w:id="4" w:name="_Hlk67483410"/>
            <w:r w:rsidR="005C5F2A" w:rsidRPr="00F504D6">
              <w:rPr>
                <w:rFonts w:ascii="Verdana" w:hAnsi="Verdana"/>
                <w:bCs/>
                <w:i/>
                <w:sz w:val="20"/>
                <w:szCs w:val="20"/>
              </w:rPr>
              <w:t>11,866</w:t>
            </w:r>
            <w:r w:rsidR="005C5F2A" w:rsidRPr="00F06AB5">
              <w:rPr>
                <w:rFonts w:ascii="Verdana" w:hAnsi="Verdana"/>
                <w:i/>
                <w:sz w:val="20"/>
                <w:szCs w:val="20"/>
              </w:rPr>
              <w:t>%</w:t>
            </w:r>
            <w:r w:rsidR="005C5F2A" w:rsidRPr="004F45F0">
              <w:rPr>
                <w:rFonts w:ascii="Verdana" w:hAnsi="Verdana"/>
                <w:i/>
                <w:sz w:val="20"/>
                <w:szCs w:val="20"/>
              </w:rPr>
              <w:t xml:space="preserve"> </w:t>
            </w:r>
            <w:r w:rsidRPr="003E0C82">
              <w:rPr>
                <w:rFonts w:ascii="Verdana" w:hAnsi="Verdana"/>
                <w:bCs/>
                <w:i/>
                <w:sz w:val="20"/>
                <w:szCs w:val="20"/>
              </w:rPr>
              <w:t>(</w:t>
            </w:r>
            <w:r w:rsidR="005C5F2A" w:rsidRPr="005C5F2A">
              <w:rPr>
                <w:rFonts w:ascii="Verdana" w:hAnsi="Verdana"/>
                <w:i/>
                <w:sz w:val="20"/>
                <w:szCs w:val="20"/>
              </w:rPr>
              <w:t>onz</w:t>
            </w:r>
            <w:r w:rsidR="005C5F2A">
              <w:rPr>
                <w:rFonts w:ascii="Verdana" w:hAnsi="Verdana"/>
                <w:i/>
                <w:sz w:val="20"/>
                <w:szCs w:val="20"/>
              </w:rPr>
              <w:t>e</w:t>
            </w:r>
            <w:r w:rsidR="004F45F0">
              <w:rPr>
                <w:rFonts w:ascii="Verdana" w:hAnsi="Verdana"/>
                <w:i/>
                <w:sz w:val="20"/>
                <w:szCs w:val="20"/>
              </w:rPr>
              <w:t xml:space="preserve"> inteiros</w:t>
            </w:r>
            <w:r w:rsidR="005C5F2A">
              <w:rPr>
                <w:rFonts w:ascii="Verdana" w:hAnsi="Verdana"/>
                <w:i/>
                <w:sz w:val="20"/>
                <w:szCs w:val="20"/>
              </w:rPr>
              <w:t>,</w:t>
            </w:r>
            <w:r w:rsidR="005C5F2A" w:rsidRPr="005C5F2A">
              <w:rPr>
                <w:rFonts w:ascii="Verdana" w:hAnsi="Verdana"/>
                <w:i/>
                <w:sz w:val="20"/>
                <w:szCs w:val="20"/>
              </w:rPr>
              <w:t xml:space="preserve"> oito</w:t>
            </w:r>
            <w:r w:rsidR="00F06AB5">
              <w:rPr>
                <w:rFonts w:ascii="Verdana" w:hAnsi="Verdana"/>
                <w:i/>
                <w:sz w:val="20"/>
                <w:szCs w:val="20"/>
              </w:rPr>
              <w:t xml:space="preserve">centos </w:t>
            </w:r>
            <w:r w:rsidR="005C5F2A" w:rsidRPr="005C5F2A">
              <w:rPr>
                <w:rFonts w:ascii="Verdana" w:hAnsi="Verdana"/>
                <w:i/>
                <w:sz w:val="20"/>
                <w:szCs w:val="20"/>
              </w:rPr>
              <w:t>e sessenta e seis milésimos por cento</w:t>
            </w:r>
            <w:r w:rsidRPr="003E0C82">
              <w:rPr>
                <w:rFonts w:ascii="Verdana" w:hAnsi="Verdana"/>
                <w:bCs/>
                <w:i/>
                <w:sz w:val="20"/>
                <w:szCs w:val="20"/>
              </w:rPr>
              <w:t>)</w:t>
            </w:r>
            <w:bookmarkEnd w:id="4"/>
            <w:r w:rsidRPr="003E0C82">
              <w:rPr>
                <w:rFonts w:ascii="Verdana" w:hAnsi="Verdana"/>
                <w:bCs/>
                <w:i/>
                <w:sz w:val="20"/>
                <w:szCs w:val="20"/>
              </w:rPr>
              <w:t xml:space="preserve"> ao ano, base 252 (duzentos e cinquenta e dois) Dias Úteis, calculados de forma exponencial e cumulativa pro rata </w:t>
            </w:r>
            <w:proofErr w:type="spellStart"/>
            <w:r w:rsidRPr="003E0C82">
              <w:rPr>
                <w:rFonts w:ascii="Verdana" w:hAnsi="Verdana"/>
                <w:bCs/>
                <w:i/>
                <w:sz w:val="20"/>
                <w:szCs w:val="20"/>
              </w:rPr>
              <w:t>temporis</w:t>
            </w:r>
            <w:proofErr w:type="spellEnd"/>
            <w:r w:rsidRPr="003E0C82">
              <w:rPr>
                <w:rFonts w:ascii="Verdana" w:hAnsi="Verdana"/>
                <w:bCs/>
                <w:i/>
                <w:sz w:val="20"/>
                <w:szCs w:val="20"/>
              </w:rPr>
              <w:t xml:space="preserve">, por Dias Úteis decorridos, desde a </w:t>
            </w:r>
            <w:r w:rsidRPr="003E0C82">
              <w:rPr>
                <w:rFonts w:ascii="Verdana" w:hAnsi="Verdana" w:cstheme="minorHAnsi"/>
                <w:i/>
                <w:sz w:val="20"/>
                <w:szCs w:val="20"/>
              </w:rPr>
              <w:t xml:space="preserve">Data de Início do Período de Capitalização (conforme prevista na </w:t>
            </w:r>
            <w:r w:rsidRPr="003E0C82">
              <w:rPr>
                <w:rFonts w:ascii="Verdana" w:hAnsi="Verdana" w:cstheme="minorHAnsi"/>
                <w:i/>
                <w:sz w:val="20"/>
                <w:szCs w:val="20"/>
                <w:u w:val="single"/>
              </w:rPr>
              <w:t>Tabela A</w:t>
            </w:r>
            <w:r w:rsidRPr="003E0C82">
              <w:rPr>
                <w:rFonts w:ascii="Verdana" w:hAnsi="Verdana" w:cstheme="minorHAnsi"/>
                <w:i/>
                <w:sz w:val="20"/>
                <w:szCs w:val="20"/>
              </w:rPr>
              <w:t xml:space="preserve"> abaixo) imediatamente anterior, inclusive, conforme o caso, até a data do efetivo pagamento, exclusive </w:t>
            </w:r>
            <w:r w:rsidRPr="003E0C82">
              <w:rPr>
                <w:rFonts w:ascii="Verdana" w:hAnsi="Verdana"/>
                <w:i/>
                <w:spacing w:val="2"/>
                <w:sz w:val="20"/>
                <w:szCs w:val="20"/>
              </w:rPr>
              <w:t>(“</w:t>
            </w:r>
            <w:r w:rsidRPr="003E0C82">
              <w:rPr>
                <w:rFonts w:ascii="Verdana" w:hAnsi="Verdana"/>
                <w:i/>
                <w:spacing w:val="2"/>
                <w:sz w:val="20"/>
                <w:szCs w:val="20"/>
                <w:u w:val="single"/>
              </w:rPr>
              <w:t>Juros Remuneratórios</w:t>
            </w:r>
            <w:r w:rsidRPr="003E0C82">
              <w:rPr>
                <w:rFonts w:ascii="Verdana" w:hAnsi="Verdana"/>
                <w:i/>
                <w:spacing w:val="2"/>
                <w:sz w:val="20"/>
                <w:szCs w:val="20"/>
              </w:rPr>
              <w:t>” ou “</w:t>
            </w:r>
            <w:r w:rsidRPr="003E0C82">
              <w:rPr>
                <w:rFonts w:ascii="Verdana" w:hAnsi="Verdana"/>
                <w:i/>
                <w:spacing w:val="2"/>
                <w:sz w:val="20"/>
                <w:szCs w:val="20"/>
                <w:u w:val="single"/>
              </w:rPr>
              <w:t>Remuneração</w:t>
            </w:r>
            <w:r w:rsidRPr="003E0C82">
              <w:rPr>
                <w:rFonts w:ascii="Verdana" w:hAnsi="Verdana"/>
                <w:i/>
                <w:spacing w:val="2"/>
                <w:sz w:val="20"/>
                <w:szCs w:val="20"/>
              </w:rPr>
              <w:t>”)</w:t>
            </w:r>
            <w:r w:rsidRPr="003E0C82">
              <w:rPr>
                <w:rFonts w:ascii="Verdana" w:hAnsi="Verdana"/>
                <w:bCs/>
                <w:i/>
                <w:sz w:val="20"/>
                <w:szCs w:val="20"/>
              </w:rPr>
              <w:t xml:space="preserve">, observado o disposto na Cláusula 3.3.3 abaixo, </w:t>
            </w:r>
            <w:r w:rsidRPr="003E0C82">
              <w:rPr>
                <w:rFonts w:ascii="Verdana" w:hAnsi="Verdana"/>
                <w:i/>
                <w:spacing w:val="2"/>
                <w:sz w:val="20"/>
                <w:szCs w:val="20"/>
              </w:rPr>
              <w:t xml:space="preserve">cujo cálculo está previsto na Cláusula 3.3 abaixo e respectivos subitens abaixo. </w:t>
            </w:r>
          </w:p>
          <w:p w14:paraId="1CAFE9B7" w14:textId="77777777" w:rsidR="003E0C82" w:rsidRPr="003E0C82" w:rsidRDefault="003E0C82" w:rsidP="00523AA3">
            <w:pPr>
              <w:widowControl w:val="0"/>
              <w:spacing w:line="280" w:lineRule="exact"/>
              <w:jc w:val="both"/>
              <w:rPr>
                <w:rFonts w:ascii="Verdana" w:hAnsi="Verdana"/>
                <w:i/>
                <w:spacing w:val="2"/>
                <w:sz w:val="20"/>
                <w:szCs w:val="20"/>
              </w:rPr>
            </w:pPr>
          </w:p>
        </w:tc>
      </w:tr>
    </w:tbl>
    <w:p w14:paraId="7A30865C" w14:textId="77777777" w:rsidR="003E0C82" w:rsidRPr="003E0C82" w:rsidRDefault="003E0C82" w:rsidP="003E0C82">
      <w:pPr>
        <w:pStyle w:val="Par2"/>
        <w:spacing w:line="340" w:lineRule="exact"/>
      </w:pPr>
    </w:p>
    <w:p w14:paraId="7BD77F5F" w14:textId="71209810" w:rsidR="006D080A" w:rsidRPr="006D080A" w:rsidRDefault="003E0C82" w:rsidP="00F22201">
      <w:pPr>
        <w:pStyle w:val="Par2"/>
        <w:numPr>
          <w:ilvl w:val="1"/>
          <w:numId w:val="100"/>
        </w:numPr>
        <w:spacing w:line="340" w:lineRule="exact"/>
      </w:pPr>
      <w:r w:rsidRPr="003E0C82">
        <w:rPr>
          <w:bCs/>
        </w:rPr>
        <w:t>Adicionalmente</w:t>
      </w:r>
      <w:r w:rsidR="00AD5B89">
        <w:rPr>
          <w:bCs/>
        </w:rPr>
        <w:t>,</w:t>
      </w:r>
      <w:r w:rsidRPr="003E0C82">
        <w:rPr>
          <w:bCs/>
        </w:rPr>
        <w:t xml:space="preserve"> a</w:t>
      </w:r>
      <w:r w:rsidR="006D080A" w:rsidRPr="003E0C82">
        <w:rPr>
          <w:bCs/>
        </w:rPr>
        <w:t xml:space="preserve"> Cláusula </w:t>
      </w:r>
      <w:r>
        <w:rPr>
          <w:bCs/>
        </w:rPr>
        <w:t>3</w:t>
      </w:r>
      <w:r w:rsidR="006D080A" w:rsidRPr="003E0C82">
        <w:rPr>
          <w:bCs/>
        </w:rPr>
        <w:t xml:space="preserve">.3 da CCB passa a vigorar com a seguinte nova redação: </w:t>
      </w:r>
    </w:p>
    <w:p w14:paraId="41FD69D6" w14:textId="77777777" w:rsidR="006D080A" w:rsidRPr="001938B0" w:rsidRDefault="006D080A" w:rsidP="006D080A">
      <w:pPr>
        <w:pStyle w:val="BodyText"/>
        <w:widowControl w:val="0"/>
        <w:tabs>
          <w:tab w:val="left" w:pos="709"/>
        </w:tabs>
        <w:spacing w:after="0" w:line="280" w:lineRule="exact"/>
        <w:jc w:val="both"/>
        <w:rPr>
          <w:rFonts w:ascii="Verdana" w:hAnsi="Verdana"/>
          <w:spacing w:val="2"/>
          <w:sz w:val="20"/>
          <w:szCs w:val="20"/>
        </w:rPr>
      </w:pPr>
    </w:p>
    <w:p w14:paraId="31D20A70" w14:textId="0BA09313" w:rsidR="006D080A" w:rsidRPr="003367C7" w:rsidRDefault="00AD5B89" w:rsidP="006D080A">
      <w:pPr>
        <w:pStyle w:val="BodyText"/>
        <w:widowControl w:val="0"/>
        <w:tabs>
          <w:tab w:val="left" w:pos="709"/>
        </w:tabs>
        <w:spacing w:after="0" w:line="280" w:lineRule="exact"/>
        <w:jc w:val="both"/>
        <w:rPr>
          <w:rFonts w:ascii="Verdana" w:hAnsi="Verdana"/>
          <w:i/>
          <w:sz w:val="20"/>
          <w:szCs w:val="20"/>
        </w:rPr>
      </w:pPr>
      <w:r>
        <w:rPr>
          <w:rFonts w:ascii="Verdana" w:hAnsi="Verdana"/>
          <w:i/>
          <w:spacing w:val="2"/>
          <w:sz w:val="20"/>
          <w:szCs w:val="20"/>
          <w:u w:val="single"/>
        </w:rPr>
        <w:t>“</w:t>
      </w:r>
      <w:r w:rsidR="003E0C82" w:rsidRPr="003E0C82">
        <w:rPr>
          <w:rFonts w:ascii="Verdana" w:hAnsi="Verdana"/>
          <w:i/>
          <w:spacing w:val="2"/>
          <w:sz w:val="20"/>
          <w:szCs w:val="20"/>
          <w:u w:val="single"/>
        </w:rPr>
        <w:t>3.</w:t>
      </w:r>
      <w:r w:rsidR="006D080A" w:rsidRPr="003E0C82">
        <w:rPr>
          <w:rFonts w:ascii="Verdana" w:hAnsi="Verdana"/>
          <w:i/>
          <w:spacing w:val="2"/>
          <w:sz w:val="20"/>
          <w:szCs w:val="20"/>
          <w:u w:val="single"/>
        </w:rPr>
        <w:t>3.</w:t>
      </w:r>
      <w:r w:rsidR="006D080A" w:rsidRPr="003E0C82">
        <w:rPr>
          <w:rFonts w:ascii="Verdana" w:hAnsi="Verdana"/>
          <w:i/>
          <w:spacing w:val="2"/>
          <w:sz w:val="20"/>
          <w:szCs w:val="20"/>
          <w:u w:val="single"/>
        </w:rPr>
        <w:tab/>
        <w:t>Cálculo dos Juros Remuneratórios</w:t>
      </w:r>
      <w:r w:rsidR="006D080A" w:rsidRPr="003E0C82">
        <w:rPr>
          <w:rFonts w:ascii="Verdana" w:hAnsi="Verdana"/>
          <w:i/>
          <w:spacing w:val="2"/>
          <w:sz w:val="20"/>
          <w:szCs w:val="20"/>
        </w:rPr>
        <w:t>:</w:t>
      </w:r>
      <w:r w:rsidR="006D080A" w:rsidRPr="003E0C82">
        <w:rPr>
          <w:rFonts w:ascii="Verdana" w:hAnsi="Verdana"/>
          <w:i/>
          <w:sz w:val="20"/>
          <w:szCs w:val="20"/>
        </w:rPr>
        <w:t xml:space="preserve"> </w:t>
      </w:r>
      <w:r w:rsidR="006D080A" w:rsidRPr="003E0C82">
        <w:rPr>
          <w:rFonts w:ascii="Verdana" w:hAnsi="Verdana"/>
          <w:i/>
          <w:spacing w:val="2"/>
          <w:sz w:val="20"/>
          <w:szCs w:val="20"/>
        </w:rPr>
        <w:t>sobre</w:t>
      </w:r>
      <w:r w:rsidR="006D080A" w:rsidRPr="003E0C82">
        <w:rPr>
          <w:rFonts w:ascii="Verdana" w:hAnsi="Verdana"/>
          <w:i/>
          <w:sz w:val="20"/>
          <w:szCs w:val="20"/>
        </w:rPr>
        <w:t xml:space="preserve"> o Valor de Principal ou saldo do Valor de Principal, conforme o caso, incidirão juros remuneratórios correspondentes a 100% (cem por cento) da Taxa DI, acrescida de </w:t>
      </w:r>
      <w:r w:rsidR="006D080A" w:rsidRPr="003E0C82">
        <w:rPr>
          <w:rFonts w:ascii="Verdana" w:hAnsi="Verdana"/>
          <w:i/>
          <w:iCs/>
          <w:sz w:val="20"/>
          <w:szCs w:val="20"/>
        </w:rPr>
        <w:t xml:space="preserve">spread </w:t>
      </w:r>
      <w:r w:rsidR="006D080A" w:rsidRPr="003E0C82">
        <w:rPr>
          <w:rFonts w:ascii="Verdana" w:hAnsi="Verdana"/>
          <w:i/>
          <w:sz w:val="20"/>
          <w:szCs w:val="20"/>
        </w:rPr>
        <w:t xml:space="preserve">(sobretaxa) </w:t>
      </w:r>
      <w:r w:rsidR="006D080A" w:rsidRPr="004F45F0">
        <w:rPr>
          <w:rFonts w:ascii="Verdana" w:hAnsi="Verdana"/>
          <w:i/>
          <w:sz w:val="20"/>
          <w:szCs w:val="20"/>
        </w:rPr>
        <w:t xml:space="preserve">de </w:t>
      </w:r>
      <w:r w:rsidR="006D2254" w:rsidRPr="00F504D6">
        <w:rPr>
          <w:rFonts w:ascii="Verdana" w:hAnsi="Verdana"/>
          <w:bCs/>
          <w:i/>
          <w:sz w:val="20"/>
          <w:szCs w:val="20"/>
        </w:rPr>
        <w:t>11,866</w:t>
      </w:r>
      <w:r w:rsidR="006D080A" w:rsidRPr="004F45F0">
        <w:rPr>
          <w:rFonts w:ascii="Verdana" w:hAnsi="Verdana"/>
          <w:i/>
          <w:sz w:val="20"/>
          <w:szCs w:val="20"/>
        </w:rPr>
        <w:t>%</w:t>
      </w:r>
      <w:r w:rsidR="006D080A" w:rsidRPr="003367C7">
        <w:rPr>
          <w:rFonts w:ascii="Verdana" w:hAnsi="Verdana"/>
          <w:i/>
          <w:sz w:val="20"/>
          <w:szCs w:val="20"/>
        </w:rPr>
        <w:t xml:space="preserve"> (</w:t>
      </w:r>
      <w:r w:rsidR="006D2254" w:rsidRPr="003367C7">
        <w:rPr>
          <w:rFonts w:ascii="Verdana" w:hAnsi="Verdana"/>
          <w:i/>
          <w:sz w:val="20"/>
          <w:szCs w:val="20"/>
        </w:rPr>
        <w:t>onz</w:t>
      </w:r>
      <w:r w:rsidR="005C5F2A" w:rsidRPr="003367C7">
        <w:rPr>
          <w:rFonts w:ascii="Verdana" w:hAnsi="Verdana"/>
          <w:i/>
          <w:sz w:val="20"/>
          <w:szCs w:val="20"/>
        </w:rPr>
        <w:t>e</w:t>
      </w:r>
      <w:r w:rsidR="004F45F0">
        <w:rPr>
          <w:rFonts w:ascii="Verdana" w:hAnsi="Verdana"/>
          <w:i/>
          <w:sz w:val="20"/>
          <w:szCs w:val="20"/>
        </w:rPr>
        <w:t xml:space="preserve"> inteiros</w:t>
      </w:r>
      <w:r w:rsidR="005C5F2A" w:rsidRPr="003367C7">
        <w:rPr>
          <w:rFonts w:ascii="Verdana" w:hAnsi="Verdana"/>
          <w:i/>
          <w:sz w:val="20"/>
          <w:szCs w:val="20"/>
        </w:rPr>
        <w:t>, oito</w:t>
      </w:r>
      <w:r w:rsidR="004F45F0">
        <w:rPr>
          <w:rFonts w:ascii="Verdana" w:hAnsi="Verdana"/>
          <w:i/>
          <w:sz w:val="20"/>
          <w:szCs w:val="20"/>
        </w:rPr>
        <w:t>centos</w:t>
      </w:r>
      <w:r w:rsidR="005C5F2A" w:rsidRPr="003367C7">
        <w:rPr>
          <w:rFonts w:ascii="Verdana" w:hAnsi="Verdana"/>
          <w:i/>
          <w:sz w:val="20"/>
          <w:szCs w:val="20"/>
        </w:rPr>
        <w:t xml:space="preserve"> e sessenta e seis milésimos </w:t>
      </w:r>
      <w:r w:rsidR="006D080A" w:rsidRPr="003367C7">
        <w:rPr>
          <w:rFonts w:ascii="Verdana" w:hAnsi="Verdana"/>
          <w:i/>
          <w:sz w:val="20"/>
          <w:szCs w:val="20"/>
        </w:rPr>
        <w:t>por cento) ao ano (“</w:t>
      </w:r>
      <w:r w:rsidR="006D080A" w:rsidRPr="003367C7">
        <w:rPr>
          <w:rFonts w:ascii="Verdana" w:hAnsi="Verdana"/>
          <w:i/>
          <w:sz w:val="20"/>
          <w:szCs w:val="20"/>
          <w:u w:val="single"/>
        </w:rPr>
        <w:t>Sobretaxa</w:t>
      </w:r>
      <w:r w:rsidR="006D080A" w:rsidRPr="003367C7">
        <w:rPr>
          <w:rFonts w:ascii="Verdana" w:hAnsi="Verdana"/>
          <w:i/>
          <w:sz w:val="20"/>
          <w:szCs w:val="20"/>
        </w:rPr>
        <w:t xml:space="preserve">”), base 252 (duzentos e cinquenta e dois) Dias Úteis, calculados de forma exponencial e cumulativa pro rata </w:t>
      </w:r>
      <w:proofErr w:type="spellStart"/>
      <w:r w:rsidR="006D080A" w:rsidRPr="003367C7">
        <w:rPr>
          <w:rFonts w:ascii="Verdana" w:hAnsi="Verdana"/>
          <w:i/>
          <w:sz w:val="20"/>
          <w:szCs w:val="20"/>
        </w:rPr>
        <w:t>temporis</w:t>
      </w:r>
      <w:proofErr w:type="spellEnd"/>
      <w:r w:rsidR="006D080A" w:rsidRPr="003367C7">
        <w:rPr>
          <w:rFonts w:ascii="Verdana" w:hAnsi="Verdana"/>
          <w:i/>
          <w:sz w:val="20"/>
          <w:szCs w:val="20"/>
        </w:rPr>
        <w:t xml:space="preserve">, por Dias Úteis decorridos, desde a </w:t>
      </w:r>
      <w:r w:rsidR="006D080A" w:rsidRPr="003367C7">
        <w:rPr>
          <w:rFonts w:ascii="Verdana" w:hAnsi="Verdana" w:cstheme="minorHAnsi"/>
          <w:i/>
          <w:sz w:val="20"/>
          <w:szCs w:val="20"/>
        </w:rPr>
        <w:t xml:space="preserve">Data de Início do Período de Capitalização (conforme prevista na </w:t>
      </w:r>
      <w:r w:rsidR="006D080A" w:rsidRPr="003367C7">
        <w:rPr>
          <w:rFonts w:ascii="Verdana" w:hAnsi="Verdana" w:cstheme="minorHAnsi"/>
          <w:i/>
          <w:sz w:val="20"/>
          <w:szCs w:val="20"/>
          <w:u w:val="single"/>
        </w:rPr>
        <w:t>Tabela A</w:t>
      </w:r>
      <w:r w:rsidR="006D080A" w:rsidRPr="003367C7">
        <w:rPr>
          <w:rFonts w:ascii="Verdana" w:hAnsi="Verdana" w:cstheme="minorHAnsi"/>
          <w:i/>
          <w:sz w:val="20"/>
          <w:szCs w:val="20"/>
        </w:rPr>
        <w:t xml:space="preserve"> abaixo) imediatamente anterior (inclusive), conforme o caso, </w:t>
      </w:r>
      <w:r w:rsidR="006D080A" w:rsidRPr="003367C7">
        <w:rPr>
          <w:rFonts w:ascii="Verdana" w:hAnsi="Verdana"/>
          <w:i/>
          <w:sz w:val="20"/>
          <w:szCs w:val="20"/>
        </w:rPr>
        <w:t xml:space="preserve">até a data do efetivo pagamento (exclusive), observado o disposto na Cláusula 3.3.3 abaixo, calculados de acordo com a fórmula abaixo: </w:t>
      </w:r>
    </w:p>
    <w:p w14:paraId="3FE7039B" w14:textId="1C8228D4" w:rsidR="003E0C82" w:rsidRDefault="003E0C82" w:rsidP="006D080A">
      <w:pPr>
        <w:pStyle w:val="BodyText"/>
        <w:widowControl w:val="0"/>
        <w:tabs>
          <w:tab w:val="left" w:pos="709"/>
        </w:tabs>
        <w:spacing w:after="0" w:line="280" w:lineRule="exact"/>
        <w:jc w:val="both"/>
        <w:rPr>
          <w:rFonts w:ascii="Verdana" w:hAnsi="Verdana"/>
          <w:i/>
          <w:sz w:val="20"/>
          <w:szCs w:val="20"/>
        </w:rPr>
      </w:pPr>
    </w:p>
    <w:p w14:paraId="7A5AFA7E" w14:textId="4F74B5D4" w:rsidR="006D080A" w:rsidRPr="003E0C82" w:rsidRDefault="003E0C82" w:rsidP="003E0C82">
      <w:pPr>
        <w:pStyle w:val="BodyText"/>
        <w:widowControl w:val="0"/>
        <w:tabs>
          <w:tab w:val="left" w:pos="709"/>
        </w:tabs>
        <w:spacing w:after="0" w:line="280" w:lineRule="exact"/>
        <w:jc w:val="both"/>
        <w:rPr>
          <w:rFonts w:ascii="Verdana" w:hAnsi="Verdana"/>
          <w:i/>
          <w:sz w:val="20"/>
          <w:szCs w:val="20"/>
        </w:rPr>
      </w:pPr>
      <w:r>
        <w:rPr>
          <w:rFonts w:ascii="Verdana" w:hAnsi="Verdana"/>
          <w:i/>
          <w:sz w:val="20"/>
          <w:szCs w:val="20"/>
        </w:rPr>
        <w:t>(...)</w:t>
      </w:r>
      <w:r w:rsidR="00AD5B89">
        <w:rPr>
          <w:rFonts w:ascii="Verdana" w:hAnsi="Verdana"/>
          <w:i/>
          <w:sz w:val="20"/>
          <w:szCs w:val="20"/>
        </w:rPr>
        <w:t>”</w:t>
      </w:r>
    </w:p>
    <w:p w14:paraId="520E1B20" w14:textId="02336B40"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5B4D285E" w14:textId="77777777" w:rsidR="003E0C82" w:rsidRPr="003E0C82" w:rsidRDefault="003E0C82" w:rsidP="003E0C82">
      <w:pPr>
        <w:pStyle w:val="ListParagraph"/>
        <w:spacing w:line="280" w:lineRule="exact"/>
        <w:ind w:left="709"/>
        <w:jc w:val="both"/>
        <w:rPr>
          <w:rFonts w:ascii="Verdana" w:hAnsi="Verdana"/>
          <w:sz w:val="20"/>
          <w:szCs w:val="20"/>
        </w:rPr>
      </w:pPr>
    </w:p>
    <w:p w14:paraId="3A1272F8" w14:textId="1C46BF04"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bookmarkStart w:id="5" w:name="_Toc43598665"/>
      <w:r w:rsidRPr="003E0C82">
        <w:rPr>
          <w:rFonts w:ascii="Verdana" w:hAnsi="Verdana"/>
          <w:b/>
          <w:spacing w:val="2"/>
          <w:sz w:val="20"/>
          <w:szCs w:val="20"/>
          <w:u w:val="single"/>
        </w:rPr>
        <w:t>II.</w:t>
      </w:r>
      <w:r w:rsidRPr="003E0C82">
        <w:rPr>
          <w:rFonts w:ascii="Verdana" w:hAnsi="Verdana"/>
          <w:b/>
          <w:spacing w:val="2"/>
          <w:sz w:val="20"/>
          <w:szCs w:val="20"/>
          <w:u w:val="single"/>
        </w:rPr>
        <w:tab/>
        <w:t>DECLARAÇÕES E RATIFICAÇÕES</w:t>
      </w:r>
    </w:p>
    <w:p w14:paraId="70D15F3F"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2B3FD4D8" w14:textId="7957ADF6" w:rsidR="003E0C82" w:rsidRPr="003E0C82" w:rsidRDefault="003E0C82" w:rsidP="003E0C82">
      <w:pPr>
        <w:pStyle w:val="ListParagraph"/>
        <w:numPr>
          <w:ilvl w:val="1"/>
          <w:numId w:val="102"/>
        </w:numPr>
        <w:spacing w:line="280" w:lineRule="exact"/>
        <w:jc w:val="both"/>
        <w:rPr>
          <w:rFonts w:ascii="Verdana" w:hAnsi="Verdana" w:cs="Times"/>
          <w:bCs/>
          <w:spacing w:val="2"/>
          <w:sz w:val="20"/>
          <w:szCs w:val="20"/>
        </w:rPr>
      </w:pPr>
      <w:r w:rsidRPr="003E0C82">
        <w:rPr>
          <w:rFonts w:ascii="Verdana" w:hAnsi="Verdana" w:cs="Times"/>
          <w:bCs/>
          <w:spacing w:val="2"/>
          <w:sz w:val="20"/>
          <w:szCs w:val="20"/>
        </w:rPr>
        <w:t>As alterações feitas por meio deste Aditamento não implicam em novação, pelo que permanecem ainda válidas e em vigor todas as obrigações, cláusulas, termos e condições previstas na CCB que não tenham sido expressamente alterados nos termos deste Aditamento.</w:t>
      </w:r>
    </w:p>
    <w:p w14:paraId="4AD53E1B"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71BC7144" w14:textId="64B7E47A" w:rsidR="003E0C82" w:rsidRPr="003E0C82" w:rsidRDefault="003E0C82" w:rsidP="003E0C82">
      <w:pPr>
        <w:pStyle w:val="CharChar1CharCharCharChar1CharCharCharCharCharCharCharCharCharCharCharCharCharCharCharCharCharCharCharCharCharCharCharCharCharChar"/>
        <w:suppressAutoHyphens/>
        <w:spacing w:after="0" w:line="280" w:lineRule="exact"/>
        <w:rPr>
          <w:rFonts w:cstheme="minorHAnsi"/>
          <w:b/>
          <w:u w:val="single"/>
          <w:lang w:val="pt-BR"/>
        </w:rPr>
      </w:pPr>
      <w:r>
        <w:rPr>
          <w:rFonts w:cstheme="minorHAnsi"/>
          <w:b/>
          <w:u w:val="single"/>
          <w:lang w:val="pt-BR"/>
        </w:rPr>
        <w:t>III.</w:t>
      </w:r>
      <w:r>
        <w:rPr>
          <w:rFonts w:cstheme="minorHAnsi"/>
          <w:b/>
          <w:u w:val="single"/>
          <w:lang w:val="pt-BR"/>
        </w:rPr>
        <w:tab/>
      </w:r>
      <w:r w:rsidRPr="003E0C82">
        <w:rPr>
          <w:rFonts w:cstheme="minorHAnsi"/>
          <w:b/>
          <w:u w:val="single"/>
          <w:lang w:val="pt-BR"/>
        </w:rPr>
        <w:t>DISPOSIÇÕES GERAIS</w:t>
      </w:r>
      <w:bookmarkEnd w:id="5"/>
    </w:p>
    <w:p w14:paraId="3C2564EC" w14:textId="77777777" w:rsidR="003E0C82" w:rsidRPr="003E0C82" w:rsidRDefault="003E0C82" w:rsidP="003E0C82">
      <w:pPr>
        <w:pStyle w:val="ListParagraph"/>
        <w:spacing w:line="280" w:lineRule="exact"/>
        <w:rPr>
          <w:rFonts w:ascii="Verdana" w:hAnsi="Verdana" w:cs="Tahoma"/>
          <w:sz w:val="20"/>
          <w:szCs w:val="20"/>
        </w:rPr>
      </w:pPr>
    </w:p>
    <w:p w14:paraId="019D7DCA" w14:textId="26AC2924" w:rsidR="003E0C82" w:rsidRPr="003E0C82" w:rsidRDefault="003E0C82" w:rsidP="003E0C82">
      <w:pPr>
        <w:spacing w:line="280" w:lineRule="exact"/>
        <w:ind w:left="851" w:hanging="851"/>
        <w:jc w:val="both"/>
        <w:rPr>
          <w:rFonts w:ascii="Verdana" w:hAnsi="Verdana" w:cs="Tahoma"/>
          <w:sz w:val="20"/>
          <w:szCs w:val="20"/>
        </w:rPr>
      </w:pPr>
      <w:r w:rsidRPr="003E0C82">
        <w:rPr>
          <w:rFonts w:ascii="Verdana" w:hAnsi="Verdana" w:cs="Tahoma"/>
          <w:sz w:val="20"/>
          <w:szCs w:val="20"/>
        </w:rPr>
        <w:t>3.1.</w:t>
      </w:r>
      <w:r w:rsidRPr="003E0C82">
        <w:rPr>
          <w:rFonts w:ascii="Verdana" w:hAnsi="Verdana" w:cs="Tahoma"/>
          <w:sz w:val="20"/>
          <w:szCs w:val="20"/>
        </w:rPr>
        <w:tab/>
      </w:r>
      <w:r w:rsidRPr="003E0C82">
        <w:rPr>
          <w:rFonts w:ascii="Verdana" w:hAnsi="Verdana" w:cs="Tahoma"/>
          <w:sz w:val="20"/>
          <w:szCs w:val="20"/>
          <w:u w:val="single"/>
        </w:rPr>
        <w:t>Definições</w:t>
      </w:r>
      <w:r w:rsidRPr="003E0C82">
        <w:rPr>
          <w:rFonts w:ascii="Verdana" w:hAnsi="Verdana" w:cs="Tahoma"/>
          <w:sz w:val="20"/>
          <w:szCs w:val="20"/>
        </w:rPr>
        <w:t xml:space="preserve">. Termos grafados em letras maiúsculas aqui utilizados, mas não definidos neste Aditamento de outra forma, terão os significados a eles atribuídos </w:t>
      </w:r>
      <w:r w:rsidR="008959F7">
        <w:rPr>
          <w:rFonts w:ascii="Verdana" w:hAnsi="Verdana" w:cs="Tahoma"/>
          <w:sz w:val="20"/>
          <w:szCs w:val="20"/>
        </w:rPr>
        <w:t>na CCB</w:t>
      </w:r>
      <w:r w:rsidRPr="003E0C82">
        <w:rPr>
          <w:rFonts w:ascii="Verdana" w:hAnsi="Verdana" w:cs="Tahoma"/>
          <w:sz w:val="20"/>
          <w:szCs w:val="20"/>
        </w:rPr>
        <w:t xml:space="preserve">. </w:t>
      </w:r>
    </w:p>
    <w:p w14:paraId="11EF6FE0" w14:textId="77777777" w:rsidR="003E0C82" w:rsidRPr="003E0C82" w:rsidRDefault="003E0C82" w:rsidP="003E0C82">
      <w:pPr>
        <w:pStyle w:val="ListParagraph"/>
        <w:spacing w:line="280" w:lineRule="exact"/>
        <w:ind w:left="851" w:hanging="851"/>
        <w:rPr>
          <w:rFonts w:ascii="Verdana" w:hAnsi="Verdana" w:cs="Tahoma"/>
          <w:sz w:val="20"/>
          <w:szCs w:val="20"/>
        </w:rPr>
      </w:pPr>
    </w:p>
    <w:p w14:paraId="29A38E6A" w14:textId="4F291A48"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3.2.</w:t>
      </w:r>
      <w:r w:rsidRPr="003E0C82">
        <w:rPr>
          <w:rFonts w:ascii="Verdana" w:hAnsi="Verdana" w:cs="Tahoma"/>
          <w:sz w:val="20"/>
          <w:szCs w:val="20"/>
        </w:rPr>
        <w:tab/>
      </w:r>
      <w:r w:rsidRPr="003E0C82">
        <w:rPr>
          <w:rFonts w:ascii="Verdana" w:hAnsi="Verdana" w:cs="Tahoma"/>
          <w:sz w:val="20"/>
          <w:szCs w:val="20"/>
          <w:u w:val="single"/>
        </w:rPr>
        <w:t>Validade, Legalidade e Exequibilidade</w:t>
      </w:r>
      <w:r w:rsidRPr="003E0C82">
        <w:rPr>
          <w:rFonts w:ascii="Verdana" w:hAnsi="Verdana" w:cs="Tahoma"/>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029B33AB" w14:textId="77777777" w:rsidR="003E0C82" w:rsidRPr="003E0C82" w:rsidRDefault="003E0C82" w:rsidP="003E0C82">
      <w:pPr>
        <w:pStyle w:val="ListParagraph"/>
        <w:spacing w:line="280" w:lineRule="exact"/>
        <w:ind w:left="851" w:hanging="851"/>
        <w:rPr>
          <w:rFonts w:ascii="Verdana" w:hAnsi="Verdana" w:cs="Tahoma"/>
          <w:sz w:val="20"/>
          <w:szCs w:val="20"/>
        </w:rPr>
      </w:pPr>
    </w:p>
    <w:p w14:paraId="1719D6F7" w14:textId="6E6A06BE"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lastRenderedPageBreak/>
        <w:t>3.3.</w:t>
      </w:r>
      <w:r w:rsidRPr="003E0C82">
        <w:rPr>
          <w:rFonts w:ascii="Verdana" w:hAnsi="Verdana" w:cs="Tahoma"/>
          <w:sz w:val="20"/>
          <w:szCs w:val="20"/>
        </w:rPr>
        <w:tab/>
      </w:r>
      <w:r w:rsidRPr="003E0C82">
        <w:rPr>
          <w:rFonts w:ascii="Verdana" w:hAnsi="Verdana" w:cs="Tahoma"/>
          <w:sz w:val="20"/>
          <w:szCs w:val="20"/>
          <w:u w:val="single"/>
        </w:rPr>
        <w:t>Novação</w:t>
      </w:r>
      <w:r w:rsidRPr="003E0C82">
        <w:rPr>
          <w:rFonts w:ascii="Verdana" w:hAnsi="Verdana" w:cs="Tahoma"/>
          <w:sz w:val="20"/>
          <w:szCs w:val="20"/>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55588787" w14:textId="77777777" w:rsidR="003E0C82" w:rsidRPr="003E0C82" w:rsidRDefault="003E0C82" w:rsidP="003E0C82">
      <w:pPr>
        <w:pStyle w:val="ListParagraph"/>
        <w:spacing w:line="280" w:lineRule="exact"/>
        <w:ind w:left="851" w:hanging="851"/>
        <w:rPr>
          <w:rFonts w:ascii="Verdana" w:hAnsi="Verdana" w:cs="Tahoma"/>
          <w:sz w:val="20"/>
          <w:szCs w:val="20"/>
        </w:rPr>
      </w:pPr>
    </w:p>
    <w:p w14:paraId="40542B4F" w14:textId="19A6B15C" w:rsidR="003E0C82" w:rsidRPr="003E0C82" w:rsidRDefault="003E0C82" w:rsidP="003E0C82">
      <w:pPr>
        <w:pStyle w:val="ListParagraph"/>
        <w:spacing w:line="280" w:lineRule="exact"/>
        <w:ind w:left="851" w:hanging="851"/>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r>
      <w:r w:rsidRPr="003E0C82">
        <w:rPr>
          <w:rFonts w:ascii="Verdana" w:hAnsi="Verdana" w:cs="Tahoma"/>
          <w:sz w:val="20"/>
          <w:szCs w:val="20"/>
        </w:rPr>
        <w:t xml:space="preserve">Os direitos de cada parte previstos neste Aditamento </w:t>
      </w:r>
      <w:r w:rsidRPr="003E0C82">
        <w:rPr>
          <w:rFonts w:ascii="Verdana" w:hAnsi="Verdana" w:cs="Tahoma"/>
          <w:b/>
          <w:bCs/>
          <w:sz w:val="20"/>
          <w:szCs w:val="20"/>
        </w:rPr>
        <w:t>(i)</w:t>
      </w:r>
      <w:r w:rsidRPr="003E0C82">
        <w:rPr>
          <w:rFonts w:ascii="Verdana" w:hAnsi="Verdana" w:cs="Tahoma"/>
          <w:sz w:val="20"/>
          <w:szCs w:val="20"/>
        </w:rPr>
        <w:t xml:space="preserve"> são cumulativos com outros direitos previstos em lei ou em negócio jurídico, a menos que expressamente os excluam; e </w:t>
      </w:r>
      <w:r w:rsidRPr="003E0C82">
        <w:rPr>
          <w:rFonts w:ascii="Verdana" w:hAnsi="Verdana" w:cs="Tahoma"/>
          <w:b/>
          <w:bCs/>
          <w:sz w:val="20"/>
          <w:szCs w:val="20"/>
        </w:rPr>
        <w:t>(</w:t>
      </w:r>
      <w:proofErr w:type="spellStart"/>
      <w:r w:rsidRPr="003E0C82">
        <w:rPr>
          <w:rFonts w:ascii="Verdana" w:hAnsi="Verdana" w:cs="Tahoma"/>
          <w:b/>
          <w:bCs/>
          <w:sz w:val="20"/>
          <w:szCs w:val="20"/>
        </w:rPr>
        <w:t>ii</w:t>
      </w:r>
      <w:proofErr w:type="spellEnd"/>
      <w:r w:rsidRPr="003E0C82">
        <w:rPr>
          <w:rFonts w:ascii="Verdana" w:hAnsi="Verdana" w:cs="Tahoma"/>
          <w:b/>
          <w:bCs/>
          <w:sz w:val="20"/>
          <w:szCs w:val="20"/>
        </w:rPr>
        <w:t>)</w:t>
      </w:r>
      <w:r w:rsidRPr="003E0C82">
        <w:rPr>
          <w:rFonts w:ascii="Verdana" w:hAnsi="Verdana" w:cs="Tahoma"/>
          <w:sz w:val="20"/>
          <w:szCs w:val="20"/>
        </w:rPr>
        <w:t xml:space="preserve">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p>
    <w:p w14:paraId="780E4F03" w14:textId="77777777" w:rsidR="003E0C82" w:rsidRPr="003E0C82" w:rsidRDefault="003E0C82" w:rsidP="003E0C82">
      <w:pPr>
        <w:pStyle w:val="ListParagraph"/>
        <w:spacing w:line="280" w:lineRule="exact"/>
        <w:ind w:left="851" w:hanging="851"/>
        <w:jc w:val="both"/>
        <w:rPr>
          <w:rFonts w:ascii="Verdana" w:hAnsi="Verdana" w:cs="Tahoma"/>
          <w:sz w:val="20"/>
          <w:szCs w:val="20"/>
        </w:rPr>
      </w:pPr>
    </w:p>
    <w:p w14:paraId="57FA13B5" w14:textId="2215DABA"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3.5.</w:t>
      </w:r>
      <w:r w:rsidRPr="003E0C82">
        <w:rPr>
          <w:rFonts w:ascii="Verdana" w:hAnsi="Verdana" w:cs="Tahoma"/>
          <w:sz w:val="20"/>
          <w:szCs w:val="20"/>
        </w:rPr>
        <w:tab/>
      </w:r>
      <w:r w:rsidRPr="003E0C82">
        <w:rPr>
          <w:rFonts w:ascii="Verdana" w:hAnsi="Verdana" w:cs="Tahoma"/>
          <w:sz w:val="20"/>
          <w:szCs w:val="20"/>
          <w:u w:val="single"/>
        </w:rPr>
        <w:t>Foro</w:t>
      </w:r>
      <w:r w:rsidRPr="003E0C82">
        <w:rPr>
          <w:rFonts w:ascii="Verdana" w:hAnsi="Verdana" w:cs="Tahoma"/>
          <w:sz w:val="20"/>
          <w:szCs w:val="20"/>
        </w:rPr>
        <w:t xml:space="preserve">. </w:t>
      </w:r>
      <w:r w:rsidRPr="003E0C82">
        <w:rPr>
          <w:rFonts w:ascii="Verdana" w:hAnsi="Verdana"/>
          <w:sz w:val="20"/>
          <w:szCs w:val="20"/>
        </w:rPr>
        <w:t xml:space="preserve">As Partes elegem o Foro da Comarca de São Paulo como único competente para dirimir todo litígio ou controvérsia originária ou decorrente deste </w:t>
      </w:r>
      <w:r w:rsidR="008959F7">
        <w:rPr>
          <w:rFonts w:ascii="Verdana" w:hAnsi="Verdana"/>
          <w:sz w:val="20"/>
          <w:szCs w:val="20"/>
        </w:rPr>
        <w:t>Aditamento</w:t>
      </w:r>
      <w:r w:rsidRPr="003E0C82">
        <w:rPr>
          <w:rFonts w:ascii="Verdana" w:hAnsi="Verdana"/>
          <w:sz w:val="20"/>
          <w:szCs w:val="20"/>
        </w:rPr>
        <w:t>, com renúncia a qualquer outro, por mais especial que seja.</w:t>
      </w:r>
    </w:p>
    <w:p w14:paraId="2FD2FD11" w14:textId="77777777" w:rsidR="003E0C82" w:rsidRPr="0098456D" w:rsidRDefault="003E0C82" w:rsidP="003E0C82">
      <w:pPr>
        <w:pStyle w:val="ListParagraph"/>
        <w:spacing w:line="280" w:lineRule="exact"/>
        <w:rPr>
          <w:rFonts w:ascii="Verdana" w:hAnsi="Verdana"/>
        </w:rPr>
      </w:pPr>
    </w:p>
    <w:p w14:paraId="4C244AAB" w14:textId="66EEDAF0" w:rsidR="003E0C82" w:rsidRDefault="003E0C82" w:rsidP="003E0C82">
      <w:pPr>
        <w:pStyle w:val="BodyText21"/>
        <w:tabs>
          <w:tab w:val="left" w:pos="0"/>
        </w:tabs>
        <w:spacing w:line="280" w:lineRule="exact"/>
        <w:rPr>
          <w:rFonts w:ascii="Verdana" w:hAnsi="Verdana" w:cstheme="minorHAnsi"/>
          <w:sz w:val="20"/>
        </w:rPr>
      </w:pPr>
      <w:r w:rsidRPr="003E0C82">
        <w:rPr>
          <w:rFonts w:ascii="Verdana" w:hAnsi="Verdana" w:cstheme="minorHAnsi"/>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4521395"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p>
    <w:p w14:paraId="27516B9F" w14:textId="026C826A"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r w:rsidRPr="0098456D">
        <w:rPr>
          <w:rFonts w:ascii="Verdana" w:hAnsi="Verdana" w:cstheme="minorHAnsi"/>
          <w:sz w:val="20"/>
        </w:rPr>
        <w:t xml:space="preserve">São Paulo, </w:t>
      </w:r>
      <w:r w:rsidR="003367C7">
        <w:rPr>
          <w:rFonts w:ascii="Verdana" w:hAnsi="Verdana" w:cstheme="minorHAnsi"/>
          <w:sz w:val="20"/>
        </w:rPr>
        <w:t>2</w:t>
      </w:r>
      <w:r w:rsidR="006E6ADF">
        <w:rPr>
          <w:rFonts w:ascii="Verdana" w:hAnsi="Verdana" w:cstheme="minorHAnsi"/>
          <w:sz w:val="20"/>
        </w:rPr>
        <w:t>5</w:t>
      </w:r>
      <w:r w:rsidRPr="0098456D">
        <w:rPr>
          <w:rFonts w:ascii="Verdana" w:hAnsi="Verdana" w:cstheme="minorHAnsi"/>
          <w:sz w:val="20"/>
        </w:rPr>
        <w:t xml:space="preserve"> de </w:t>
      </w:r>
      <w:r w:rsidR="003367C7">
        <w:rPr>
          <w:rFonts w:ascii="Verdana" w:hAnsi="Verdana" w:cstheme="minorHAnsi"/>
          <w:sz w:val="20"/>
        </w:rPr>
        <w:t>março</w:t>
      </w:r>
      <w:r w:rsidRPr="0098456D">
        <w:rPr>
          <w:rFonts w:ascii="Verdana" w:hAnsi="Verdana" w:cstheme="minorHAnsi"/>
          <w:sz w:val="20"/>
        </w:rPr>
        <w:t xml:space="preserve"> de 202</w:t>
      </w:r>
      <w:r>
        <w:rPr>
          <w:rFonts w:ascii="Verdana" w:hAnsi="Verdana" w:cstheme="minorHAnsi"/>
          <w:sz w:val="20"/>
        </w:rPr>
        <w:t>1</w:t>
      </w:r>
      <w:r w:rsidRPr="0098456D">
        <w:rPr>
          <w:rFonts w:ascii="Verdana" w:hAnsi="Verdana" w:cstheme="minorHAnsi"/>
          <w:sz w:val="20"/>
        </w:rPr>
        <w:t>.</w:t>
      </w:r>
    </w:p>
    <w:p w14:paraId="799A8302"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color w:val="000000"/>
          <w:sz w:val="20"/>
        </w:rPr>
      </w:pPr>
    </w:p>
    <w:p w14:paraId="37A0D22C" w14:textId="77777777" w:rsidR="003E0C82" w:rsidRPr="0098456D" w:rsidRDefault="003E0C82" w:rsidP="003E0C82">
      <w:pPr>
        <w:widowControl w:val="0"/>
        <w:tabs>
          <w:tab w:val="left" w:pos="8647"/>
        </w:tabs>
        <w:autoSpaceDE w:val="0"/>
        <w:autoSpaceDN w:val="0"/>
        <w:adjustRightInd w:val="0"/>
        <w:spacing w:line="280" w:lineRule="exact"/>
        <w:jc w:val="center"/>
        <w:rPr>
          <w:rFonts w:ascii="Verdana" w:hAnsi="Verdana" w:cstheme="minorHAnsi"/>
          <w:i/>
          <w:sz w:val="20"/>
          <w:szCs w:val="20"/>
        </w:rPr>
      </w:pPr>
      <w:r w:rsidRPr="0098456D">
        <w:rPr>
          <w:rFonts w:ascii="Verdana" w:hAnsi="Verdana" w:cstheme="minorHAnsi"/>
          <w:i/>
          <w:sz w:val="20"/>
          <w:szCs w:val="20"/>
        </w:rPr>
        <w:t>[O restante desta página foi deixado intencionalmente em branco]</w:t>
      </w:r>
    </w:p>
    <w:p w14:paraId="2FABB1EF" w14:textId="77777777" w:rsidR="003E0C82" w:rsidRPr="0098456D" w:rsidRDefault="003E0C82" w:rsidP="003E0C82">
      <w:pPr>
        <w:pStyle w:val="Body"/>
        <w:tabs>
          <w:tab w:val="left" w:pos="0"/>
        </w:tabs>
        <w:spacing w:after="0" w:line="280" w:lineRule="exact"/>
        <w:rPr>
          <w:rFonts w:ascii="Verdana" w:hAnsi="Verdana"/>
          <w:szCs w:val="20"/>
          <w:lang w:val="pt-BR"/>
        </w:rPr>
      </w:pPr>
    </w:p>
    <w:p w14:paraId="09A63AD0" w14:textId="492AF8C2"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109607FB" w14:textId="66BCE6BF"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40F38E3E" w14:textId="246CCFA8" w:rsidR="003E0C82" w:rsidRDefault="003E0C82">
      <w:pPr>
        <w:spacing w:after="160" w:line="259" w:lineRule="auto"/>
        <w:rPr>
          <w:rFonts w:ascii="Verdana" w:hAnsi="Verdana"/>
          <w:sz w:val="20"/>
          <w:szCs w:val="20"/>
        </w:rPr>
      </w:pPr>
      <w:r>
        <w:rPr>
          <w:rFonts w:ascii="Verdana" w:hAnsi="Verdana"/>
          <w:sz w:val="20"/>
          <w:szCs w:val="20"/>
        </w:rPr>
        <w:br w:type="page"/>
      </w:r>
    </w:p>
    <w:p w14:paraId="313A46C3" w14:textId="2A36F7CD" w:rsidR="003E0C82" w:rsidRPr="003E0C82" w:rsidRDefault="003E0C82" w:rsidP="003E0C82">
      <w:pPr>
        <w:pStyle w:val="Header"/>
        <w:spacing w:line="280" w:lineRule="exact"/>
        <w:ind w:right="228"/>
        <w:jc w:val="both"/>
        <w:rPr>
          <w:rFonts w:ascii="Verdana" w:hAnsi="Verdana"/>
          <w:b/>
          <w:sz w:val="20"/>
          <w:szCs w:val="20"/>
        </w:rPr>
      </w:pPr>
      <w:r w:rsidRPr="003E0C82">
        <w:rPr>
          <w:rFonts w:ascii="Verdana" w:hAnsi="Verdana"/>
          <w:b/>
          <w:sz w:val="20"/>
          <w:szCs w:val="20"/>
        </w:rPr>
        <w:lastRenderedPageBreak/>
        <w:t xml:space="preserve">(PÁGINA DE ASSINATURAS DO PRIMEIRO ADITAMENTO DA CÉDULA DE CRÉDITO BANCÁRIO Nº CSBRA20200600402 CELEBRADO ENTRE A </w:t>
      </w:r>
      <w:r w:rsidRPr="003E0C82">
        <w:rPr>
          <w:rFonts w:ascii="Verdana" w:hAnsi="Verdana" w:cstheme="minorHAnsi"/>
          <w:b/>
          <w:sz w:val="20"/>
          <w:szCs w:val="20"/>
        </w:rPr>
        <w:t>FS AGRISOLUTIONS INDÚSTRIA DE BIOCOMBUSTÍVEIS</w:t>
      </w:r>
      <w:r w:rsidR="007B35CB">
        <w:rPr>
          <w:rFonts w:ascii="Verdana" w:hAnsi="Verdana" w:cstheme="minorHAnsi"/>
          <w:b/>
          <w:sz w:val="20"/>
          <w:szCs w:val="20"/>
        </w:rPr>
        <w:t xml:space="preserve"> </w:t>
      </w:r>
      <w:r w:rsidRPr="003E0C82">
        <w:rPr>
          <w:rFonts w:ascii="Verdana" w:hAnsi="Verdana"/>
          <w:b/>
          <w:sz w:val="20"/>
          <w:szCs w:val="20"/>
        </w:rPr>
        <w:t xml:space="preserve">E A RB CAPITAL COMPANHIA DE SECURITIZAÇÃO EM </w:t>
      </w:r>
      <w:r w:rsidR="003367C7">
        <w:rPr>
          <w:rFonts w:ascii="Verdana" w:hAnsi="Verdana"/>
          <w:b/>
          <w:sz w:val="20"/>
          <w:szCs w:val="20"/>
        </w:rPr>
        <w:t>2</w:t>
      </w:r>
      <w:r w:rsidR="004F45F0">
        <w:rPr>
          <w:rFonts w:ascii="Verdana" w:hAnsi="Verdana"/>
          <w:b/>
          <w:sz w:val="20"/>
          <w:szCs w:val="20"/>
        </w:rPr>
        <w:t>5</w:t>
      </w:r>
      <w:r w:rsidRPr="003E0C82">
        <w:rPr>
          <w:rFonts w:ascii="Verdana" w:hAnsi="Verdana"/>
          <w:b/>
          <w:sz w:val="20"/>
          <w:szCs w:val="20"/>
        </w:rPr>
        <w:t xml:space="preserve"> DE </w:t>
      </w:r>
      <w:r w:rsidR="003367C7">
        <w:rPr>
          <w:rFonts w:ascii="Verdana" w:hAnsi="Verdana"/>
          <w:b/>
          <w:sz w:val="20"/>
          <w:szCs w:val="20"/>
        </w:rPr>
        <w:t>MARÇO</w:t>
      </w:r>
      <w:r w:rsidRPr="003E0C82">
        <w:rPr>
          <w:rFonts w:ascii="Verdana" w:hAnsi="Verdana"/>
          <w:b/>
          <w:sz w:val="20"/>
          <w:szCs w:val="20"/>
        </w:rPr>
        <w:t xml:space="preserve"> DE 2021.</w:t>
      </w:r>
      <w:r>
        <w:rPr>
          <w:rFonts w:ascii="Verdana" w:hAnsi="Verdana"/>
          <w:b/>
          <w:sz w:val="20"/>
          <w:szCs w:val="20"/>
        </w:rPr>
        <w:t>)</w:t>
      </w:r>
    </w:p>
    <w:p w14:paraId="7D671680" w14:textId="66DBDBBB" w:rsidR="002C2024" w:rsidRPr="001938B0" w:rsidRDefault="002C2024">
      <w:pPr>
        <w:spacing w:line="280" w:lineRule="exact"/>
        <w:jc w:val="center"/>
        <w:rPr>
          <w:rFonts w:ascii="Verdana" w:hAnsi="Verdana"/>
          <w:sz w:val="20"/>
          <w:szCs w:val="20"/>
        </w:rPr>
      </w:pPr>
    </w:p>
    <w:p w14:paraId="333A5CFD" w14:textId="610E1F43" w:rsidR="003E0C82" w:rsidRDefault="003E0C82">
      <w:pPr>
        <w:spacing w:line="280" w:lineRule="exact"/>
        <w:jc w:val="center"/>
        <w:rPr>
          <w:rFonts w:ascii="Verdana" w:hAnsi="Verdana"/>
          <w:sz w:val="20"/>
          <w:szCs w:val="20"/>
        </w:rPr>
      </w:pPr>
    </w:p>
    <w:p w14:paraId="75D246DF" w14:textId="1EF5CAAE" w:rsidR="003E0C82" w:rsidRDefault="003E0C82">
      <w:pPr>
        <w:spacing w:line="280" w:lineRule="exact"/>
        <w:jc w:val="center"/>
        <w:rPr>
          <w:rFonts w:ascii="Verdana" w:hAnsi="Verdana"/>
          <w:sz w:val="20"/>
          <w:szCs w:val="20"/>
        </w:rPr>
      </w:pPr>
    </w:p>
    <w:p w14:paraId="566D3DD1" w14:textId="77777777" w:rsidR="003E0C82" w:rsidRPr="001938B0" w:rsidRDefault="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CF56C02" w:rsidR="002C2024" w:rsidRPr="001938B0" w:rsidRDefault="002C2024">
            <w:pPr>
              <w:widowControl w:val="0"/>
              <w:tabs>
                <w:tab w:val="left" w:pos="0"/>
                <w:tab w:val="left" w:pos="4782"/>
              </w:tabs>
              <w:spacing w:line="280" w:lineRule="exact"/>
              <w:jc w:val="center"/>
              <w:rPr>
                <w:rFonts w:ascii="Verdana" w:hAnsi="Verdana"/>
                <w:spacing w:val="2"/>
                <w:sz w:val="20"/>
                <w:szCs w:val="20"/>
              </w:rPr>
            </w:pP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146BFE51" w14:textId="77777777" w:rsidR="003E0C82" w:rsidRPr="001938B0" w:rsidRDefault="003E0C82" w:rsidP="003E0C82">
      <w:pPr>
        <w:spacing w:line="280" w:lineRule="exact"/>
        <w:jc w:val="center"/>
        <w:rPr>
          <w:rFonts w:ascii="Verdana" w:hAnsi="Verdana"/>
          <w:sz w:val="20"/>
          <w:szCs w:val="20"/>
        </w:rPr>
      </w:pPr>
    </w:p>
    <w:p w14:paraId="0E082872" w14:textId="77777777" w:rsidR="003E0C82" w:rsidRPr="001938B0" w:rsidRDefault="003E0C82" w:rsidP="003E0C82">
      <w:pPr>
        <w:widowControl w:val="0"/>
        <w:spacing w:line="280" w:lineRule="exact"/>
        <w:jc w:val="both"/>
        <w:rPr>
          <w:rFonts w:ascii="Verdana" w:hAnsi="Verdana" w:cstheme="minorHAnsi"/>
          <w:sz w:val="20"/>
          <w:szCs w:val="20"/>
        </w:rPr>
      </w:pPr>
    </w:p>
    <w:p w14:paraId="09B38387" w14:textId="69A4BF53" w:rsidR="003E0C82" w:rsidRDefault="003E0C82">
      <w:pPr>
        <w:widowControl w:val="0"/>
        <w:spacing w:line="280" w:lineRule="exact"/>
        <w:jc w:val="both"/>
        <w:rPr>
          <w:rFonts w:ascii="Verdana" w:hAnsi="Verdana"/>
          <w:sz w:val="20"/>
          <w:szCs w:val="20"/>
          <w:u w:val="single"/>
        </w:rPr>
      </w:pPr>
    </w:p>
    <w:p w14:paraId="48F7198C" w14:textId="77777777" w:rsidR="003E0C82" w:rsidRDefault="003E0C82" w:rsidP="003E0C82">
      <w:pPr>
        <w:spacing w:line="280" w:lineRule="exact"/>
        <w:jc w:val="center"/>
        <w:rPr>
          <w:rFonts w:ascii="Verdana" w:hAnsi="Verdana"/>
          <w:sz w:val="20"/>
          <w:szCs w:val="20"/>
        </w:rPr>
      </w:pPr>
    </w:p>
    <w:p w14:paraId="4A9BF696" w14:textId="77777777" w:rsidR="003E0C82" w:rsidRDefault="003E0C82" w:rsidP="003E0C82">
      <w:pPr>
        <w:spacing w:line="280" w:lineRule="exact"/>
        <w:jc w:val="center"/>
        <w:rPr>
          <w:rFonts w:ascii="Verdana" w:hAnsi="Verdana"/>
          <w:sz w:val="20"/>
          <w:szCs w:val="20"/>
        </w:rPr>
      </w:pPr>
    </w:p>
    <w:p w14:paraId="5C4FB374" w14:textId="77777777" w:rsidR="003E0C82" w:rsidRPr="001938B0" w:rsidRDefault="003E0C82" w:rsidP="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3E0C82" w:rsidRPr="001938B0" w14:paraId="539B86F9" w14:textId="77777777" w:rsidTr="00523AA3">
        <w:trPr>
          <w:jc w:val="center"/>
        </w:trPr>
        <w:tc>
          <w:tcPr>
            <w:tcW w:w="7099" w:type="dxa"/>
            <w:gridSpan w:val="2"/>
            <w:tcBorders>
              <w:top w:val="single" w:sz="4" w:space="0" w:color="auto"/>
            </w:tcBorders>
          </w:tcPr>
          <w:p w14:paraId="78A4569C" w14:textId="135864C2" w:rsidR="003E0C82" w:rsidRPr="001938B0" w:rsidRDefault="003E0C82" w:rsidP="00523AA3">
            <w:pPr>
              <w:widowControl w:val="0"/>
              <w:tabs>
                <w:tab w:val="left" w:pos="0"/>
              </w:tabs>
              <w:spacing w:line="280" w:lineRule="exact"/>
              <w:jc w:val="center"/>
              <w:rPr>
                <w:rFonts w:ascii="Verdana" w:hAnsi="Verdana"/>
                <w:b/>
                <w:spacing w:val="2"/>
                <w:sz w:val="20"/>
                <w:szCs w:val="20"/>
              </w:rPr>
            </w:pPr>
            <w:r w:rsidRPr="003E0C82">
              <w:rPr>
                <w:rFonts w:ascii="Verdana" w:hAnsi="Verdana"/>
                <w:b/>
                <w:sz w:val="20"/>
                <w:szCs w:val="20"/>
              </w:rPr>
              <w:t>RB CAPITAL COMPANHIA DE SECURITIZAÇÃO</w:t>
            </w:r>
          </w:p>
        </w:tc>
      </w:tr>
      <w:tr w:rsidR="003E0C82" w:rsidRPr="001938B0" w14:paraId="5EB1B7A0" w14:textId="77777777" w:rsidTr="00523AA3">
        <w:trPr>
          <w:jc w:val="center"/>
        </w:trPr>
        <w:tc>
          <w:tcPr>
            <w:tcW w:w="7099" w:type="dxa"/>
            <w:gridSpan w:val="2"/>
          </w:tcPr>
          <w:p w14:paraId="1095D24E" w14:textId="77777777" w:rsidR="003E0C82" w:rsidRPr="001938B0" w:rsidRDefault="003E0C82" w:rsidP="00523AA3">
            <w:pPr>
              <w:widowControl w:val="0"/>
              <w:tabs>
                <w:tab w:val="left" w:pos="0"/>
                <w:tab w:val="left" w:pos="4782"/>
              </w:tabs>
              <w:spacing w:line="280" w:lineRule="exact"/>
              <w:jc w:val="center"/>
              <w:rPr>
                <w:rFonts w:ascii="Verdana" w:hAnsi="Verdana"/>
                <w:spacing w:val="2"/>
                <w:sz w:val="20"/>
                <w:szCs w:val="20"/>
              </w:rPr>
            </w:pPr>
          </w:p>
        </w:tc>
      </w:tr>
      <w:tr w:rsidR="003E0C82" w:rsidRPr="001938B0" w14:paraId="31ED2B3A" w14:textId="77777777" w:rsidTr="00523AA3">
        <w:trPr>
          <w:trHeight w:val="291"/>
          <w:jc w:val="center"/>
        </w:trPr>
        <w:tc>
          <w:tcPr>
            <w:tcW w:w="3549" w:type="dxa"/>
          </w:tcPr>
          <w:p w14:paraId="62DE654A"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8E0C4DE"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3E0C82" w:rsidRPr="001938B0" w14:paraId="511455DE" w14:textId="77777777" w:rsidTr="00523AA3">
        <w:trPr>
          <w:trHeight w:val="291"/>
          <w:jc w:val="center"/>
        </w:trPr>
        <w:tc>
          <w:tcPr>
            <w:tcW w:w="3549" w:type="dxa"/>
          </w:tcPr>
          <w:p w14:paraId="72A01AD9"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0332DB51"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42EFC45" w14:textId="77777777" w:rsidR="003E0C82" w:rsidRPr="001938B0" w:rsidRDefault="003E0C82" w:rsidP="003E0C82">
      <w:pPr>
        <w:spacing w:line="280" w:lineRule="exact"/>
        <w:jc w:val="center"/>
        <w:rPr>
          <w:rFonts w:ascii="Verdana" w:hAnsi="Verdana"/>
          <w:sz w:val="20"/>
          <w:szCs w:val="20"/>
        </w:rPr>
      </w:pPr>
    </w:p>
    <w:p w14:paraId="704CAF89" w14:textId="1F9C5D71" w:rsidR="003E0C82" w:rsidRDefault="003E0C82">
      <w:pPr>
        <w:widowControl w:val="0"/>
        <w:spacing w:line="280" w:lineRule="exact"/>
        <w:jc w:val="both"/>
        <w:rPr>
          <w:rFonts w:ascii="Verdana" w:hAnsi="Verdana"/>
          <w:sz w:val="20"/>
          <w:szCs w:val="20"/>
          <w:u w:val="single"/>
        </w:rPr>
      </w:pPr>
    </w:p>
    <w:p w14:paraId="0064AB76" w14:textId="77777777" w:rsidR="008959F7" w:rsidRPr="005270B8" w:rsidRDefault="008959F7" w:rsidP="008959F7">
      <w:pPr>
        <w:pStyle w:val="BodyText"/>
        <w:tabs>
          <w:tab w:val="left" w:pos="8647"/>
        </w:tabs>
        <w:spacing w:line="280" w:lineRule="atLeast"/>
        <w:rPr>
          <w:rFonts w:ascii="Verdana" w:hAnsi="Verdana" w:cstheme="minorHAnsi"/>
          <w:b/>
          <w:i/>
          <w:sz w:val="20"/>
          <w:szCs w:val="20"/>
        </w:rPr>
      </w:pPr>
      <w:r w:rsidRPr="005270B8">
        <w:rPr>
          <w:rFonts w:ascii="Verdana" w:hAnsi="Verdana" w:cstheme="minorHAnsi"/>
          <w:sz w:val="20"/>
          <w:szCs w:val="20"/>
        </w:rPr>
        <w:t>Testemunhas:</w:t>
      </w:r>
    </w:p>
    <w:p w14:paraId="311278A7" w14:textId="77777777" w:rsidR="008959F7" w:rsidRPr="005270B8" w:rsidRDefault="008959F7" w:rsidP="008959F7">
      <w:pPr>
        <w:pStyle w:val="BodyText"/>
        <w:tabs>
          <w:tab w:val="left" w:pos="8647"/>
        </w:tabs>
        <w:spacing w:line="280" w:lineRule="atLeast"/>
        <w:rPr>
          <w:rFonts w:ascii="Verdana" w:hAnsi="Verdana" w:cstheme="minorHAnsi"/>
          <w:b/>
          <w:i/>
          <w:sz w:val="20"/>
          <w:szCs w:val="20"/>
        </w:rPr>
      </w:pPr>
    </w:p>
    <w:p w14:paraId="2CAB6DA5" w14:textId="77777777" w:rsidR="008959F7" w:rsidRPr="005270B8" w:rsidRDefault="008959F7" w:rsidP="008959F7">
      <w:pPr>
        <w:pStyle w:val="BodyText"/>
        <w:tabs>
          <w:tab w:val="left" w:pos="8647"/>
        </w:tabs>
        <w:spacing w:line="280" w:lineRule="atLeast"/>
        <w:rPr>
          <w:rFonts w:ascii="Verdana" w:hAnsi="Verdana" w:cstheme="minorHAnsi"/>
          <w:b/>
          <w:i/>
          <w:sz w:val="20"/>
          <w:szCs w:val="20"/>
        </w:rPr>
      </w:pPr>
    </w:p>
    <w:tbl>
      <w:tblPr>
        <w:tblW w:w="0" w:type="auto"/>
        <w:tblLook w:val="04A0" w:firstRow="1" w:lastRow="0" w:firstColumn="1" w:lastColumn="0" w:noHBand="0" w:noVBand="1"/>
      </w:tblPr>
      <w:tblGrid>
        <w:gridCol w:w="4929"/>
        <w:gridCol w:w="4929"/>
      </w:tblGrid>
      <w:tr w:rsidR="008959F7" w:rsidRPr="005270B8" w14:paraId="6D6823BE" w14:textId="77777777" w:rsidTr="00523AA3">
        <w:tc>
          <w:tcPr>
            <w:tcW w:w="5035" w:type="dxa"/>
          </w:tcPr>
          <w:p w14:paraId="479A2609"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7FB211F7"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8959F7" w:rsidRPr="005270B8" w14:paraId="12400E58" w14:textId="77777777" w:rsidTr="00523AA3">
        <w:tc>
          <w:tcPr>
            <w:tcW w:w="5035" w:type="dxa"/>
          </w:tcPr>
          <w:p w14:paraId="4F302955"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05AE7EB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8959F7" w:rsidRPr="005270B8" w14:paraId="13AFFEAE" w14:textId="77777777" w:rsidTr="00523AA3">
        <w:tc>
          <w:tcPr>
            <w:tcW w:w="5035" w:type="dxa"/>
          </w:tcPr>
          <w:p w14:paraId="3E7313F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5FD1EE4E"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4CB96BAD" w14:textId="77777777" w:rsidR="008959F7" w:rsidRPr="001938B0" w:rsidRDefault="008959F7">
      <w:pPr>
        <w:widowControl w:val="0"/>
        <w:spacing w:line="280" w:lineRule="exact"/>
        <w:jc w:val="both"/>
        <w:rPr>
          <w:rFonts w:ascii="Verdana" w:hAnsi="Verdana"/>
          <w:sz w:val="20"/>
          <w:szCs w:val="20"/>
          <w:u w:val="single"/>
        </w:rPr>
      </w:pPr>
    </w:p>
    <w:sectPr w:rsidR="008959F7"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D384A" w14:textId="77777777" w:rsidR="00AB6BFF" w:rsidRDefault="00AB6BFF">
      <w:r>
        <w:separator/>
      </w:r>
    </w:p>
  </w:endnote>
  <w:endnote w:type="continuationSeparator" w:id="0">
    <w:p w14:paraId="4BD68859" w14:textId="77777777" w:rsidR="00AB6BFF" w:rsidRDefault="00AB6BFF">
      <w:r>
        <w:continuationSeparator/>
      </w:r>
    </w:p>
  </w:endnote>
  <w:endnote w:type="continuationNotice" w:id="1">
    <w:p w14:paraId="3B872D8E" w14:textId="77777777" w:rsidR="00AB6BFF" w:rsidRDefault="00AB6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E3" w14:textId="77777777" w:rsidR="006D080A" w:rsidRDefault="006D080A">
    <w:pPr>
      <w:pStyle w:val="Footer"/>
      <w:jc w:val="right"/>
    </w:pPr>
  </w:p>
  <w:p w14:paraId="52BBCB46" w14:textId="77777777" w:rsidR="006D080A" w:rsidRPr="00161218" w:rsidRDefault="006D080A" w:rsidP="00FE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8DC1" w14:textId="77777777" w:rsidR="00AB6BFF" w:rsidRDefault="00AB6BFF">
      <w:r>
        <w:separator/>
      </w:r>
    </w:p>
  </w:footnote>
  <w:footnote w:type="continuationSeparator" w:id="0">
    <w:p w14:paraId="421C1C6A" w14:textId="77777777" w:rsidR="00AB6BFF" w:rsidRDefault="00AB6BFF">
      <w:r>
        <w:continuationSeparator/>
      </w:r>
    </w:p>
  </w:footnote>
  <w:footnote w:type="continuationNotice" w:id="1">
    <w:p w14:paraId="45CBA905" w14:textId="77777777" w:rsidR="00AB6BFF" w:rsidRDefault="00AB6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C566" w14:textId="77777777" w:rsidR="006D080A" w:rsidRDefault="006D080A" w:rsidP="00F359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7813" w14:textId="1A6C8DEB" w:rsidR="006D080A" w:rsidRPr="00CF4CA6" w:rsidRDefault="006D080A" w:rsidP="00CF4CA6">
    <w:pPr>
      <w:pStyle w:val="Header"/>
      <w:jc w:val="right"/>
      <w:rPr>
        <w:rFonts w:ascii="Verdana" w:hAnsi="Verdana"/>
        <w:b/>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1"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2"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6"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2"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3"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4"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7"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9"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0" w15:restartNumberingAfterBreak="0">
    <w:nsid w:val="4E0257FD"/>
    <w:multiLevelType w:val="multilevel"/>
    <w:tmpl w:val="0FB62EE8"/>
    <w:lvl w:ilvl="0">
      <w:start w:val="1"/>
      <w:numFmt w:val="upperRoman"/>
      <w:lvlText w:val="%1"/>
      <w:lvlJc w:val="left"/>
      <w:pPr>
        <w:ind w:left="0" w:firstLine="0"/>
      </w:pPr>
      <w:rPr>
        <w:rFonts w:hint="default"/>
        <w:i w:val="0"/>
      </w:rPr>
    </w:lvl>
    <w:lvl w:ilvl="1">
      <w:start w:val="1"/>
      <w:numFmt w:val="decimal"/>
      <w:isLgl/>
      <w:lvlText w:val="%1.%2."/>
      <w:lvlJc w:val="left"/>
      <w:pPr>
        <w:ind w:left="0" w:firstLine="0"/>
      </w:pPr>
      <w:rPr>
        <w:rFonts w:hint="default"/>
        <w:b w:val="0"/>
        <w:i w:val="0"/>
        <w:lang w:val="x-none"/>
      </w:rPr>
    </w:lvl>
    <w:lvl w:ilvl="2">
      <w:start w:val="1"/>
      <w:numFmt w:val="decimal"/>
      <w:isLgl/>
      <w:lvlText w:val="%1.%2.%3."/>
      <w:lvlJc w:val="left"/>
      <w:pPr>
        <w:ind w:left="0" w:firstLine="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6"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0"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7"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2" w15:restartNumberingAfterBreak="0">
    <w:nsid w:val="73695B47"/>
    <w:multiLevelType w:val="multilevel"/>
    <w:tmpl w:val="FB881270"/>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8"/>
  </w:num>
  <w:num w:numId="2">
    <w:abstractNumId w:val="7"/>
  </w:num>
  <w:num w:numId="3">
    <w:abstractNumId w:val="56"/>
  </w:num>
  <w:num w:numId="4">
    <w:abstractNumId w:val="80"/>
  </w:num>
  <w:num w:numId="5">
    <w:abstractNumId w:val="32"/>
  </w:num>
  <w:num w:numId="6">
    <w:abstractNumId w:val="28"/>
  </w:num>
  <w:num w:numId="7">
    <w:abstractNumId w:val="53"/>
  </w:num>
  <w:num w:numId="8">
    <w:abstractNumId w:val="63"/>
  </w:num>
  <w:num w:numId="9">
    <w:abstractNumId w:val="57"/>
  </w:num>
  <w:num w:numId="10">
    <w:abstractNumId w:val="37"/>
  </w:num>
  <w:num w:numId="11">
    <w:abstractNumId w:val="90"/>
  </w:num>
  <w:num w:numId="12">
    <w:abstractNumId w:val="6"/>
  </w:num>
  <w:num w:numId="13">
    <w:abstractNumId w:val="83"/>
  </w:num>
  <w:num w:numId="14">
    <w:abstractNumId w:val="72"/>
  </w:num>
  <w:num w:numId="15">
    <w:abstractNumId w:val="13"/>
  </w:num>
  <w:num w:numId="16">
    <w:abstractNumId w:val="65"/>
  </w:num>
  <w:num w:numId="17">
    <w:abstractNumId w:val="27"/>
  </w:num>
  <w:num w:numId="18">
    <w:abstractNumId w:val="18"/>
  </w:num>
  <w:num w:numId="19">
    <w:abstractNumId w:val="55"/>
  </w:num>
  <w:num w:numId="20">
    <w:abstractNumId w:val="48"/>
  </w:num>
  <w:num w:numId="21">
    <w:abstractNumId w:val="64"/>
  </w:num>
  <w:num w:numId="22">
    <w:abstractNumId w:val="74"/>
  </w:num>
  <w:num w:numId="23">
    <w:abstractNumId w:val="66"/>
  </w:num>
  <w:num w:numId="24">
    <w:abstractNumId w:val="78"/>
  </w:num>
  <w:num w:numId="25">
    <w:abstractNumId w:val="42"/>
  </w:num>
  <w:num w:numId="26">
    <w:abstractNumId w:val="54"/>
  </w:num>
  <w:num w:numId="27">
    <w:abstractNumId w:val="31"/>
  </w:num>
  <w:num w:numId="28">
    <w:abstractNumId w:val="71"/>
  </w:num>
  <w:num w:numId="29">
    <w:abstractNumId w:val="17"/>
  </w:num>
  <w:num w:numId="30">
    <w:abstractNumId w:val="30"/>
  </w:num>
  <w:num w:numId="31">
    <w:abstractNumId w:val="47"/>
  </w:num>
  <w:num w:numId="32">
    <w:abstractNumId w:val="60"/>
  </w:num>
  <w:num w:numId="33">
    <w:abstractNumId w:val="8"/>
  </w:num>
  <w:num w:numId="34">
    <w:abstractNumId w:val="61"/>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77"/>
  </w:num>
  <w:num w:numId="38">
    <w:abstractNumId w:val="8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6"/>
  </w:num>
  <w:num w:numId="43">
    <w:abstractNumId w:val="86"/>
  </w:num>
  <w:num w:numId="44">
    <w:abstractNumId w:val="9"/>
  </w:num>
  <w:num w:numId="45">
    <w:abstractNumId w:val="25"/>
  </w:num>
  <w:num w:numId="46">
    <w:abstractNumId w:val="38"/>
  </w:num>
  <w:num w:numId="47">
    <w:abstractNumId w:val="4"/>
  </w:num>
  <w:num w:numId="48">
    <w:abstractNumId w:val="44"/>
  </w:num>
  <w:num w:numId="49">
    <w:abstractNumId w:val="62"/>
  </w:num>
  <w:num w:numId="50">
    <w:abstractNumId w:val="24"/>
  </w:num>
  <w:num w:numId="51">
    <w:abstractNumId w:val="14"/>
  </w:num>
  <w:num w:numId="52">
    <w:abstractNumId w:val="2"/>
  </w:num>
  <w:num w:numId="53">
    <w:abstractNumId w:val="93"/>
  </w:num>
  <w:num w:numId="54">
    <w:abstractNumId w:val="24"/>
  </w:num>
  <w:num w:numId="55">
    <w:abstractNumId w:val="35"/>
  </w:num>
  <w:num w:numId="56">
    <w:abstractNumId w:val="19"/>
  </w:num>
  <w:num w:numId="57">
    <w:abstractNumId w:val="29"/>
  </w:num>
  <w:num w:numId="58">
    <w:abstractNumId w:val="0"/>
  </w:num>
  <w:num w:numId="59">
    <w:abstractNumId w:val="84"/>
  </w:num>
  <w:num w:numId="60">
    <w:abstractNumId w:val="76"/>
  </w:num>
  <w:num w:numId="61">
    <w:abstractNumId w:val="43"/>
  </w:num>
  <w:num w:numId="62">
    <w:abstractNumId w:val="36"/>
  </w:num>
  <w:num w:numId="63">
    <w:abstractNumId w:val="67"/>
  </w:num>
  <w:num w:numId="64">
    <w:abstractNumId w:val="91"/>
  </w:num>
  <w:num w:numId="65">
    <w:abstractNumId w:val="23"/>
  </w:num>
  <w:num w:numId="66">
    <w:abstractNumId w:val="49"/>
  </w:num>
  <w:num w:numId="67">
    <w:abstractNumId w:val="94"/>
  </w:num>
  <w:num w:numId="68">
    <w:abstractNumId w:val="59"/>
  </w:num>
  <w:num w:numId="69">
    <w:abstractNumId w:val="95"/>
  </w:num>
  <w:num w:numId="70">
    <w:abstractNumId w:val="45"/>
  </w:num>
  <w:num w:numId="71">
    <w:abstractNumId w:val="69"/>
  </w:num>
  <w:num w:numId="72">
    <w:abstractNumId w:val="52"/>
  </w:num>
  <w:num w:numId="73">
    <w:abstractNumId w:val="11"/>
  </w:num>
  <w:num w:numId="74">
    <w:abstractNumId w:val="20"/>
  </w:num>
  <w:num w:numId="75">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82"/>
  </w:num>
  <w:num w:numId="79">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num>
  <w:num w:numId="88">
    <w:abstractNumId w:val="1"/>
  </w:num>
  <w:num w:numId="89">
    <w:abstractNumId w:val="21"/>
  </w:num>
  <w:num w:numId="90">
    <w:abstractNumId w:val="12"/>
  </w:num>
  <w:num w:numId="91">
    <w:abstractNumId w:val="16"/>
  </w:num>
  <w:num w:numId="92">
    <w:abstractNumId w:val="22"/>
  </w:num>
  <w:num w:numId="93">
    <w:abstractNumId w:val="79"/>
  </w:num>
  <w:num w:numId="94">
    <w:abstractNumId w:val="26"/>
  </w:num>
  <w:num w:numId="95">
    <w:abstractNumId w:val="15"/>
  </w:num>
  <w:num w:numId="96">
    <w:abstractNumId w:val="89"/>
  </w:num>
  <w:num w:numId="97">
    <w:abstractNumId w:val="73"/>
  </w:num>
  <w:num w:numId="98">
    <w:abstractNumId w:val="34"/>
  </w:num>
  <w:num w:numId="99">
    <w:abstractNumId w:val="5"/>
  </w:num>
  <w:num w:numId="100">
    <w:abstractNumId w:val="70"/>
  </w:num>
  <w:num w:numId="101">
    <w:abstractNumId w:val="39"/>
  </w:num>
  <w:num w:numId="102">
    <w:abstractNumId w:val="92"/>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ago Storoli">
    <w15:presenceInfo w15:providerId="AD" w15:userId="S-1-5-21-2703942170-2101562457-882407357-13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4EF"/>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AD3"/>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1A8E"/>
    <w:rsid w:val="0020549D"/>
    <w:rsid w:val="002059C8"/>
    <w:rsid w:val="00205DAB"/>
    <w:rsid w:val="0020705C"/>
    <w:rsid w:val="002073CA"/>
    <w:rsid w:val="00207847"/>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0610"/>
    <w:rsid w:val="00332148"/>
    <w:rsid w:val="003367C7"/>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0C82"/>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C38"/>
    <w:rsid w:val="00437FBC"/>
    <w:rsid w:val="00441199"/>
    <w:rsid w:val="00443227"/>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7D4"/>
    <w:rsid w:val="004E4D05"/>
    <w:rsid w:val="004E60A0"/>
    <w:rsid w:val="004E6AF0"/>
    <w:rsid w:val="004E7CCD"/>
    <w:rsid w:val="004E7EA8"/>
    <w:rsid w:val="004F10D9"/>
    <w:rsid w:val="004F12CD"/>
    <w:rsid w:val="004F1D77"/>
    <w:rsid w:val="004F347D"/>
    <w:rsid w:val="004F43DC"/>
    <w:rsid w:val="004F445E"/>
    <w:rsid w:val="004F45F0"/>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5F2A"/>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5E47"/>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080A"/>
    <w:rsid w:val="006D1430"/>
    <w:rsid w:val="006D1A43"/>
    <w:rsid w:val="006D2254"/>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6ADF"/>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0CAA"/>
    <w:rsid w:val="007210C8"/>
    <w:rsid w:val="0072147E"/>
    <w:rsid w:val="0072241B"/>
    <w:rsid w:val="00723451"/>
    <w:rsid w:val="00723C19"/>
    <w:rsid w:val="00724765"/>
    <w:rsid w:val="0072483B"/>
    <w:rsid w:val="00724A5B"/>
    <w:rsid w:val="00725278"/>
    <w:rsid w:val="007266C6"/>
    <w:rsid w:val="00726D57"/>
    <w:rsid w:val="007279F3"/>
    <w:rsid w:val="007306A2"/>
    <w:rsid w:val="00731823"/>
    <w:rsid w:val="007319DB"/>
    <w:rsid w:val="00732909"/>
    <w:rsid w:val="00733AF0"/>
    <w:rsid w:val="00733E1A"/>
    <w:rsid w:val="00733EEC"/>
    <w:rsid w:val="00735333"/>
    <w:rsid w:val="00736351"/>
    <w:rsid w:val="007365DD"/>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50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96B58"/>
    <w:rsid w:val="007A0911"/>
    <w:rsid w:val="007A1015"/>
    <w:rsid w:val="007A12E1"/>
    <w:rsid w:val="007A23CF"/>
    <w:rsid w:val="007A3228"/>
    <w:rsid w:val="007A4220"/>
    <w:rsid w:val="007A49E9"/>
    <w:rsid w:val="007A52D3"/>
    <w:rsid w:val="007A53A3"/>
    <w:rsid w:val="007A6ACD"/>
    <w:rsid w:val="007A6E85"/>
    <w:rsid w:val="007B0AE0"/>
    <w:rsid w:val="007B303A"/>
    <w:rsid w:val="007B35CB"/>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599D"/>
    <w:rsid w:val="007F60F2"/>
    <w:rsid w:val="007F6498"/>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050"/>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959F7"/>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2DC9"/>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37D"/>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05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74A"/>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412F"/>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BFF"/>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89"/>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6962"/>
    <w:rsid w:val="00AF78FE"/>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48A3"/>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14EF"/>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011"/>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6AB5"/>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283E"/>
    <w:rsid w:val="00F4460C"/>
    <w:rsid w:val="00F44898"/>
    <w:rsid w:val="00F47153"/>
    <w:rsid w:val="00F47EA1"/>
    <w:rsid w:val="00F504D6"/>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7BED"/>
    <w:pPr>
      <w:keepNext/>
      <w:spacing w:line="320" w:lineRule="exact"/>
      <w:jc w:val="both"/>
      <w:outlineLvl w:val="0"/>
    </w:pPr>
    <w:rPr>
      <w:rFonts w:ascii="Calibri" w:hAnsi="Calibri" w:cs="Arial"/>
      <w:b/>
      <w:spacing w:val="2"/>
      <w:lang w:eastAsia="pt-BR"/>
    </w:rPr>
  </w:style>
  <w:style w:type="paragraph" w:styleId="Heading2">
    <w:name w:val="heading 2"/>
    <w:basedOn w:val="Normal"/>
    <w:next w:val="Normal"/>
    <w:link w:val="Heading2Char"/>
    <w:qFormat/>
    <w:rsid w:val="007802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8027E"/>
    <w:pPr>
      <w:keepNext/>
      <w:spacing w:line="288" w:lineRule="auto"/>
      <w:ind w:left="-120" w:right="-176"/>
      <w:jc w:val="both"/>
      <w:outlineLvl w:val="3"/>
    </w:pPr>
    <w:rPr>
      <w:rFonts w:ascii="Arial" w:hAnsi="Arial" w:cs="Arial"/>
      <w:b/>
      <w:bCs/>
      <w:sz w:val="22"/>
    </w:rPr>
  </w:style>
  <w:style w:type="paragraph" w:styleId="Heading5">
    <w:name w:val="heading 5"/>
    <w:basedOn w:val="Normal"/>
    <w:next w:val="Normal"/>
    <w:link w:val="Heading5Char"/>
    <w:qFormat/>
    <w:rsid w:val="0078027E"/>
    <w:pPr>
      <w:spacing w:before="240" w:after="60"/>
      <w:outlineLvl w:val="4"/>
    </w:pPr>
    <w:rPr>
      <w:b/>
      <w:bCs/>
      <w:i/>
      <w:iCs/>
      <w:sz w:val="26"/>
      <w:szCs w:val="26"/>
      <w:lang w:val="en-US"/>
    </w:rPr>
  </w:style>
  <w:style w:type="paragraph" w:styleId="Heading6">
    <w:name w:val="heading 6"/>
    <w:basedOn w:val="Normal"/>
    <w:next w:val="Normal"/>
    <w:link w:val="Heading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8027E"/>
    <w:rPr>
      <w:rFonts w:ascii="Arial" w:eastAsia="Times New Roman" w:hAnsi="Arial" w:cs="Arial"/>
      <w:b/>
      <w:bCs/>
      <w:i/>
      <w:iCs/>
      <w:sz w:val="28"/>
      <w:szCs w:val="28"/>
    </w:rPr>
  </w:style>
  <w:style w:type="character" w:customStyle="1" w:styleId="Heading4Char">
    <w:name w:val="Heading 4 Char"/>
    <w:basedOn w:val="DefaultParagraphFont"/>
    <w:link w:val="Heading4"/>
    <w:rsid w:val="0078027E"/>
    <w:rPr>
      <w:rFonts w:ascii="Arial" w:eastAsia="Times New Roman" w:hAnsi="Arial" w:cs="Arial"/>
      <w:b/>
      <w:bCs/>
      <w:szCs w:val="24"/>
    </w:rPr>
  </w:style>
  <w:style w:type="character" w:customStyle="1" w:styleId="Heading5Char">
    <w:name w:val="Heading 5 Char"/>
    <w:basedOn w:val="DefaultParagraphFont"/>
    <w:link w:val="Heading5"/>
    <w:rsid w:val="0078027E"/>
    <w:rPr>
      <w:rFonts w:ascii="Times New Roman" w:eastAsia="Times New Roman" w:hAnsi="Times New Roman" w:cs="Times New Roman"/>
      <w:b/>
      <w:bCs/>
      <w:i/>
      <w:iCs/>
      <w:sz w:val="26"/>
      <w:szCs w:val="26"/>
      <w:lang w:val="en-US"/>
    </w:rPr>
  </w:style>
  <w:style w:type="paragraph" w:styleId="BlockText">
    <w:name w:val="Block Text"/>
    <w:basedOn w:val="Normal"/>
    <w:uiPriority w:val="99"/>
    <w:rsid w:val="0078027E"/>
    <w:pPr>
      <w:spacing w:line="288" w:lineRule="auto"/>
      <w:ind w:left="-120" w:right="-176"/>
      <w:jc w:val="both"/>
    </w:pPr>
    <w:rPr>
      <w:rFonts w:ascii="Arial" w:hAnsi="Arial" w:cs="Arial"/>
      <w:sz w:val="22"/>
    </w:rPr>
  </w:style>
  <w:style w:type="paragraph" w:styleId="Header">
    <w:name w:val="header"/>
    <w:aliases w:val="Tulo1"/>
    <w:basedOn w:val="Normal"/>
    <w:link w:val="HeaderChar"/>
    <w:uiPriority w:val="99"/>
    <w:rsid w:val="0078027E"/>
    <w:pPr>
      <w:tabs>
        <w:tab w:val="center" w:pos="4320"/>
        <w:tab w:val="right" w:pos="8640"/>
      </w:tabs>
    </w:pPr>
  </w:style>
  <w:style w:type="character" w:customStyle="1" w:styleId="HeaderChar">
    <w:name w:val="Header Char"/>
    <w:aliases w:val="Tulo1 Char"/>
    <w:basedOn w:val="DefaultParagraphFont"/>
    <w:link w:val="Header"/>
    <w:uiPriority w:val="99"/>
    <w:rsid w:val="0078027E"/>
    <w:rPr>
      <w:rFonts w:ascii="Times New Roman" w:eastAsia="Times New Roman" w:hAnsi="Times New Roman" w:cs="Times New Roman"/>
      <w:sz w:val="24"/>
      <w:szCs w:val="24"/>
    </w:rPr>
  </w:style>
  <w:style w:type="table" w:styleId="TableGrid">
    <w:name w:val="Table Grid"/>
    <w:basedOn w:val="Table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027E"/>
    <w:pPr>
      <w:spacing w:after="120"/>
    </w:pPr>
  </w:style>
  <w:style w:type="character" w:customStyle="1" w:styleId="BodyTextChar">
    <w:name w:val="Body Text Char"/>
    <w:basedOn w:val="DefaultParagraphFont"/>
    <w:link w:val="BodyText"/>
    <w:rsid w:val="0078027E"/>
    <w:rPr>
      <w:rFonts w:ascii="Times New Roman" w:eastAsia="Times New Roman" w:hAnsi="Times New Roman" w:cs="Times New Roman"/>
      <w:sz w:val="24"/>
      <w:szCs w:val="24"/>
    </w:rPr>
  </w:style>
  <w:style w:type="paragraph" w:styleId="Footer">
    <w:name w:val="footer"/>
    <w:basedOn w:val="Normal"/>
    <w:link w:val="FooterChar"/>
    <w:uiPriority w:val="99"/>
    <w:rsid w:val="0078027E"/>
    <w:pPr>
      <w:tabs>
        <w:tab w:val="center" w:pos="4419"/>
        <w:tab w:val="right" w:pos="8838"/>
      </w:tabs>
    </w:pPr>
  </w:style>
  <w:style w:type="character" w:customStyle="1" w:styleId="FooterChar">
    <w:name w:val="Footer Char"/>
    <w:basedOn w:val="DefaultParagraphFont"/>
    <w:link w:val="Footer"/>
    <w:uiPriority w:val="99"/>
    <w:rsid w:val="0078027E"/>
    <w:rPr>
      <w:rFonts w:ascii="Times New Roman" w:eastAsia="Times New Roman" w:hAnsi="Times New Roman" w:cs="Times New Roman"/>
      <w:sz w:val="24"/>
      <w:szCs w:val="24"/>
    </w:rPr>
  </w:style>
  <w:style w:type="character" w:styleId="PageNumber">
    <w:name w:val="page number"/>
    <w:basedOn w:val="DefaultParagraphFont"/>
    <w:rsid w:val="0078027E"/>
  </w:style>
  <w:style w:type="paragraph" w:styleId="BodyTextIndent">
    <w:name w:val="Body Text Indent"/>
    <w:basedOn w:val="Normal"/>
    <w:link w:val="BodyTextIndentChar"/>
    <w:rsid w:val="0078027E"/>
    <w:pPr>
      <w:spacing w:after="120"/>
      <w:ind w:left="360"/>
    </w:pPr>
  </w:style>
  <w:style w:type="character" w:customStyle="1" w:styleId="BodyTextIndentChar">
    <w:name w:val="Body Text Indent Char"/>
    <w:basedOn w:val="DefaultParagraphFont"/>
    <w:link w:val="BodyTextIndent"/>
    <w:uiPriority w:val="99"/>
    <w:rsid w:val="0078027E"/>
    <w:rPr>
      <w:rFonts w:ascii="Times New Roman" w:eastAsia="Times New Roman" w:hAnsi="Times New Roman" w:cs="Times New Roman"/>
      <w:sz w:val="24"/>
      <w:szCs w:val="24"/>
    </w:rPr>
  </w:style>
  <w:style w:type="paragraph" w:styleId="BalloonText">
    <w:name w:val="Balloon Text"/>
    <w:basedOn w:val="Normal"/>
    <w:link w:val="BalloonTextChar"/>
    <w:semiHidden/>
    <w:rsid w:val="0078027E"/>
    <w:rPr>
      <w:rFonts w:ascii="Tahoma" w:hAnsi="Tahoma" w:cs="Tahoma"/>
      <w:sz w:val="16"/>
      <w:szCs w:val="16"/>
    </w:rPr>
  </w:style>
  <w:style w:type="character" w:customStyle="1" w:styleId="BalloonTextChar">
    <w:name w:val="Balloon Text Char"/>
    <w:basedOn w:val="DefaultParagraphFont"/>
    <w:link w:val="BalloonText"/>
    <w:semiHidden/>
    <w:rsid w:val="0078027E"/>
    <w:rPr>
      <w:rFonts w:ascii="Tahoma" w:eastAsia="Times New Roman" w:hAnsi="Tahoma" w:cs="Tahoma"/>
      <w:sz w:val="16"/>
      <w:szCs w:val="16"/>
    </w:rPr>
  </w:style>
  <w:style w:type="paragraph" w:styleId="ListBullet">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CommentReference">
    <w:name w:val="annotation reference"/>
    <w:rsid w:val="0078027E"/>
    <w:rPr>
      <w:sz w:val="16"/>
      <w:szCs w:val="16"/>
    </w:rPr>
  </w:style>
  <w:style w:type="paragraph" w:styleId="CommentText">
    <w:name w:val="annotation text"/>
    <w:basedOn w:val="Normal"/>
    <w:link w:val="CommentTextChar"/>
    <w:uiPriority w:val="99"/>
    <w:semiHidden/>
    <w:rsid w:val="00F223F2"/>
    <w:rPr>
      <w:rFonts w:ascii="Verdana" w:hAnsi="Verdana"/>
      <w:szCs w:val="20"/>
    </w:rPr>
  </w:style>
  <w:style w:type="character" w:customStyle="1" w:styleId="CommentTextChar">
    <w:name w:val="Comment Text Char"/>
    <w:basedOn w:val="DefaultParagraphFont"/>
    <w:link w:val="CommentText"/>
    <w:uiPriority w:val="99"/>
    <w:semiHidden/>
    <w:rsid w:val="00F223F2"/>
    <w:rPr>
      <w:rFonts w:ascii="Verdana" w:eastAsia="Times New Roman" w:hAnsi="Verdana" w:cs="Times New Roman"/>
      <w:sz w:val="24"/>
      <w:szCs w:val="20"/>
    </w:rPr>
  </w:style>
  <w:style w:type="paragraph" w:styleId="CommentSubject">
    <w:name w:val="annotation subject"/>
    <w:basedOn w:val="CommentText"/>
    <w:next w:val="CommentText"/>
    <w:link w:val="CommentSubjectChar"/>
    <w:semiHidden/>
    <w:rsid w:val="0078027E"/>
    <w:rPr>
      <w:b/>
      <w:bCs/>
    </w:rPr>
  </w:style>
  <w:style w:type="character" w:customStyle="1" w:styleId="CommentSubjectChar">
    <w:name w:val="Comment Subject Char"/>
    <w:basedOn w:val="CommentTextChar"/>
    <w:link w:val="CommentSubject"/>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ListParagraph">
    <w:name w:val="List Paragraph"/>
    <w:aliases w:val="Vitor Título,Vitor T’tulo,Normal numerado,Meu"/>
    <w:basedOn w:val="Normal"/>
    <w:link w:val="ListParagraph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ion">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78027E"/>
    <w:rPr>
      <w:rFonts w:ascii="Consolas" w:hAnsi="Consolas"/>
      <w:sz w:val="21"/>
      <w:szCs w:val="21"/>
      <w:lang w:val="en-US"/>
    </w:rPr>
  </w:style>
  <w:style w:type="character" w:customStyle="1" w:styleId="PlainTextChar">
    <w:name w:val="Plain Text Char"/>
    <w:basedOn w:val="DefaultParagraphFont"/>
    <w:link w:val="PlainText"/>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BodyText2">
    <w:name w:val="Body Text 2"/>
    <w:basedOn w:val="Normal"/>
    <w:link w:val="BodyText2Char"/>
    <w:rsid w:val="0078027E"/>
    <w:pPr>
      <w:spacing w:after="120" w:line="480" w:lineRule="auto"/>
    </w:pPr>
  </w:style>
  <w:style w:type="character" w:customStyle="1" w:styleId="BodyText2Char">
    <w:name w:val="Body Text 2 Char"/>
    <w:basedOn w:val="DefaultParagraphFont"/>
    <w:link w:val="BodyText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BodyTextIndent3">
    <w:name w:val="Body Text Indent 3"/>
    <w:basedOn w:val="Normal"/>
    <w:link w:val="BodyTextIndent3Char"/>
    <w:rsid w:val="0078027E"/>
    <w:pPr>
      <w:spacing w:after="120"/>
      <w:ind w:left="283"/>
    </w:pPr>
    <w:rPr>
      <w:sz w:val="16"/>
      <w:szCs w:val="16"/>
    </w:rPr>
  </w:style>
  <w:style w:type="character" w:customStyle="1" w:styleId="BodyTextIndent3Char">
    <w:name w:val="Body Text Indent 3 Char"/>
    <w:basedOn w:val="DefaultParagraphFont"/>
    <w:link w:val="BodyTextIndent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PlaceholderText">
    <w:name w:val="Placeholder Text"/>
    <w:basedOn w:val="DefaultParagraphFont"/>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NoSpacing">
    <w:name w:val="No Spacing"/>
    <w:basedOn w:val="Normal"/>
    <w:uiPriority w:val="1"/>
    <w:qFormat/>
    <w:rsid w:val="00332148"/>
    <w:rPr>
      <w:rFonts w:ascii="Calibri" w:eastAsiaTheme="minorHAnsi" w:hAnsi="Calibri" w:cs="Calibri"/>
      <w:sz w:val="22"/>
      <w:szCs w:val="22"/>
      <w:lang w:eastAsia="pt-BR"/>
    </w:rPr>
  </w:style>
  <w:style w:type="character" w:customStyle="1" w:styleId="ListParagraphChar">
    <w:name w:val="List Paragraph Char"/>
    <w:aliases w:val="Vitor Título Char,Vitor T’tulo Char,Normal numerado Char,Meu Char"/>
    <w:link w:val="ListParagraph"/>
    <w:uiPriority w:val="34"/>
    <w:qFormat/>
    <w:locked/>
    <w:rsid w:val="00757C55"/>
    <w:rPr>
      <w:rFonts w:ascii="Times New Roman" w:eastAsia="Times New Roman" w:hAnsi="Times New Roman" w:cs="Times New Roman"/>
      <w:sz w:val="24"/>
      <w:szCs w:val="24"/>
      <w:lang w:eastAsia="pt-BR"/>
    </w:rPr>
  </w:style>
  <w:style w:type="character" w:customStyle="1" w:styleId="Heading3Char">
    <w:name w:val="Heading 3 Char"/>
    <w:basedOn w:val="DefaultParagraphFont"/>
    <w:link w:val="Heading3"/>
    <w:uiPriority w:val="9"/>
    <w:rsid w:val="008E7B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27BED"/>
    <w:rPr>
      <w:rFonts w:ascii="Calibri" w:eastAsia="Times New Roman" w:hAnsi="Calibri" w:cs="Arial"/>
      <w:b/>
      <w:spacing w:val="2"/>
      <w:sz w:val="24"/>
      <w:szCs w:val="24"/>
      <w:lang w:eastAsia="pt-BR"/>
    </w:rPr>
  </w:style>
  <w:style w:type="character" w:customStyle="1" w:styleId="Heading6Char">
    <w:name w:val="Heading 6 Char"/>
    <w:basedOn w:val="DefaultParagraphFont"/>
    <w:link w:val="Heading6"/>
    <w:uiPriority w:val="9"/>
    <w:rsid w:val="002F3C01"/>
    <w:rPr>
      <w:rFonts w:ascii="Calibri" w:eastAsia="Times New Roman" w:hAnsi="Calibri" w:cs="Times New Roman"/>
      <w:b/>
      <w:spacing w:val="2"/>
      <w:sz w:val="24"/>
      <w:szCs w:val="24"/>
    </w:rPr>
  </w:style>
  <w:style w:type="paragraph" w:styleId="List">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Strong">
    <w:name w:val="Strong"/>
    <w:basedOn w:val="DefaultParagraphFont"/>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DefaultParagraphFont"/>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itle">
    <w:name w:val="Subtitle"/>
    <w:basedOn w:val="Normal"/>
    <w:next w:val="Normal"/>
    <w:link w:val="SubtitleChar1"/>
    <w:qFormat/>
    <w:rsid w:val="009977E6"/>
    <w:pPr>
      <w:spacing w:after="60"/>
      <w:jc w:val="center"/>
      <w:outlineLvl w:val="1"/>
    </w:pPr>
    <w:rPr>
      <w:rFonts w:ascii="Cambria" w:hAnsi="Cambria"/>
      <w:lang w:val="x-none" w:eastAsia="x-none"/>
    </w:rPr>
  </w:style>
  <w:style w:type="character" w:customStyle="1" w:styleId="SubtitleChar1">
    <w:name w:val="Subtitle Char1"/>
    <w:basedOn w:val="DefaultParagraphFont"/>
    <w:link w:val="Subtitle"/>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itle">
    <w:name w:val="Title"/>
    <w:basedOn w:val="Normal"/>
    <w:link w:val="TitleChar"/>
    <w:qFormat/>
    <w:rsid w:val="00732909"/>
    <w:pPr>
      <w:jc w:val="center"/>
    </w:pPr>
    <w:rPr>
      <w:rFonts w:ascii="Akzidenz Grotesk Light" w:hAnsi="Akzidenz Grotesk Light"/>
      <w:b/>
      <w:sz w:val="20"/>
      <w:szCs w:val="20"/>
      <w:lang w:val="x-none" w:eastAsia="x-none"/>
    </w:rPr>
  </w:style>
  <w:style w:type="character" w:customStyle="1" w:styleId="TitleChar">
    <w:name w:val="Title Char"/>
    <w:basedOn w:val="DefaultParagraphFont"/>
    <w:link w:val="Title"/>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DefaultParagraphFont"/>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FootnoteText">
    <w:name w:val="footnote text"/>
    <w:basedOn w:val="Normal"/>
    <w:link w:val="FootnoteTextChar"/>
    <w:semiHidden/>
    <w:rsid w:val="00E43642"/>
    <w:pPr>
      <w:jc w:val="both"/>
    </w:pPr>
    <w:rPr>
      <w:sz w:val="20"/>
      <w:szCs w:val="20"/>
      <w:lang w:eastAsia="pt-BR"/>
    </w:rPr>
  </w:style>
  <w:style w:type="character" w:customStyle="1" w:styleId="FootnoteTextChar">
    <w:name w:val="Footnote Text Char"/>
    <w:basedOn w:val="DefaultParagraphFont"/>
    <w:link w:val="FootnoteText"/>
    <w:semiHidden/>
    <w:rsid w:val="00E43642"/>
    <w:rPr>
      <w:rFonts w:ascii="Times New Roman" w:eastAsia="Times New Roman" w:hAnsi="Times New Roman" w:cs="Times New Roman"/>
      <w:sz w:val="20"/>
      <w:szCs w:val="20"/>
      <w:lang w:eastAsia="pt-BR"/>
    </w:rPr>
  </w:style>
  <w:style w:type="character" w:styleId="FootnoteReference">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6D080A"/>
    <w:pPr>
      <w:spacing w:after="0" w:line="260" w:lineRule="atLeast"/>
    </w:pPr>
    <w:rPr>
      <w:rFonts w:ascii="Times New Roman" w:hAnsi="Times New Roman" w:cs="Times New Roman"/>
      <w:lang w:val="en-GB"/>
    </w:rPr>
  </w:style>
  <w:style w:type="paragraph" w:customStyle="1" w:styleId="Par3">
    <w:name w:val="Par3"/>
    <w:basedOn w:val="Par2"/>
    <w:qFormat/>
    <w:rsid w:val="006D080A"/>
    <w:pPr>
      <w:tabs>
        <w:tab w:val="num" w:pos="1800"/>
      </w:tabs>
      <w:ind w:left="1800" w:hanging="180"/>
    </w:pPr>
  </w:style>
  <w:style w:type="paragraph" w:customStyle="1" w:styleId="Par2">
    <w:name w:val="Par2"/>
    <w:link w:val="Par2Char"/>
    <w:qFormat/>
    <w:rsid w:val="006D080A"/>
    <w:pPr>
      <w:spacing w:after="0" w:line="360" w:lineRule="auto"/>
      <w:jc w:val="both"/>
    </w:pPr>
    <w:rPr>
      <w:rFonts w:ascii="Verdana" w:eastAsia="Times New Roman" w:hAnsi="Verdana" w:cstheme="minorHAnsi"/>
      <w:sz w:val="20"/>
      <w:szCs w:val="20"/>
      <w:lang w:eastAsia="pt-BR"/>
    </w:rPr>
  </w:style>
  <w:style w:type="character" w:customStyle="1" w:styleId="Par2Char">
    <w:name w:val="Par2 Char"/>
    <w:basedOn w:val="DefaultParagraphFont"/>
    <w:link w:val="Par2"/>
    <w:rsid w:val="006D080A"/>
    <w:rPr>
      <w:rFonts w:ascii="Verdana" w:eastAsia="Times New Roman" w:hAnsi="Verdana" w:cstheme="minorHAnsi"/>
      <w:sz w:val="20"/>
      <w:szCs w:val="20"/>
      <w:lang w:eastAsia="pt-BR"/>
    </w:rPr>
  </w:style>
  <w:style w:type="paragraph" w:customStyle="1" w:styleId="Body">
    <w:name w:val="Body"/>
    <w:basedOn w:val="Normal"/>
    <w:rsid w:val="003E0C82"/>
    <w:pPr>
      <w:spacing w:after="140" w:line="290" w:lineRule="auto"/>
      <w:jc w:val="both"/>
    </w:pPr>
    <w:rPr>
      <w:rFonts w:ascii="Arial" w:hAnsi="Arial"/>
      <w:kern w:val="20"/>
      <w:sz w:val="20"/>
      <w:lang w:val="en-GB"/>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E0C82"/>
    <w:pPr>
      <w:spacing w:after="160" w:line="240" w:lineRule="exact"/>
      <w:jc w:val="both"/>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FE9E-8F5A-4E9E-9BBD-EFAFC6EB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1522</Words>
  <Characters>8681</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Thiago Storoli</cp:lastModifiedBy>
  <cp:revision>8</cp:revision>
  <cp:lastPrinted>2020-06-26T02:31:00Z</cp:lastPrinted>
  <dcterms:created xsi:type="dcterms:W3CDTF">2021-03-24T16:01:00Z</dcterms:created>
  <dcterms:modified xsi:type="dcterms:W3CDTF">2021-04-14T12:37:00Z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20210326124048461</vt:lpwstr>
  </property>
</Properties>
</file>