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7566" w14:textId="77777777" w:rsidR="00CA25FD" w:rsidRPr="008D72DA" w:rsidRDefault="003A4E9D" w:rsidP="008D72DA">
      <w:pPr>
        <w:spacing w:line="300" w:lineRule="exact"/>
        <w:jc w:val="both"/>
        <w:rPr>
          <w:rFonts w:ascii="Verdana" w:hAnsi="Verdana"/>
          <w:b/>
          <w:bCs/>
          <w:sz w:val="20"/>
          <w:szCs w:val="20"/>
          <w:lang w:val="pt-BR"/>
        </w:rPr>
      </w:pPr>
      <w:r w:rsidRPr="008D72DA">
        <w:rPr>
          <w:rFonts w:ascii="Verdana" w:eastAsia="SimSun" w:hAnsi="Verdana"/>
          <w:b/>
          <w:sz w:val="20"/>
          <w:szCs w:val="20"/>
          <w:lang w:val="pt-BR"/>
        </w:rPr>
        <w:t>PRIMEIRO</w:t>
      </w:r>
      <w:r w:rsidR="009344B1" w:rsidRPr="008D72DA">
        <w:rPr>
          <w:rFonts w:ascii="Verdana" w:eastAsia="SimSun" w:hAnsi="Verdana"/>
          <w:b/>
          <w:sz w:val="20"/>
          <w:szCs w:val="20"/>
          <w:lang w:val="pt-BR"/>
        </w:rPr>
        <w:t xml:space="preserve"> ADITAMENTO </w:t>
      </w:r>
      <w:r w:rsidRPr="008D72DA">
        <w:rPr>
          <w:rFonts w:ascii="Verdana" w:eastAsia="SimSun" w:hAnsi="Verdana"/>
          <w:b/>
          <w:sz w:val="20"/>
          <w:szCs w:val="20"/>
          <w:lang w:val="pt-BR"/>
        </w:rPr>
        <w:t>AO</w:t>
      </w:r>
      <w:r w:rsidRPr="008D72DA">
        <w:rPr>
          <w:rFonts w:ascii="Verdana" w:hAnsi="Verdana" w:cstheme="minorHAnsi"/>
          <w:b/>
          <w:smallCaps/>
          <w:sz w:val="20"/>
          <w:szCs w:val="20"/>
          <w:lang w:val="pt-BR"/>
        </w:rPr>
        <w:t xml:space="preserve"> TERMO DE SECURITIZAÇÃO DE CRÉDITOS IMOBILIÁRIOS DA 280ª SÉRIE DA 1ª EMISSÃO DE CERTIFICADOS DE RECEBÍVEIS IMOBILIÁRIOS DA RB CAPITAL COMPANHIA DE SECURITIZAÇÃO</w:t>
      </w:r>
    </w:p>
    <w:p w14:paraId="68277390" w14:textId="77777777" w:rsidR="00CA25FD" w:rsidRPr="008D72DA" w:rsidRDefault="00CA25FD" w:rsidP="008D72DA">
      <w:pPr>
        <w:pStyle w:val="AONormal"/>
        <w:spacing w:line="300" w:lineRule="exact"/>
        <w:jc w:val="both"/>
        <w:rPr>
          <w:rFonts w:ascii="Verdana" w:hAnsi="Verdana"/>
          <w:sz w:val="20"/>
          <w:szCs w:val="20"/>
          <w:lang w:val="pt-BR"/>
        </w:rPr>
      </w:pPr>
    </w:p>
    <w:p w14:paraId="4C894D47" w14:textId="77777777" w:rsidR="00CA25FD" w:rsidRPr="008D72DA" w:rsidRDefault="00CA25FD" w:rsidP="008D72DA">
      <w:pPr>
        <w:pStyle w:val="AONormal"/>
        <w:spacing w:line="300" w:lineRule="exact"/>
        <w:jc w:val="both"/>
        <w:rPr>
          <w:rFonts w:ascii="Verdana" w:hAnsi="Verdana"/>
          <w:sz w:val="20"/>
          <w:szCs w:val="20"/>
          <w:lang w:val="pt-BR"/>
        </w:rPr>
      </w:pPr>
      <w:r w:rsidRPr="008D72DA">
        <w:rPr>
          <w:rFonts w:ascii="Verdana" w:hAnsi="Verdana"/>
          <w:sz w:val="20"/>
          <w:szCs w:val="20"/>
          <w:lang w:val="pt-BR"/>
        </w:rPr>
        <w:t xml:space="preserve">Pelo presente </w:t>
      </w:r>
      <w:r w:rsidRPr="008D72DA">
        <w:rPr>
          <w:rFonts w:ascii="Verdana" w:hAnsi="Verdana"/>
          <w:i/>
          <w:sz w:val="20"/>
          <w:szCs w:val="20"/>
          <w:lang w:val="pt-BR"/>
        </w:rPr>
        <w:t>“Primeiro</w:t>
      </w:r>
      <w:r w:rsidR="0060120A" w:rsidRPr="008D72DA">
        <w:rPr>
          <w:rFonts w:ascii="Verdana" w:hAnsi="Verdana" w:cstheme="minorHAnsi"/>
          <w:sz w:val="20"/>
          <w:szCs w:val="20"/>
          <w:lang w:val="pt-BR"/>
        </w:rPr>
        <w:t xml:space="preserve"> </w:t>
      </w:r>
      <w:r w:rsidR="009B0024" w:rsidRPr="008D72DA">
        <w:rPr>
          <w:rFonts w:ascii="Verdana" w:hAnsi="Verdana" w:cstheme="minorHAnsi"/>
          <w:sz w:val="20"/>
          <w:szCs w:val="20"/>
          <w:lang w:val="pt-BR"/>
        </w:rPr>
        <w:t xml:space="preserve">Aditamento ao </w:t>
      </w:r>
      <w:r w:rsidR="0060120A" w:rsidRPr="008D72DA">
        <w:rPr>
          <w:rFonts w:ascii="Verdana" w:hAnsi="Verdana" w:cstheme="minorHAnsi"/>
          <w:i/>
          <w:iCs/>
          <w:sz w:val="20"/>
          <w:szCs w:val="20"/>
          <w:lang w:val="pt-BR"/>
        </w:rPr>
        <w:t xml:space="preserve">Termo de Securitização de Créditos Imobiliários da 280ª Série da 1ª Emissão de Certificados de Recebíveis Imobiliários da </w:t>
      </w:r>
      <w:bookmarkStart w:id="0" w:name="_GoBack"/>
      <w:bookmarkEnd w:id="0"/>
      <w:r w:rsidR="0060120A" w:rsidRPr="008D72DA">
        <w:rPr>
          <w:rFonts w:ascii="Verdana" w:hAnsi="Verdana" w:cstheme="minorHAnsi"/>
          <w:i/>
          <w:iCs/>
          <w:sz w:val="20"/>
          <w:szCs w:val="20"/>
          <w:lang w:val="pt-BR"/>
        </w:rPr>
        <w:t>RB Capital Companhia de Securitização</w:t>
      </w:r>
      <w:r w:rsidR="0060120A" w:rsidRPr="008D72DA">
        <w:rPr>
          <w:rFonts w:ascii="Verdana" w:hAnsi="Verdana" w:cstheme="minorHAnsi"/>
          <w:sz w:val="20"/>
          <w:szCs w:val="20"/>
          <w:lang w:val="pt-BR"/>
        </w:rPr>
        <w:t>”</w:t>
      </w:r>
      <w:r w:rsidRPr="008D72DA">
        <w:rPr>
          <w:rFonts w:ascii="Verdana" w:hAnsi="Verdana"/>
          <w:sz w:val="20"/>
          <w:szCs w:val="20"/>
          <w:lang w:val="pt-BR"/>
        </w:rPr>
        <w:t xml:space="preserve"> (“</w:t>
      </w:r>
      <w:r w:rsidR="00D57857" w:rsidRPr="008D72DA">
        <w:rPr>
          <w:rFonts w:ascii="Verdana" w:hAnsi="Verdana"/>
          <w:sz w:val="20"/>
          <w:szCs w:val="20"/>
          <w:u w:val="single"/>
          <w:lang w:val="pt-BR"/>
        </w:rPr>
        <w:t>Aditamento</w:t>
      </w:r>
      <w:r w:rsidRPr="008D72DA">
        <w:rPr>
          <w:rFonts w:ascii="Verdana" w:hAnsi="Verdana"/>
          <w:sz w:val="20"/>
          <w:szCs w:val="20"/>
          <w:lang w:val="pt-BR"/>
        </w:rPr>
        <w:t>”):</w:t>
      </w:r>
    </w:p>
    <w:p w14:paraId="4A668132" w14:textId="77777777" w:rsidR="00CA25FD" w:rsidRPr="008D72DA" w:rsidRDefault="00CA25FD" w:rsidP="008D72DA">
      <w:pPr>
        <w:pStyle w:val="AONormal"/>
        <w:spacing w:line="300" w:lineRule="exact"/>
        <w:rPr>
          <w:rFonts w:ascii="Verdana" w:hAnsi="Verdana"/>
          <w:sz w:val="20"/>
          <w:szCs w:val="20"/>
          <w:lang w:val="pt-BR"/>
        </w:rPr>
      </w:pPr>
    </w:p>
    <w:p w14:paraId="5977444A" w14:textId="77777777" w:rsidR="003A4E9D" w:rsidRPr="008D72DA" w:rsidRDefault="003A4E9D" w:rsidP="008D72DA">
      <w:pPr>
        <w:pStyle w:val="AONormal"/>
        <w:numPr>
          <w:ilvl w:val="0"/>
          <w:numId w:val="6"/>
        </w:numPr>
        <w:spacing w:line="300" w:lineRule="exact"/>
        <w:ind w:left="0" w:firstLine="0"/>
        <w:jc w:val="both"/>
        <w:rPr>
          <w:rFonts w:ascii="Verdana" w:hAnsi="Verdana" w:cstheme="minorHAnsi"/>
          <w:sz w:val="20"/>
          <w:szCs w:val="20"/>
          <w:lang w:val="pt-BR"/>
        </w:rPr>
      </w:pPr>
      <w:r w:rsidRPr="008D72DA">
        <w:rPr>
          <w:rFonts w:ascii="Verdana" w:hAnsi="Verdana" w:cstheme="minorHAnsi"/>
          <w:b/>
          <w:smallCaps/>
          <w:sz w:val="20"/>
          <w:szCs w:val="20"/>
          <w:lang w:val="pt-BR"/>
        </w:rPr>
        <w:t>RB CAPITAL COMPANHIA DE SECURITIZAÇÃO</w:t>
      </w:r>
      <w:r w:rsidRPr="008D72DA">
        <w:rPr>
          <w:rFonts w:ascii="Verdana" w:hAnsi="Verdana" w:cstheme="minorHAnsi"/>
          <w:sz w:val="20"/>
          <w:szCs w:val="20"/>
          <w:lang w:val="pt-BR"/>
        </w:rPr>
        <w:t xml:space="preserve">, companhia aberta, com sede na Cidade de São Paulo, Estado de São Paulo, na Avenida Brigadeiro Faria Lima, nº 4.440, 11º andar, Parte, Itaim Bibi, CEP 04538-132, inscrita no </w:t>
      </w:r>
      <w:r w:rsidR="008C5141" w:rsidRPr="008D72DA">
        <w:rPr>
          <w:rFonts w:ascii="Verdana" w:hAnsi="Verdana" w:cstheme="minorHAnsi"/>
          <w:sz w:val="20"/>
          <w:szCs w:val="20"/>
          <w:lang w:val="pt-BR"/>
        </w:rPr>
        <w:t>Cadastro Nacional de Pessoas Jurídicas do Ministério da Economia (“</w:t>
      </w:r>
      <w:r w:rsidRPr="008D72DA">
        <w:rPr>
          <w:rFonts w:ascii="Verdana" w:hAnsi="Verdana" w:cstheme="minorHAnsi"/>
          <w:sz w:val="20"/>
          <w:szCs w:val="20"/>
          <w:u w:val="single"/>
          <w:lang w:val="pt-BR"/>
        </w:rPr>
        <w:t>CNPJ/ME</w:t>
      </w:r>
      <w:r w:rsidR="008C5141" w:rsidRPr="008D72DA">
        <w:rPr>
          <w:rFonts w:ascii="Verdana" w:hAnsi="Verdana" w:cstheme="minorHAnsi"/>
          <w:sz w:val="20"/>
          <w:szCs w:val="20"/>
          <w:lang w:val="pt-BR"/>
        </w:rPr>
        <w:t>”)</w:t>
      </w:r>
      <w:r w:rsidRPr="008D72DA">
        <w:rPr>
          <w:rFonts w:ascii="Verdana" w:hAnsi="Verdana" w:cstheme="minorHAnsi"/>
          <w:sz w:val="20"/>
          <w:szCs w:val="20"/>
          <w:lang w:val="pt-BR"/>
        </w:rPr>
        <w:t xml:space="preserve"> sob o nº 02.773.542/0001-22, neste ato representada na forma de seu estatuto social (“</w:t>
      </w:r>
      <w:r w:rsidRPr="008D72DA">
        <w:rPr>
          <w:rFonts w:ascii="Verdana" w:hAnsi="Verdana" w:cstheme="minorHAnsi"/>
          <w:sz w:val="20"/>
          <w:szCs w:val="20"/>
          <w:u w:val="single"/>
          <w:lang w:val="pt-BR"/>
        </w:rPr>
        <w:t>Emissora</w:t>
      </w:r>
      <w:r w:rsidRPr="008D72DA">
        <w:rPr>
          <w:rFonts w:ascii="Verdana" w:hAnsi="Verdana" w:cstheme="minorHAnsi"/>
          <w:sz w:val="20"/>
          <w:szCs w:val="20"/>
          <w:lang w:val="pt-BR"/>
        </w:rPr>
        <w:t>”); e</w:t>
      </w:r>
    </w:p>
    <w:p w14:paraId="4F839EA7" w14:textId="77777777" w:rsidR="003A4E9D" w:rsidRPr="008D72DA" w:rsidRDefault="003A4E9D" w:rsidP="008D72DA">
      <w:pPr>
        <w:spacing w:line="300" w:lineRule="exact"/>
        <w:rPr>
          <w:rFonts w:ascii="Verdana" w:hAnsi="Verdana" w:cstheme="minorHAnsi"/>
          <w:sz w:val="20"/>
          <w:szCs w:val="20"/>
          <w:lang w:val="pt-BR"/>
        </w:rPr>
      </w:pPr>
    </w:p>
    <w:p w14:paraId="076A495C" w14:textId="77777777" w:rsidR="00CA25FD" w:rsidRPr="008D72DA" w:rsidRDefault="003A4E9D" w:rsidP="008D72DA">
      <w:pPr>
        <w:pStyle w:val="AONormal"/>
        <w:numPr>
          <w:ilvl w:val="0"/>
          <w:numId w:val="6"/>
        </w:numPr>
        <w:spacing w:line="300" w:lineRule="exact"/>
        <w:ind w:left="0" w:firstLine="0"/>
        <w:jc w:val="both"/>
        <w:rPr>
          <w:rFonts w:ascii="Verdana" w:hAnsi="Verdana"/>
          <w:sz w:val="20"/>
          <w:szCs w:val="20"/>
          <w:lang w:val="pt-BR"/>
        </w:rPr>
      </w:pPr>
      <w:r w:rsidRPr="008D72DA">
        <w:rPr>
          <w:rFonts w:ascii="Verdana" w:hAnsi="Verdana" w:cstheme="minorHAnsi"/>
          <w:b/>
          <w:bCs/>
          <w:sz w:val="20"/>
          <w:szCs w:val="20"/>
          <w:lang w:val="pt-BR"/>
        </w:rPr>
        <w:t>SIMPLIFIC PAVARINI DISTRIBUIDORA DE TÍTULOS E VALORES MOBILIÁRIOS LTDA</w:t>
      </w:r>
      <w:r w:rsidRPr="008D72DA">
        <w:rPr>
          <w:rFonts w:ascii="Verdana" w:hAnsi="Verdana" w:cstheme="minorHAnsi"/>
          <w:b/>
          <w:sz w:val="20"/>
          <w:szCs w:val="20"/>
          <w:lang w:val="pt-BR"/>
        </w:rPr>
        <w:t>.</w:t>
      </w:r>
      <w:r w:rsidRPr="008D72DA">
        <w:rPr>
          <w:rFonts w:ascii="Verdana" w:hAnsi="Verdana" w:cstheme="minorHAnsi"/>
          <w:bCs/>
          <w:sz w:val="20"/>
          <w:szCs w:val="20"/>
          <w:lang w:val="pt-BR"/>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Pr="008D72DA">
        <w:rPr>
          <w:rFonts w:ascii="Verdana" w:hAnsi="Verdana" w:cstheme="minorHAnsi"/>
          <w:sz w:val="20"/>
          <w:szCs w:val="20"/>
          <w:lang w:val="pt-BR"/>
        </w:rPr>
        <w:t>, na qualidade de representante dos Titulares de CRI, conforme abaixo definido (“</w:t>
      </w:r>
      <w:r w:rsidRPr="008D72DA">
        <w:rPr>
          <w:rFonts w:ascii="Verdana" w:hAnsi="Verdana" w:cstheme="minorHAnsi"/>
          <w:sz w:val="20"/>
          <w:szCs w:val="20"/>
          <w:u w:val="single"/>
          <w:lang w:val="pt-BR"/>
        </w:rPr>
        <w:t>Agente Fiduciário</w:t>
      </w:r>
      <w:r w:rsidRPr="008D72DA">
        <w:rPr>
          <w:rFonts w:ascii="Verdana" w:hAnsi="Verdana" w:cstheme="minorHAnsi"/>
          <w:sz w:val="20"/>
          <w:szCs w:val="20"/>
          <w:lang w:val="pt-BR"/>
        </w:rPr>
        <w:t>”);</w:t>
      </w:r>
      <w:r w:rsidR="00CA25FD" w:rsidRPr="008D72DA">
        <w:rPr>
          <w:rFonts w:ascii="Verdana" w:hAnsi="Verdana"/>
          <w:bCs/>
          <w:sz w:val="20"/>
          <w:szCs w:val="20"/>
          <w:lang w:val="pt-BR"/>
        </w:rPr>
        <w:t xml:space="preserve"> </w:t>
      </w:r>
    </w:p>
    <w:p w14:paraId="138CF5FD" w14:textId="77777777" w:rsidR="00CA25FD" w:rsidRPr="008D72DA" w:rsidRDefault="00CA25FD" w:rsidP="008D72DA">
      <w:pPr>
        <w:pStyle w:val="AONormal"/>
        <w:spacing w:line="300" w:lineRule="exact"/>
        <w:jc w:val="both"/>
        <w:rPr>
          <w:rFonts w:ascii="Verdana" w:hAnsi="Verdana"/>
          <w:bCs/>
          <w:sz w:val="20"/>
          <w:szCs w:val="20"/>
          <w:lang w:val="pt-BR"/>
        </w:rPr>
      </w:pPr>
    </w:p>
    <w:p w14:paraId="21C59ACB" w14:textId="77777777" w:rsidR="00CA25FD" w:rsidRPr="008D72DA" w:rsidRDefault="00CA25FD" w:rsidP="008D72DA">
      <w:pPr>
        <w:widowControl w:val="0"/>
        <w:spacing w:line="300" w:lineRule="exact"/>
        <w:jc w:val="both"/>
        <w:rPr>
          <w:rFonts w:ascii="Verdana" w:hAnsi="Verdana"/>
          <w:bCs/>
          <w:sz w:val="20"/>
          <w:szCs w:val="20"/>
          <w:lang w:val="pt-BR"/>
        </w:rPr>
      </w:pPr>
      <w:r w:rsidRPr="008D72DA">
        <w:rPr>
          <w:rFonts w:ascii="Verdana" w:hAnsi="Verdana"/>
          <w:bCs/>
          <w:sz w:val="20"/>
          <w:szCs w:val="20"/>
          <w:lang w:val="pt-BR"/>
        </w:rPr>
        <w:t>Sendo a Emissora</w:t>
      </w:r>
      <w:r w:rsidR="00ED45F3" w:rsidRPr="008D72DA">
        <w:rPr>
          <w:rFonts w:ascii="Verdana" w:hAnsi="Verdana"/>
          <w:bCs/>
          <w:sz w:val="20"/>
          <w:szCs w:val="20"/>
          <w:lang w:val="pt-BR"/>
        </w:rPr>
        <w:t xml:space="preserve"> e o Agente Fiduciário</w:t>
      </w:r>
      <w:r w:rsidRPr="008D72DA">
        <w:rPr>
          <w:rFonts w:ascii="Verdana" w:hAnsi="Verdana"/>
          <w:bCs/>
          <w:sz w:val="20"/>
          <w:szCs w:val="20"/>
          <w:lang w:val="pt-BR"/>
        </w:rPr>
        <w:t xml:space="preserve"> denominados individualmente </w:t>
      </w:r>
      <w:r w:rsidRPr="008D72DA">
        <w:rPr>
          <w:rFonts w:ascii="Verdana" w:hAnsi="Verdana"/>
          <w:sz w:val="20"/>
          <w:szCs w:val="20"/>
          <w:lang w:val="pt-BR"/>
        </w:rPr>
        <w:t>“</w:t>
      </w:r>
      <w:r w:rsidRPr="008D72DA">
        <w:rPr>
          <w:rFonts w:ascii="Verdana" w:hAnsi="Verdana"/>
          <w:bCs/>
          <w:sz w:val="20"/>
          <w:szCs w:val="20"/>
          <w:u w:val="single"/>
          <w:lang w:val="pt-BR"/>
        </w:rPr>
        <w:t>Parte</w:t>
      </w:r>
      <w:r w:rsidRPr="008D72DA">
        <w:rPr>
          <w:rFonts w:ascii="Verdana" w:hAnsi="Verdana"/>
          <w:sz w:val="20"/>
          <w:szCs w:val="20"/>
          <w:lang w:val="pt-BR"/>
        </w:rPr>
        <w:t>”</w:t>
      </w:r>
      <w:r w:rsidRPr="008D72DA">
        <w:rPr>
          <w:rFonts w:ascii="Verdana" w:hAnsi="Verdana"/>
          <w:bCs/>
          <w:sz w:val="20"/>
          <w:szCs w:val="20"/>
          <w:lang w:val="pt-BR"/>
        </w:rPr>
        <w:t xml:space="preserve"> e, em conjunto, </w:t>
      </w:r>
      <w:r w:rsidRPr="008D72DA">
        <w:rPr>
          <w:rFonts w:ascii="Verdana" w:hAnsi="Verdana"/>
          <w:sz w:val="20"/>
          <w:szCs w:val="20"/>
          <w:lang w:val="pt-BR"/>
        </w:rPr>
        <w:t>“</w:t>
      </w:r>
      <w:r w:rsidRPr="008D72DA">
        <w:rPr>
          <w:rFonts w:ascii="Verdana" w:hAnsi="Verdana"/>
          <w:bCs/>
          <w:sz w:val="20"/>
          <w:szCs w:val="20"/>
          <w:u w:val="single"/>
          <w:lang w:val="pt-BR"/>
        </w:rPr>
        <w:t>Partes</w:t>
      </w:r>
      <w:r w:rsidRPr="008D72DA">
        <w:rPr>
          <w:rFonts w:ascii="Verdana" w:hAnsi="Verdana"/>
          <w:sz w:val="20"/>
          <w:szCs w:val="20"/>
          <w:lang w:val="pt-BR"/>
        </w:rPr>
        <w:t>”.</w:t>
      </w:r>
    </w:p>
    <w:p w14:paraId="34D013D8" w14:textId="77777777" w:rsidR="00CA25FD" w:rsidRPr="008D72DA" w:rsidRDefault="00CA25FD" w:rsidP="008D72DA">
      <w:pPr>
        <w:widowControl w:val="0"/>
        <w:spacing w:line="300" w:lineRule="exact"/>
        <w:jc w:val="both"/>
        <w:rPr>
          <w:rFonts w:ascii="Verdana" w:hAnsi="Verdana"/>
          <w:bCs/>
          <w:sz w:val="20"/>
          <w:szCs w:val="20"/>
          <w:lang w:val="pt-BR"/>
        </w:rPr>
      </w:pPr>
    </w:p>
    <w:p w14:paraId="2D9624DB" w14:textId="77777777" w:rsidR="00CA25FD" w:rsidRPr="008D72DA" w:rsidRDefault="00CA25FD" w:rsidP="008D72DA">
      <w:pPr>
        <w:spacing w:line="300" w:lineRule="exact"/>
        <w:ind w:left="705" w:hanging="705"/>
        <w:rPr>
          <w:rFonts w:ascii="Verdana" w:hAnsi="Verdana"/>
          <w:b/>
          <w:bCs/>
          <w:sz w:val="20"/>
          <w:szCs w:val="20"/>
          <w:lang w:val="pt-BR"/>
        </w:rPr>
      </w:pPr>
      <w:r w:rsidRPr="008D72DA">
        <w:rPr>
          <w:rFonts w:ascii="Verdana" w:hAnsi="Verdana"/>
          <w:b/>
          <w:bCs/>
          <w:sz w:val="20"/>
          <w:szCs w:val="20"/>
          <w:lang w:val="pt-BR"/>
        </w:rPr>
        <w:t>CONSIDERANDO QUE:</w:t>
      </w:r>
    </w:p>
    <w:p w14:paraId="7410A1CC" w14:textId="77777777" w:rsidR="0060120A" w:rsidRPr="008D72DA" w:rsidRDefault="0060120A" w:rsidP="008D72DA">
      <w:pPr>
        <w:spacing w:line="300" w:lineRule="exact"/>
        <w:ind w:left="705" w:hanging="705"/>
        <w:rPr>
          <w:rFonts w:ascii="Verdana" w:hAnsi="Verdana"/>
          <w:b/>
          <w:bCs/>
          <w:sz w:val="20"/>
          <w:szCs w:val="20"/>
          <w:lang w:val="pt-BR"/>
        </w:rPr>
      </w:pPr>
    </w:p>
    <w:p w14:paraId="3D1C10D0" w14:textId="21894FD1" w:rsidR="00F21089" w:rsidRPr="008D72DA" w:rsidRDefault="00B60B49"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proofErr w:type="gramStart"/>
      <w:r w:rsidRPr="008D72DA">
        <w:rPr>
          <w:rFonts w:ascii="Verdana" w:hAnsi="Verdana"/>
          <w:sz w:val="20"/>
          <w:szCs w:val="20"/>
          <w:lang w:val="pt-BR"/>
        </w:rPr>
        <w:t>em</w:t>
      </w:r>
      <w:proofErr w:type="gramEnd"/>
      <w:r w:rsidRPr="008D72DA">
        <w:rPr>
          <w:rFonts w:ascii="Verdana" w:hAnsi="Verdana"/>
          <w:sz w:val="20"/>
          <w:szCs w:val="20"/>
          <w:lang w:val="pt-BR"/>
        </w:rPr>
        <w:t xml:space="preserve"> 25 de junho de 2020, </w:t>
      </w:r>
      <w:r w:rsidR="00DC3644" w:rsidRPr="008D72DA">
        <w:rPr>
          <w:rFonts w:ascii="Verdana" w:hAnsi="Verdana"/>
          <w:spacing w:val="2"/>
          <w:sz w:val="20"/>
          <w:szCs w:val="20"/>
          <w:lang w:val="pt-BR"/>
        </w:rPr>
        <w:t xml:space="preserve">as Partes celebraram o </w:t>
      </w:r>
      <w:r w:rsidR="0060120A" w:rsidRPr="008D72DA">
        <w:rPr>
          <w:rFonts w:ascii="Verdana" w:hAnsi="Verdana" w:cstheme="minorHAnsi"/>
          <w:sz w:val="20"/>
          <w:szCs w:val="20"/>
          <w:lang w:val="pt-BR"/>
        </w:rPr>
        <w:t>“</w:t>
      </w:r>
      <w:r w:rsidR="0060120A" w:rsidRPr="008D72DA">
        <w:rPr>
          <w:rFonts w:ascii="Verdana" w:hAnsi="Verdana" w:cstheme="minorHAnsi"/>
          <w:i/>
          <w:iCs/>
          <w:sz w:val="20"/>
          <w:szCs w:val="20"/>
          <w:lang w:val="pt-BR"/>
        </w:rPr>
        <w:t>Termo de Securitização de Créditos Imobiliários da 280ª Série da 1ª Emissão de Certificados de Recebíveis Imobiliários da RB Capital Companhia de Securitização</w:t>
      </w:r>
      <w:r w:rsidR="0060120A" w:rsidRPr="008D72DA">
        <w:rPr>
          <w:rFonts w:ascii="Verdana" w:hAnsi="Verdana" w:cstheme="minorHAnsi"/>
          <w:sz w:val="20"/>
          <w:szCs w:val="20"/>
          <w:lang w:val="pt-BR"/>
        </w:rPr>
        <w:t>”</w:t>
      </w:r>
      <w:r w:rsidR="00BA45C9" w:rsidRPr="008D72DA">
        <w:rPr>
          <w:rFonts w:ascii="Verdana" w:hAnsi="Verdana"/>
          <w:sz w:val="20"/>
          <w:szCs w:val="20"/>
          <w:lang w:val="pt-BR"/>
        </w:rPr>
        <w:t xml:space="preserve"> </w:t>
      </w:r>
      <w:r w:rsidR="00055204" w:rsidRPr="008D72DA">
        <w:rPr>
          <w:rFonts w:ascii="Verdana" w:hAnsi="Verdana" w:cstheme="minorHAnsi"/>
          <w:sz w:val="20"/>
          <w:szCs w:val="20"/>
          <w:lang w:val="pt-BR"/>
        </w:rPr>
        <w:t>(“</w:t>
      </w:r>
      <w:r w:rsidR="00055204" w:rsidRPr="008D72DA">
        <w:rPr>
          <w:rFonts w:ascii="Verdana" w:hAnsi="Verdana" w:cstheme="minorHAnsi"/>
          <w:sz w:val="20"/>
          <w:szCs w:val="20"/>
          <w:u w:val="single"/>
          <w:lang w:val="pt-BR"/>
        </w:rPr>
        <w:t>Termo de Securitização</w:t>
      </w:r>
      <w:r w:rsidR="00055204" w:rsidRPr="008D72DA">
        <w:rPr>
          <w:rFonts w:ascii="Verdana" w:hAnsi="Verdana" w:cstheme="minorHAnsi"/>
          <w:sz w:val="20"/>
          <w:szCs w:val="20"/>
          <w:lang w:val="pt-BR"/>
        </w:rPr>
        <w:t>”)</w:t>
      </w:r>
      <w:r w:rsidR="00CA25FD" w:rsidRPr="008D72DA">
        <w:rPr>
          <w:rFonts w:ascii="Verdana" w:hAnsi="Verdana"/>
          <w:sz w:val="20"/>
          <w:szCs w:val="20"/>
          <w:lang w:val="pt-BR"/>
        </w:rPr>
        <w:t>;</w:t>
      </w:r>
      <w:r w:rsidR="00BA45C9" w:rsidRPr="008D72DA">
        <w:rPr>
          <w:rFonts w:ascii="Verdana" w:hAnsi="Verdana"/>
          <w:sz w:val="20"/>
          <w:szCs w:val="20"/>
          <w:lang w:val="pt-BR"/>
        </w:rPr>
        <w:t xml:space="preserve"> e</w:t>
      </w:r>
    </w:p>
    <w:p w14:paraId="78BDBF38" w14:textId="77777777" w:rsidR="00CA25FD" w:rsidRPr="008D72DA" w:rsidRDefault="00CA25FD" w:rsidP="008D72DA">
      <w:pPr>
        <w:tabs>
          <w:tab w:val="left" w:pos="709"/>
          <w:tab w:val="left" w:pos="1418"/>
        </w:tabs>
        <w:spacing w:line="300" w:lineRule="exact"/>
        <w:jc w:val="both"/>
        <w:rPr>
          <w:rFonts w:ascii="Verdana" w:hAnsi="Verdana"/>
          <w:sz w:val="20"/>
          <w:szCs w:val="20"/>
          <w:lang w:val="pt-BR"/>
        </w:rPr>
      </w:pPr>
    </w:p>
    <w:p w14:paraId="225DC85F" w14:textId="42065FC1" w:rsidR="002A0099" w:rsidRPr="008D72DA" w:rsidRDefault="00333690"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proofErr w:type="gramStart"/>
      <w:r w:rsidRPr="008D72DA">
        <w:rPr>
          <w:rFonts w:ascii="Verdana" w:hAnsi="Verdana"/>
          <w:sz w:val="20"/>
          <w:szCs w:val="20"/>
          <w:lang w:val="pt-BR"/>
        </w:rPr>
        <w:t>a</w:t>
      </w:r>
      <w:r w:rsidR="00A41E2E" w:rsidRPr="008D72DA">
        <w:rPr>
          <w:rFonts w:ascii="Verdana" w:hAnsi="Verdana"/>
          <w:sz w:val="20"/>
          <w:szCs w:val="20"/>
          <w:lang w:val="pt-BR"/>
        </w:rPr>
        <w:t>s</w:t>
      </w:r>
      <w:proofErr w:type="gramEnd"/>
      <w:r w:rsidR="00A41E2E" w:rsidRPr="008D72DA">
        <w:rPr>
          <w:rFonts w:ascii="Verdana" w:hAnsi="Verdana"/>
          <w:sz w:val="20"/>
          <w:szCs w:val="20"/>
          <w:lang w:val="pt-BR"/>
        </w:rPr>
        <w:t xml:space="preserve"> Partes </w:t>
      </w:r>
      <w:r w:rsidRPr="008D72DA">
        <w:rPr>
          <w:rFonts w:ascii="Verdana" w:hAnsi="Verdana"/>
          <w:sz w:val="20"/>
          <w:szCs w:val="20"/>
          <w:lang w:val="pt-BR"/>
        </w:rPr>
        <w:t>deseja</w:t>
      </w:r>
      <w:r w:rsidR="00A41E2E" w:rsidRPr="008D72DA">
        <w:rPr>
          <w:rFonts w:ascii="Verdana" w:hAnsi="Verdana"/>
          <w:sz w:val="20"/>
          <w:szCs w:val="20"/>
          <w:lang w:val="pt-BR"/>
        </w:rPr>
        <w:t>m</w:t>
      </w:r>
      <w:r w:rsidRPr="008D72DA">
        <w:rPr>
          <w:rFonts w:ascii="Verdana" w:hAnsi="Verdana"/>
          <w:sz w:val="20"/>
          <w:szCs w:val="20"/>
          <w:lang w:val="pt-BR"/>
        </w:rPr>
        <w:t xml:space="preserve"> aditar </w:t>
      </w:r>
      <w:r w:rsidR="00A41E2E" w:rsidRPr="008D72DA">
        <w:rPr>
          <w:rFonts w:ascii="Verdana" w:hAnsi="Verdana"/>
          <w:sz w:val="20"/>
          <w:szCs w:val="20"/>
          <w:lang w:val="pt-BR"/>
        </w:rPr>
        <w:t>o</w:t>
      </w:r>
      <w:r w:rsidRPr="008D72DA">
        <w:rPr>
          <w:rFonts w:ascii="Verdana" w:hAnsi="Verdana"/>
          <w:sz w:val="20"/>
          <w:szCs w:val="20"/>
          <w:lang w:val="pt-BR"/>
        </w:rPr>
        <w:t xml:space="preserve"> </w:t>
      </w:r>
      <w:r w:rsidR="00A41E2E" w:rsidRPr="008D72DA">
        <w:rPr>
          <w:rFonts w:ascii="Verdana" w:hAnsi="Verdana"/>
          <w:sz w:val="20"/>
          <w:szCs w:val="20"/>
          <w:lang w:val="pt-BR"/>
        </w:rPr>
        <w:t>Termo de Securitização</w:t>
      </w:r>
      <w:r w:rsidR="00B71A6F" w:rsidRPr="008D72DA">
        <w:rPr>
          <w:rFonts w:ascii="Verdana" w:hAnsi="Verdana"/>
          <w:sz w:val="20"/>
          <w:szCs w:val="20"/>
          <w:lang w:val="pt-BR"/>
        </w:rPr>
        <w:t xml:space="preserve"> </w:t>
      </w:r>
      <w:r w:rsidR="007A52EC" w:rsidRPr="008D72DA">
        <w:rPr>
          <w:rFonts w:ascii="Verdana" w:hAnsi="Verdana"/>
          <w:sz w:val="20"/>
          <w:szCs w:val="20"/>
          <w:lang w:val="pt-BR"/>
        </w:rPr>
        <w:t>a fim de</w:t>
      </w:r>
      <w:r w:rsidR="00A41E2E" w:rsidRPr="008D72DA">
        <w:rPr>
          <w:rFonts w:ascii="Verdana" w:hAnsi="Verdana"/>
          <w:sz w:val="20"/>
          <w:szCs w:val="20"/>
          <w:lang w:val="pt-BR"/>
        </w:rPr>
        <w:t xml:space="preserve"> </w:t>
      </w:r>
      <w:r w:rsidR="00383E79" w:rsidRPr="008D72DA">
        <w:rPr>
          <w:rFonts w:ascii="Verdana" w:hAnsi="Verdana"/>
          <w:b/>
          <w:bCs/>
          <w:sz w:val="20"/>
          <w:szCs w:val="20"/>
          <w:lang w:val="pt-BR"/>
        </w:rPr>
        <w:t>(a)</w:t>
      </w:r>
      <w:r w:rsidR="007A52EC" w:rsidRPr="008D72DA">
        <w:rPr>
          <w:rFonts w:ascii="Verdana" w:hAnsi="Verdana"/>
          <w:b/>
          <w:bCs/>
          <w:sz w:val="20"/>
          <w:szCs w:val="20"/>
          <w:lang w:val="pt-BR"/>
        </w:rPr>
        <w:t xml:space="preserve"> </w:t>
      </w:r>
      <w:r w:rsidR="007A52EC" w:rsidRPr="008D72DA">
        <w:rPr>
          <w:rFonts w:ascii="Verdana" w:hAnsi="Verdana"/>
          <w:sz w:val="20"/>
          <w:szCs w:val="20"/>
          <w:lang w:val="pt-BR"/>
        </w:rPr>
        <w:t>alterar</w:t>
      </w:r>
      <w:r w:rsidR="00383E79" w:rsidRPr="008D72DA">
        <w:rPr>
          <w:rFonts w:ascii="Verdana" w:hAnsi="Verdana"/>
          <w:sz w:val="20"/>
          <w:szCs w:val="20"/>
          <w:lang w:val="pt-BR"/>
        </w:rPr>
        <w:t xml:space="preserve"> </w:t>
      </w:r>
      <w:bookmarkStart w:id="1" w:name="_Hlk44330899"/>
      <w:r w:rsidR="0022777F" w:rsidRPr="008D72DA">
        <w:rPr>
          <w:rFonts w:ascii="Verdana" w:hAnsi="Verdana"/>
          <w:sz w:val="20"/>
          <w:szCs w:val="20"/>
          <w:lang w:val="pt-BR"/>
        </w:rPr>
        <w:t>o</w:t>
      </w:r>
      <w:r w:rsidR="007A52EC" w:rsidRPr="008D72DA">
        <w:rPr>
          <w:rFonts w:ascii="Verdana" w:hAnsi="Verdana"/>
          <w:sz w:val="20"/>
          <w:szCs w:val="20"/>
          <w:lang w:val="pt-BR"/>
        </w:rPr>
        <w:t>s</w:t>
      </w:r>
      <w:r w:rsidR="0022777F" w:rsidRPr="008D72DA">
        <w:rPr>
          <w:rFonts w:ascii="Verdana" w:hAnsi="Verdana"/>
          <w:sz w:val="20"/>
          <w:szCs w:val="20"/>
          <w:lang w:val="pt-BR"/>
        </w:rPr>
        <w:t xml:space="preserve"> ite</w:t>
      </w:r>
      <w:r w:rsidR="007A52EC" w:rsidRPr="008D72DA">
        <w:rPr>
          <w:rFonts w:ascii="Verdana" w:hAnsi="Verdana"/>
          <w:sz w:val="20"/>
          <w:szCs w:val="20"/>
          <w:lang w:val="pt-BR"/>
        </w:rPr>
        <w:t>ns “(xi)”, “(</w:t>
      </w:r>
      <w:proofErr w:type="spellStart"/>
      <w:r w:rsidR="007A52EC" w:rsidRPr="008D72DA">
        <w:rPr>
          <w:rFonts w:ascii="Verdana" w:hAnsi="Verdana"/>
          <w:sz w:val="20"/>
          <w:szCs w:val="20"/>
          <w:lang w:val="pt-BR"/>
        </w:rPr>
        <w:t>xiii</w:t>
      </w:r>
      <w:proofErr w:type="spellEnd"/>
      <w:r w:rsidR="007A52EC" w:rsidRPr="008D72DA">
        <w:rPr>
          <w:rFonts w:ascii="Verdana" w:hAnsi="Verdana"/>
          <w:sz w:val="20"/>
          <w:szCs w:val="20"/>
          <w:lang w:val="pt-BR"/>
        </w:rPr>
        <w:t>)”, “(</w:t>
      </w:r>
      <w:proofErr w:type="spellStart"/>
      <w:r w:rsidR="007A52EC" w:rsidRPr="008D72DA">
        <w:rPr>
          <w:rFonts w:ascii="Verdana" w:hAnsi="Verdana"/>
          <w:sz w:val="20"/>
          <w:szCs w:val="20"/>
          <w:lang w:val="pt-BR"/>
        </w:rPr>
        <w:t>xvi</w:t>
      </w:r>
      <w:proofErr w:type="spellEnd"/>
      <w:r w:rsidR="007A52EC" w:rsidRPr="008D72DA">
        <w:rPr>
          <w:rFonts w:ascii="Verdana" w:hAnsi="Verdana"/>
          <w:sz w:val="20"/>
          <w:szCs w:val="20"/>
          <w:lang w:val="pt-BR"/>
        </w:rPr>
        <w:t>)” e</w:t>
      </w:r>
      <w:r w:rsidR="0022777F" w:rsidRPr="008D72DA">
        <w:rPr>
          <w:rFonts w:ascii="Verdana" w:hAnsi="Verdana"/>
          <w:sz w:val="20"/>
          <w:szCs w:val="20"/>
          <w:lang w:val="pt-BR"/>
        </w:rPr>
        <w:t xml:space="preserve"> “</w:t>
      </w:r>
      <w:r w:rsidR="0022777F" w:rsidRPr="008D72DA">
        <w:rPr>
          <w:rFonts w:ascii="Verdana" w:hAnsi="Verdana"/>
          <w:bCs/>
          <w:sz w:val="20"/>
          <w:szCs w:val="20"/>
          <w:lang w:val="pt-BR"/>
        </w:rPr>
        <w:t>(</w:t>
      </w:r>
      <w:proofErr w:type="spellStart"/>
      <w:r w:rsidR="0022777F" w:rsidRPr="008D72DA">
        <w:rPr>
          <w:rFonts w:ascii="Verdana" w:hAnsi="Verdana"/>
          <w:bCs/>
          <w:sz w:val="20"/>
          <w:szCs w:val="20"/>
          <w:lang w:val="pt-BR"/>
        </w:rPr>
        <w:t>xxv</w:t>
      </w:r>
      <w:proofErr w:type="spellEnd"/>
      <w:r w:rsidR="0022777F" w:rsidRPr="008D72DA">
        <w:rPr>
          <w:rFonts w:ascii="Verdana" w:hAnsi="Verdana"/>
          <w:bCs/>
          <w:sz w:val="20"/>
          <w:szCs w:val="20"/>
          <w:lang w:val="pt-BR"/>
        </w:rPr>
        <w:t>)”</w:t>
      </w:r>
      <w:r w:rsidR="0022777F" w:rsidRPr="008D72DA">
        <w:rPr>
          <w:rFonts w:ascii="Verdana" w:hAnsi="Verdana"/>
          <w:b/>
          <w:sz w:val="20"/>
          <w:szCs w:val="20"/>
          <w:lang w:val="pt-BR"/>
        </w:rPr>
        <w:t xml:space="preserve"> </w:t>
      </w:r>
      <w:r w:rsidR="0022777F" w:rsidRPr="008D72DA">
        <w:rPr>
          <w:rFonts w:ascii="Verdana" w:hAnsi="Verdana"/>
          <w:bCs/>
          <w:sz w:val="20"/>
          <w:szCs w:val="20"/>
          <w:lang w:val="pt-BR"/>
        </w:rPr>
        <w:t>d</w:t>
      </w:r>
      <w:r w:rsidR="00383E79" w:rsidRPr="008D72DA">
        <w:rPr>
          <w:rFonts w:ascii="Verdana" w:hAnsi="Verdana"/>
          <w:sz w:val="20"/>
          <w:szCs w:val="20"/>
          <w:lang w:val="pt-BR"/>
        </w:rPr>
        <w:t xml:space="preserve">a Cláusula 6.5 do Termo de Securitização, </w:t>
      </w:r>
      <w:bookmarkEnd w:id="1"/>
      <w:r w:rsidR="007A52EC" w:rsidRPr="008D72DA">
        <w:rPr>
          <w:rFonts w:ascii="Verdana" w:hAnsi="Verdana"/>
          <w:sz w:val="20"/>
          <w:szCs w:val="20"/>
          <w:lang w:val="pt-BR"/>
        </w:rPr>
        <w:t xml:space="preserve">para, dentre outras providências, </w:t>
      </w:r>
      <w:r w:rsidR="00ED45F3" w:rsidRPr="008D72DA">
        <w:rPr>
          <w:rFonts w:ascii="Verdana" w:hAnsi="Verdana"/>
          <w:sz w:val="20"/>
          <w:szCs w:val="20"/>
          <w:lang w:val="pt-BR"/>
        </w:rPr>
        <w:t>retificar</w:t>
      </w:r>
      <w:r w:rsidR="008C5141" w:rsidRPr="008D72DA">
        <w:rPr>
          <w:rFonts w:ascii="Verdana" w:hAnsi="Verdana"/>
          <w:sz w:val="20"/>
          <w:szCs w:val="20"/>
          <w:lang w:val="pt-BR"/>
        </w:rPr>
        <w:t xml:space="preserve"> </w:t>
      </w:r>
      <w:r w:rsidR="007A52EC" w:rsidRPr="008D72DA">
        <w:rPr>
          <w:rFonts w:ascii="Verdana" w:hAnsi="Verdana"/>
          <w:sz w:val="20"/>
          <w:szCs w:val="20"/>
          <w:lang w:val="pt-BR"/>
        </w:rPr>
        <w:t xml:space="preserve">a definição </w:t>
      </w:r>
      <w:r w:rsidR="008C5141" w:rsidRPr="008D72DA">
        <w:rPr>
          <w:rFonts w:ascii="Verdana" w:hAnsi="Verdana"/>
          <w:sz w:val="20"/>
          <w:szCs w:val="20"/>
          <w:lang w:val="pt-BR"/>
        </w:rPr>
        <w:t xml:space="preserve">dos </w:t>
      </w:r>
      <w:proofErr w:type="spellStart"/>
      <w:r w:rsidR="008C5141" w:rsidRPr="008D72DA">
        <w:rPr>
          <w:rFonts w:ascii="Verdana" w:hAnsi="Verdana"/>
          <w:i/>
          <w:sz w:val="20"/>
          <w:szCs w:val="20"/>
          <w:lang w:val="pt-BR"/>
        </w:rPr>
        <w:t>covenants</w:t>
      </w:r>
      <w:proofErr w:type="spellEnd"/>
      <w:r w:rsidR="008C5141" w:rsidRPr="008D72DA">
        <w:rPr>
          <w:rFonts w:ascii="Verdana" w:hAnsi="Verdana"/>
          <w:i/>
          <w:sz w:val="20"/>
          <w:szCs w:val="20"/>
          <w:lang w:val="pt-BR"/>
        </w:rPr>
        <w:t xml:space="preserve"> </w:t>
      </w:r>
      <w:r w:rsidR="008C5141" w:rsidRPr="008D72DA">
        <w:rPr>
          <w:rFonts w:ascii="Verdana" w:hAnsi="Verdana"/>
          <w:sz w:val="20"/>
          <w:szCs w:val="20"/>
          <w:lang w:val="pt-BR"/>
        </w:rPr>
        <w:t>financeiros</w:t>
      </w:r>
      <w:r w:rsidR="007A52EC" w:rsidRPr="008D72DA">
        <w:rPr>
          <w:rFonts w:ascii="Verdana" w:hAnsi="Verdana"/>
          <w:sz w:val="20"/>
          <w:szCs w:val="20"/>
          <w:lang w:val="pt-BR"/>
        </w:rPr>
        <w:t xml:space="preserve"> previstas</w:t>
      </w:r>
      <w:r w:rsidR="006F3303" w:rsidRPr="008D72DA">
        <w:rPr>
          <w:rFonts w:ascii="Verdana" w:hAnsi="Verdana"/>
          <w:sz w:val="20"/>
          <w:szCs w:val="20"/>
          <w:lang w:val="pt-BR"/>
        </w:rPr>
        <w:t xml:space="preserve">; </w:t>
      </w:r>
      <w:r w:rsidR="006F3303" w:rsidRPr="008D72DA">
        <w:rPr>
          <w:rFonts w:ascii="Verdana" w:hAnsi="Verdana"/>
          <w:b/>
          <w:bCs/>
          <w:sz w:val="20"/>
          <w:szCs w:val="20"/>
          <w:lang w:val="pt-BR"/>
        </w:rPr>
        <w:t>(b)</w:t>
      </w:r>
      <w:r w:rsidR="006F3303" w:rsidRPr="008D72DA">
        <w:rPr>
          <w:rFonts w:ascii="Verdana" w:hAnsi="Verdana"/>
          <w:sz w:val="20"/>
          <w:szCs w:val="20"/>
          <w:lang w:val="pt-BR"/>
        </w:rPr>
        <w:t xml:space="preserve"> incluir o item “(</w:t>
      </w:r>
      <w:proofErr w:type="spellStart"/>
      <w:r w:rsidR="006F3303" w:rsidRPr="008D72DA">
        <w:rPr>
          <w:rFonts w:ascii="Verdana" w:hAnsi="Verdana"/>
          <w:sz w:val="20"/>
          <w:szCs w:val="20"/>
          <w:lang w:val="pt-BR"/>
        </w:rPr>
        <w:t>xxiv</w:t>
      </w:r>
      <w:proofErr w:type="spellEnd"/>
      <w:r w:rsidR="006F3303" w:rsidRPr="008D72DA">
        <w:rPr>
          <w:rFonts w:ascii="Verdana" w:hAnsi="Verdana"/>
          <w:sz w:val="20"/>
          <w:szCs w:val="20"/>
          <w:lang w:val="pt-BR"/>
        </w:rPr>
        <w:t>)” na Cláusula 6.5 do Termo de Securitização;</w:t>
      </w:r>
      <w:r w:rsidR="002003E1" w:rsidRPr="008D72DA">
        <w:rPr>
          <w:rFonts w:ascii="Verdana" w:hAnsi="Verdana"/>
          <w:sz w:val="20"/>
          <w:szCs w:val="20"/>
          <w:lang w:val="pt-BR"/>
        </w:rPr>
        <w:t xml:space="preserve"> </w:t>
      </w:r>
      <w:r w:rsidR="006F3303" w:rsidRPr="008D72DA">
        <w:rPr>
          <w:rFonts w:ascii="Verdana" w:hAnsi="Verdana"/>
          <w:sz w:val="20"/>
          <w:szCs w:val="20"/>
          <w:lang w:val="pt-BR"/>
        </w:rPr>
        <w:t xml:space="preserve">e </w:t>
      </w:r>
      <w:r w:rsidR="0022777F" w:rsidRPr="008D72DA">
        <w:rPr>
          <w:rFonts w:ascii="Verdana" w:hAnsi="Verdana"/>
          <w:b/>
          <w:bCs/>
          <w:sz w:val="20"/>
          <w:szCs w:val="20"/>
          <w:lang w:val="pt-BR"/>
        </w:rPr>
        <w:t>(</w:t>
      </w:r>
      <w:r w:rsidR="006F3303" w:rsidRPr="008D72DA">
        <w:rPr>
          <w:rFonts w:ascii="Verdana" w:hAnsi="Verdana"/>
          <w:b/>
          <w:bCs/>
          <w:sz w:val="20"/>
          <w:szCs w:val="20"/>
          <w:lang w:val="pt-BR"/>
        </w:rPr>
        <w:t>c</w:t>
      </w:r>
      <w:r w:rsidR="0022777F" w:rsidRPr="008D72DA">
        <w:rPr>
          <w:rFonts w:ascii="Verdana" w:hAnsi="Verdana"/>
          <w:b/>
          <w:bCs/>
          <w:sz w:val="20"/>
          <w:szCs w:val="20"/>
          <w:lang w:val="pt-BR"/>
        </w:rPr>
        <w:t>)</w:t>
      </w:r>
      <w:r w:rsidR="00ED45F3" w:rsidRPr="008D72DA">
        <w:rPr>
          <w:rFonts w:ascii="Verdana" w:hAnsi="Verdana"/>
          <w:sz w:val="20"/>
          <w:szCs w:val="20"/>
          <w:lang w:val="pt-BR"/>
        </w:rPr>
        <w:t xml:space="preserve"> </w:t>
      </w:r>
      <w:r w:rsidR="006F3303" w:rsidRPr="008D72DA">
        <w:rPr>
          <w:rFonts w:ascii="Verdana" w:hAnsi="Verdana"/>
          <w:sz w:val="20"/>
          <w:szCs w:val="20"/>
          <w:lang w:val="pt-BR"/>
        </w:rPr>
        <w:t xml:space="preserve">alterar </w:t>
      </w:r>
      <w:r w:rsidR="00A41E2E" w:rsidRPr="008D72DA">
        <w:rPr>
          <w:rFonts w:ascii="Verdana" w:hAnsi="Verdana"/>
          <w:sz w:val="20"/>
          <w:szCs w:val="20"/>
          <w:lang w:val="pt-BR"/>
        </w:rPr>
        <w:t xml:space="preserve">o </w:t>
      </w:r>
      <w:r w:rsidR="00A41E2E" w:rsidRPr="008D72DA">
        <w:rPr>
          <w:rFonts w:ascii="Verdana" w:hAnsi="Verdana"/>
          <w:sz w:val="20"/>
          <w:szCs w:val="20"/>
          <w:u w:val="single"/>
          <w:lang w:val="pt-BR"/>
        </w:rPr>
        <w:t>Anexo IX</w:t>
      </w:r>
      <w:r w:rsidR="00A41E2E" w:rsidRPr="008D72DA">
        <w:rPr>
          <w:rFonts w:ascii="Verdana" w:hAnsi="Verdana"/>
          <w:sz w:val="20"/>
          <w:szCs w:val="20"/>
          <w:lang w:val="pt-BR"/>
        </w:rPr>
        <w:t xml:space="preserve"> do </w:t>
      </w:r>
      <w:r w:rsidR="006F3303" w:rsidRPr="008D72DA">
        <w:rPr>
          <w:rFonts w:ascii="Verdana" w:hAnsi="Verdana"/>
          <w:sz w:val="20"/>
          <w:szCs w:val="20"/>
          <w:lang w:val="pt-BR"/>
        </w:rPr>
        <w:t>Termo de Securitização para</w:t>
      </w:r>
      <w:r w:rsidR="00A41E2E" w:rsidRPr="008D72DA">
        <w:rPr>
          <w:rFonts w:ascii="Verdana" w:hAnsi="Verdana"/>
          <w:sz w:val="20"/>
          <w:szCs w:val="20"/>
          <w:lang w:val="pt-BR"/>
        </w:rPr>
        <w:t xml:space="preserve"> </w:t>
      </w:r>
      <w:r w:rsidR="00F40473" w:rsidRPr="008D72DA">
        <w:rPr>
          <w:rFonts w:ascii="Verdana" w:hAnsi="Verdana"/>
          <w:sz w:val="20"/>
          <w:szCs w:val="20"/>
          <w:lang w:val="pt-BR"/>
        </w:rPr>
        <w:t>retificar</w:t>
      </w:r>
      <w:r w:rsidR="0022777F" w:rsidRPr="008D72DA">
        <w:rPr>
          <w:rFonts w:ascii="Verdana" w:hAnsi="Verdana"/>
          <w:sz w:val="20"/>
          <w:szCs w:val="20"/>
          <w:lang w:val="pt-BR"/>
        </w:rPr>
        <w:t xml:space="preserve"> o </w:t>
      </w:r>
      <w:r w:rsidR="00A41E2E" w:rsidRPr="008D72DA">
        <w:rPr>
          <w:rFonts w:ascii="Verdana" w:hAnsi="Verdana"/>
          <w:sz w:val="20"/>
          <w:szCs w:val="20"/>
          <w:lang w:val="pt-BR"/>
        </w:rPr>
        <w:t>descritivo de despesas a serem reembolsadas</w:t>
      </w:r>
      <w:r w:rsidRPr="008D72DA">
        <w:rPr>
          <w:rFonts w:ascii="Verdana" w:hAnsi="Verdana"/>
          <w:sz w:val="20"/>
          <w:szCs w:val="20"/>
          <w:lang w:val="pt-BR"/>
        </w:rPr>
        <w:t>.</w:t>
      </w:r>
    </w:p>
    <w:p w14:paraId="02DCB643" w14:textId="77777777" w:rsidR="00333690" w:rsidRPr="008D72DA" w:rsidRDefault="00333690" w:rsidP="008D72DA">
      <w:pPr>
        <w:pStyle w:val="PargrafodaLista"/>
        <w:spacing w:line="300" w:lineRule="exact"/>
        <w:rPr>
          <w:rFonts w:ascii="Verdana" w:hAnsi="Verdana"/>
          <w:b/>
        </w:rPr>
      </w:pPr>
    </w:p>
    <w:p w14:paraId="6848E255" w14:textId="77777777" w:rsidR="006322BF" w:rsidRPr="008D72DA" w:rsidRDefault="006322BF" w:rsidP="008D72DA">
      <w:pPr>
        <w:tabs>
          <w:tab w:val="left" w:pos="709"/>
          <w:tab w:val="left" w:pos="1418"/>
        </w:tabs>
        <w:spacing w:line="300" w:lineRule="exact"/>
        <w:jc w:val="both"/>
        <w:rPr>
          <w:rFonts w:ascii="Verdana" w:hAnsi="Verdana"/>
          <w:sz w:val="20"/>
          <w:szCs w:val="20"/>
          <w:lang w:val="pt-BR"/>
        </w:rPr>
      </w:pPr>
      <w:r w:rsidRPr="008D72DA">
        <w:rPr>
          <w:rFonts w:ascii="Verdana" w:hAnsi="Verdana"/>
          <w:b/>
          <w:sz w:val="20"/>
          <w:szCs w:val="20"/>
          <w:lang w:val="pt-BR"/>
        </w:rPr>
        <w:t xml:space="preserve">RESOLVEM </w:t>
      </w:r>
      <w:r w:rsidRPr="008D72DA">
        <w:rPr>
          <w:rFonts w:ascii="Verdana" w:hAnsi="Verdana"/>
          <w:sz w:val="20"/>
          <w:szCs w:val="20"/>
          <w:lang w:val="pt-BR"/>
        </w:rPr>
        <w:t xml:space="preserve">firmar o presente </w:t>
      </w:r>
      <w:r w:rsidR="00DF0C3C" w:rsidRPr="008D72DA">
        <w:rPr>
          <w:rFonts w:ascii="Verdana" w:hAnsi="Verdana"/>
          <w:sz w:val="20"/>
          <w:szCs w:val="20"/>
          <w:lang w:val="pt-BR"/>
        </w:rPr>
        <w:t>Aditamento</w:t>
      </w:r>
      <w:r w:rsidRPr="008D72DA">
        <w:rPr>
          <w:rFonts w:ascii="Verdana" w:hAnsi="Verdana"/>
          <w:sz w:val="20"/>
          <w:szCs w:val="20"/>
          <w:lang w:val="pt-BR"/>
        </w:rPr>
        <w:t>, que será regido pelas Cláusulas e condições a seguir estabelecidas.</w:t>
      </w:r>
    </w:p>
    <w:p w14:paraId="32363B00" w14:textId="77777777" w:rsidR="00AB6B6D" w:rsidRPr="008D72DA" w:rsidRDefault="00AB6B6D" w:rsidP="008D72DA">
      <w:pPr>
        <w:tabs>
          <w:tab w:val="left" w:pos="709"/>
          <w:tab w:val="left" w:pos="1418"/>
        </w:tabs>
        <w:spacing w:line="300" w:lineRule="exact"/>
        <w:jc w:val="both"/>
        <w:rPr>
          <w:rFonts w:ascii="Verdana" w:hAnsi="Verdana"/>
          <w:sz w:val="20"/>
          <w:szCs w:val="20"/>
          <w:lang w:val="pt-BR"/>
        </w:rPr>
      </w:pPr>
    </w:p>
    <w:p w14:paraId="112F8477" w14:textId="77777777" w:rsidR="00AB6B6D" w:rsidRPr="008D72DA" w:rsidRDefault="00AB6B6D" w:rsidP="008D72DA">
      <w:pPr>
        <w:pStyle w:val="p0"/>
        <w:numPr>
          <w:ilvl w:val="0"/>
          <w:numId w:val="8"/>
        </w:numPr>
        <w:tabs>
          <w:tab w:val="clear" w:pos="1065"/>
          <w:tab w:val="num" w:pos="720"/>
        </w:tabs>
        <w:suppressAutoHyphens/>
        <w:spacing w:line="300" w:lineRule="exact"/>
        <w:ind w:left="0" w:firstLine="0"/>
        <w:rPr>
          <w:rFonts w:ascii="Verdana" w:hAnsi="Verdana"/>
          <w:b/>
          <w:sz w:val="20"/>
          <w:szCs w:val="20"/>
          <w:u w:val="single"/>
        </w:rPr>
      </w:pPr>
      <w:r w:rsidRPr="008D72DA">
        <w:rPr>
          <w:rFonts w:ascii="Verdana" w:hAnsi="Verdana"/>
          <w:b/>
          <w:sz w:val="20"/>
          <w:szCs w:val="20"/>
          <w:u w:val="single"/>
        </w:rPr>
        <w:lastRenderedPageBreak/>
        <w:t>ALTERAÇÕES E RATIFICAÇÕES</w:t>
      </w:r>
    </w:p>
    <w:p w14:paraId="66F9889E" w14:textId="77777777" w:rsidR="00AB6B6D" w:rsidRPr="008D72DA" w:rsidRDefault="00AB6B6D" w:rsidP="008D72DA">
      <w:pPr>
        <w:suppressAutoHyphens/>
        <w:spacing w:line="300" w:lineRule="exact"/>
        <w:jc w:val="both"/>
        <w:rPr>
          <w:rFonts w:ascii="Verdana" w:hAnsi="Verdana" w:cs="Tahoma"/>
          <w:sz w:val="20"/>
          <w:szCs w:val="20"/>
        </w:rPr>
      </w:pPr>
    </w:p>
    <w:p w14:paraId="140EE361" w14:textId="28838DDC" w:rsidR="00AB6B6D" w:rsidRPr="008D72DA" w:rsidRDefault="00AB6B6D" w:rsidP="008D72DA">
      <w:pPr>
        <w:pStyle w:val="PargrafodaLista"/>
        <w:numPr>
          <w:ilvl w:val="1"/>
          <w:numId w:val="20"/>
        </w:numPr>
        <w:spacing w:line="300" w:lineRule="exact"/>
        <w:ind w:left="709" w:hanging="709"/>
        <w:jc w:val="both"/>
        <w:rPr>
          <w:rFonts w:ascii="Verdana" w:hAnsi="Verdana"/>
        </w:rPr>
      </w:pPr>
      <w:r w:rsidRPr="008D72DA">
        <w:rPr>
          <w:rFonts w:ascii="Verdana" w:hAnsi="Verdana"/>
          <w:bCs/>
        </w:rPr>
        <w:t xml:space="preserve">Pelo presente </w:t>
      </w:r>
      <w:r w:rsidR="00DF0C3C" w:rsidRPr="008D72DA">
        <w:rPr>
          <w:rFonts w:ascii="Verdana" w:hAnsi="Verdana"/>
          <w:bCs/>
        </w:rPr>
        <w:t>Aditamento</w:t>
      </w:r>
      <w:r w:rsidRPr="008D72DA">
        <w:rPr>
          <w:rFonts w:ascii="Verdana" w:hAnsi="Verdana"/>
          <w:bCs/>
        </w:rPr>
        <w:t xml:space="preserve">, </w:t>
      </w:r>
      <w:r w:rsidR="00F40473" w:rsidRPr="008D72DA">
        <w:rPr>
          <w:rFonts w:ascii="Verdana" w:hAnsi="Verdana"/>
          <w:bCs/>
        </w:rPr>
        <w:t xml:space="preserve">as Partes </w:t>
      </w:r>
      <w:r w:rsidRPr="008D72DA">
        <w:rPr>
          <w:rFonts w:ascii="Verdana" w:hAnsi="Verdana"/>
          <w:bCs/>
        </w:rPr>
        <w:t>resolvem</w:t>
      </w:r>
      <w:r w:rsidR="00763734" w:rsidRPr="008D72DA">
        <w:rPr>
          <w:rFonts w:ascii="Verdana" w:hAnsi="Verdana"/>
          <w:bCs/>
        </w:rPr>
        <w:t xml:space="preserve"> </w:t>
      </w:r>
      <w:r w:rsidR="00970F73" w:rsidRPr="008D72DA">
        <w:rPr>
          <w:rFonts w:ascii="Verdana" w:hAnsi="Verdana"/>
          <w:b/>
        </w:rPr>
        <w:t>(i)</w:t>
      </w:r>
      <w:r w:rsidR="00970F73" w:rsidRPr="008D72DA">
        <w:rPr>
          <w:rFonts w:ascii="Verdana" w:hAnsi="Verdana"/>
          <w:bCs/>
        </w:rPr>
        <w:t xml:space="preserve"> </w:t>
      </w:r>
      <w:r w:rsidR="00763734" w:rsidRPr="008D72DA">
        <w:rPr>
          <w:rFonts w:ascii="Verdana" w:hAnsi="Verdana"/>
        </w:rPr>
        <w:t>a</w:t>
      </w:r>
      <w:r w:rsidRPr="008D72DA">
        <w:rPr>
          <w:rFonts w:ascii="Verdana" w:hAnsi="Verdana"/>
        </w:rPr>
        <w:t xml:space="preserve">lterar </w:t>
      </w:r>
      <w:r w:rsidR="00763734" w:rsidRPr="008D72DA">
        <w:rPr>
          <w:rFonts w:ascii="Verdana" w:hAnsi="Verdana"/>
        </w:rPr>
        <w:t xml:space="preserve">os itens </w:t>
      </w:r>
      <w:proofErr w:type="gramStart"/>
      <w:r w:rsidR="00763734" w:rsidRPr="008D72DA">
        <w:rPr>
          <w:rFonts w:ascii="Verdana" w:hAnsi="Verdana"/>
        </w:rPr>
        <w:t>“(</w:t>
      </w:r>
      <w:proofErr w:type="gramEnd"/>
      <w:r w:rsidR="00763734" w:rsidRPr="008D72DA">
        <w:rPr>
          <w:rFonts w:ascii="Verdana" w:hAnsi="Verdana"/>
        </w:rPr>
        <w:t>xi)”, “(</w:t>
      </w:r>
      <w:proofErr w:type="spellStart"/>
      <w:r w:rsidR="00763734" w:rsidRPr="008D72DA">
        <w:rPr>
          <w:rFonts w:ascii="Verdana" w:hAnsi="Verdana"/>
        </w:rPr>
        <w:t>xiii</w:t>
      </w:r>
      <w:proofErr w:type="spellEnd"/>
      <w:r w:rsidR="00763734" w:rsidRPr="008D72DA">
        <w:rPr>
          <w:rFonts w:ascii="Verdana" w:hAnsi="Verdana"/>
        </w:rPr>
        <w:t>)”, “(</w:t>
      </w:r>
      <w:proofErr w:type="spellStart"/>
      <w:r w:rsidR="00763734" w:rsidRPr="008D72DA">
        <w:rPr>
          <w:rFonts w:ascii="Verdana" w:hAnsi="Verdana"/>
        </w:rPr>
        <w:t>xvi</w:t>
      </w:r>
      <w:proofErr w:type="spellEnd"/>
      <w:r w:rsidR="00763734" w:rsidRPr="008D72DA">
        <w:rPr>
          <w:rFonts w:ascii="Verdana" w:hAnsi="Verdana"/>
        </w:rPr>
        <w:t>)” e “</w:t>
      </w:r>
      <w:r w:rsidR="00763734" w:rsidRPr="008D72DA">
        <w:rPr>
          <w:rFonts w:ascii="Verdana" w:hAnsi="Verdana"/>
          <w:bCs/>
        </w:rPr>
        <w:t>(</w:t>
      </w:r>
      <w:proofErr w:type="spellStart"/>
      <w:r w:rsidR="00763734" w:rsidRPr="008D72DA">
        <w:rPr>
          <w:rFonts w:ascii="Verdana" w:hAnsi="Verdana"/>
          <w:bCs/>
        </w:rPr>
        <w:t>xxv</w:t>
      </w:r>
      <w:proofErr w:type="spellEnd"/>
      <w:r w:rsidR="00763734" w:rsidRPr="008D72DA">
        <w:rPr>
          <w:rFonts w:ascii="Verdana" w:hAnsi="Verdana"/>
          <w:bCs/>
        </w:rPr>
        <w:t>)”</w:t>
      </w:r>
      <w:r w:rsidR="00763734" w:rsidRPr="008D72DA">
        <w:rPr>
          <w:rFonts w:ascii="Verdana" w:hAnsi="Verdana"/>
          <w:b/>
        </w:rPr>
        <w:t xml:space="preserve"> </w:t>
      </w:r>
      <w:r w:rsidR="00763734" w:rsidRPr="008D72DA">
        <w:rPr>
          <w:rFonts w:ascii="Verdana" w:hAnsi="Verdana"/>
          <w:bCs/>
        </w:rPr>
        <w:t>d</w:t>
      </w:r>
      <w:r w:rsidR="00763734" w:rsidRPr="008D72DA">
        <w:rPr>
          <w:rFonts w:ascii="Verdana" w:hAnsi="Verdana"/>
        </w:rPr>
        <w:t>a Cláusula 6.5 do Termo de Securitização, para, dentre outras providências, alterar as definições de “</w:t>
      </w:r>
      <w:r w:rsidR="00763734" w:rsidRPr="008D72DA">
        <w:rPr>
          <w:rFonts w:ascii="Verdana" w:hAnsi="Verdana"/>
          <w:i/>
          <w:iCs/>
        </w:rPr>
        <w:t>Caixa de Aplicações Financeiras</w:t>
      </w:r>
      <w:r w:rsidR="00763734" w:rsidRPr="008D72DA">
        <w:rPr>
          <w:rFonts w:ascii="Verdana" w:hAnsi="Verdana"/>
        </w:rPr>
        <w:t>”, “</w:t>
      </w:r>
      <w:r w:rsidR="00763734" w:rsidRPr="008D72DA">
        <w:rPr>
          <w:rFonts w:ascii="Verdana" w:hAnsi="Verdana"/>
          <w:i/>
          <w:iCs/>
        </w:rPr>
        <w:t>Dívida</w:t>
      </w:r>
      <w:r w:rsidR="00763734" w:rsidRPr="008D72DA">
        <w:rPr>
          <w:rFonts w:ascii="Verdana" w:hAnsi="Verdana"/>
        </w:rPr>
        <w:t>” e “</w:t>
      </w:r>
      <w:r w:rsidR="00763734" w:rsidRPr="008D72DA">
        <w:rPr>
          <w:rFonts w:ascii="Verdana" w:hAnsi="Verdana"/>
          <w:i/>
          <w:iCs/>
        </w:rPr>
        <w:t>Dívida Líquida</w:t>
      </w:r>
      <w:r w:rsidR="00763734" w:rsidRPr="008D72DA">
        <w:rPr>
          <w:rFonts w:ascii="Verdana" w:hAnsi="Verdana"/>
        </w:rPr>
        <w:t>” previstas</w:t>
      </w:r>
      <w:r w:rsidR="00970F73" w:rsidRPr="008D72DA">
        <w:rPr>
          <w:rFonts w:ascii="Verdana" w:hAnsi="Verdana"/>
        </w:rPr>
        <w:t xml:space="preserve">; e </w:t>
      </w:r>
      <w:r w:rsidR="00970F73" w:rsidRPr="008D72DA">
        <w:rPr>
          <w:rFonts w:ascii="Verdana" w:hAnsi="Verdana"/>
          <w:b/>
          <w:bCs/>
        </w:rPr>
        <w:t>(</w:t>
      </w:r>
      <w:proofErr w:type="spellStart"/>
      <w:r w:rsidR="00970F73" w:rsidRPr="008D72DA">
        <w:rPr>
          <w:rFonts w:ascii="Verdana" w:hAnsi="Verdana"/>
          <w:b/>
          <w:bCs/>
        </w:rPr>
        <w:t>ii</w:t>
      </w:r>
      <w:proofErr w:type="spellEnd"/>
      <w:r w:rsidR="00970F73" w:rsidRPr="008D72DA">
        <w:rPr>
          <w:rFonts w:ascii="Verdana" w:hAnsi="Verdana"/>
          <w:b/>
          <w:bCs/>
        </w:rPr>
        <w:t>)</w:t>
      </w:r>
      <w:r w:rsidR="00970F73" w:rsidRPr="008D72DA">
        <w:rPr>
          <w:rFonts w:ascii="Verdana" w:hAnsi="Verdana"/>
        </w:rPr>
        <w:t xml:space="preserve"> incluir o item “(</w:t>
      </w:r>
      <w:proofErr w:type="spellStart"/>
      <w:r w:rsidR="00970F73" w:rsidRPr="008D72DA">
        <w:rPr>
          <w:rFonts w:ascii="Verdana" w:hAnsi="Verdana"/>
        </w:rPr>
        <w:t>xxiv</w:t>
      </w:r>
      <w:proofErr w:type="spellEnd"/>
      <w:r w:rsidR="00970F73" w:rsidRPr="008D72DA">
        <w:rPr>
          <w:rFonts w:ascii="Verdana" w:hAnsi="Verdana"/>
        </w:rPr>
        <w:t>)” na Cláusula 6.5 do Termo de Securitização</w:t>
      </w:r>
      <w:r w:rsidR="00763734" w:rsidRPr="008D72DA">
        <w:rPr>
          <w:rFonts w:ascii="Verdana" w:hAnsi="Verdana"/>
        </w:rPr>
        <w:t>, passando a vigorar com a seguinte redação</w:t>
      </w:r>
      <w:r w:rsidR="00970F73" w:rsidRPr="008D72DA">
        <w:rPr>
          <w:rFonts w:ascii="Verdana" w:hAnsi="Verdana"/>
        </w:rPr>
        <w:t>, observada a nova numeração</w:t>
      </w:r>
      <w:r w:rsidR="00763734" w:rsidRPr="008D72DA">
        <w:rPr>
          <w:rFonts w:ascii="Verdana" w:hAnsi="Verdana"/>
        </w:rPr>
        <w:t>:</w:t>
      </w:r>
    </w:p>
    <w:p w14:paraId="6763E4CB" w14:textId="7E4D3B39" w:rsidR="00970F73" w:rsidRPr="008D72DA" w:rsidRDefault="00970F73" w:rsidP="008D72DA">
      <w:pPr>
        <w:pStyle w:val="PargrafodaLista"/>
        <w:spacing w:line="300" w:lineRule="exact"/>
        <w:ind w:left="709"/>
        <w:jc w:val="both"/>
        <w:rPr>
          <w:rFonts w:ascii="Verdana" w:hAnsi="Verdana"/>
        </w:rPr>
      </w:pPr>
    </w:p>
    <w:p w14:paraId="215405D1" w14:textId="77777777" w:rsidR="00970F73" w:rsidRPr="008D72DA" w:rsidRDefault="00970F73" w:rsidP="008D72DA">
      <w:pPr>
        <w:pStyle w:val="PargrafodaLista"/>
        <w:tabs>
          <w:tab w:val="left" w:pos="1701"/>
        </w:tabs>
        <w:spacing w:line="300" w:lineRule="exact"/>
        <w:ind w:left="709"/>
        <w:jc w:val="both"/>
        <w:rPr>
          <w:rFonts w:ascii="Verdana" w:hAnsi="Verdana"/>
          <w:i/>
          <w:iCs/>
        </w:rPr>
      </w:pPr>
      <w:r w:rsidRPr="008D72DA">
        <w:rPr>
          <w:rFonts w:ascii="Verdana" w:hAnsi="Verdana"/>
        </w:rPr>
        <w:t>“</w:t>
      </w:r>
      <w:r w:rsidRPr="008D72DA">
        <w:rPr>
          <w:rFonts w:ascii="Verdana" w:hAnsi="Verdana"/>
          <w:b/>
          <w:bCs/>
          <w:i/>
          <w:iCs/>
        </w:rPr>
        <w:t>6.5</w:t>
      </w:r>
      <w:r w:rsidRPr="008D72DA">
        <w:rPr>
          <w:rFonts w:ascii="Verdana" w:hAnsi="Verdana"/>
          <w:i/>
          <w:iCs/>
        </w:rPr>
        <w:tab/>
      </w:r>
      <w:r w:rsidRPr="008D72DA">
        <w:rPr>
          <w:rFonts w:ascii="Verdana" w:hAnsi="Verdana"/>
          <w:i/>
          <w:iCs/>
          <w:u w:val="single"/>
        </w:rPr>
        <w:t>Vencimento Antecipado Não Automático</w:t>
      </w:r>
      <w:r w:rsidRPr="008D72DA">
        <w:rPr>
          <w:rFonts w:ascii="Verdana" w:hAnsi="Verdana"/>
          <w:i/>
          <w:iCs/>
        </w:rPr>
        <w:t>: São eventos de vencimento antecipado não automáticos, nos termos da CCB (cada um, um “</w:t>
      </w:r>
      <w:r w:rsidRPr="008D72DA">
        <w:rPr>
          <w:rFonts w:ascii="Verdana" w:hAnsi="Verdana"/>
          <w:i/>
          <w:iCs/>
          <w:u w:val="single"/>
        </w:rPr>
        <w:t>Evento de Vencimento Antecipado Não Automático</w:t>
      </w:r>
      <w:r w:rsidRPr="008D72DA">
        <w:rPr>
          <w:rFonts w:ascii="Verdana" w:hAnsi="Verdana"/>
          <w:i/>
          <w:iCs/>
        </w:rPr>
        <w:t xml:space="preserve">”):  </w:t>
      </w:r>
    </w:p>
    <w:p w14:paraId="756646B3" w14:textId="77777777" w:rsidR="00970F73" w:rsidRPr="008D72DA" w:rsidRDefault="00970F73" w:rsidP="008D72DA">
      <w:pPr>
        <w:pStyle w:val="PargrafodaLista"/>
        <w:tabs>
          <w:tab w:val="left" w:pos="1701"/>
        </w:tabs>
        <w:spacing w:line="300" w:lineRule="exact"/>
        <w:ind w:left="709"/>
        <w:jc w:val="both"/>
        <w:rPr>
          <w:rFonts w:ascii="Verdana" w:hAnsi="Verdana"/>
          <w:i/>
          <w:iCs/>
        </w:rPr>
      </w:pPr>
    </w:p>
    <w:p w14:paraId="7054FD54" w14:textId="77777777" w:rsidR="00970F73" w:rsidRPr="008D72DA" w:rsidRDefault="00970F73" w:rsidP="008D72DA">
      <w:pPr>
        <w:pStyle w:val="PargrafodaLista"/>
        <w:tabs>
          <w:tab w:val="left" w:pos="1701"/>
        </w:tabs>
        <w:spacing w:line="300" w:lineRule="exact"/>
        <w:ind w:left="709"/>
        <w:jc w:val="both"/>
        <w:rPr>
          <w:rFonts w:ascii="Verdana" w:hAnsi="Verdana"/>
          <w:i/>
          <w:iCs/>
        </w:rPr>
      </w:pPr>
      <w:r w:rsidRPr="008D72DA">
        <w:rPr>
          <w:rFonts w:ascii="Verdana" w:hAnsi="Verdana"/>
          <w:i/>
          <w:iCs/>
        </w:rPr>
        <w:t>(...)</w:t>
      </w:r>
    </w:p>
    <w:p w14:paraId="47C05A7B" w14:textId="77777777" w:rsidR="0048202F" w:rsidRPr="008D72DA" w:rsidRDefault="0048202F" w:rsidP="008D72DA">
      <w:pPr>
        <w:pStyle w:val="PargrafodaLista"/>
        <w:tabs>
          <w:tab w:val="left" w:pos="1701"/>
        </w:tabs>
        <w:spacing w:line="300" w:lineRule="exact"/>
        <w:ind w:left="709"/>
        <w:jc w:val="both"/>
        <w:rPr>
          <w:rFonts w:ascii="Verdana" w:hAnsi="Verdana"/>
          <w:i/>
          <w:iCs/>
        </w:rPr>
      </w:pPr>
    </w:p>
    <w:p w14:paraId="73E60718" w14:textId="3C94800F" w:rsidR="00970F73" w:rsidRPr="008D72DA" w:rsidRDefault="0048202F" w:rsidP="008D72DA">
      <w:pPr>
        <w:pStyle w:val="PargrafodaLista"/>
        <w:tabs>
          <w:tab w:val="left" w:pos="1701"/>
        </w:tabs>
        <w:spacing w:line="300" w:lineRule="exact"/>
        <w:ind w:left="709"/>
        <w:jc w:val="both"/>
        <w:rPr>
          <w:rFonts w:ascii="Verdana" w:hAnsi="Verdana"/>
          <w:i/>
          <w:iCs/>
        </w:rPr>
      </w:pPr>
      <w:r w:rsidRPr="008D72DA">
        <w:rPr>
          <w:rFonts w:ascii="Verdana" w:hAnsi="Verdana"/>
          <w:b/>
          <w:bCs/>
          <w:i/>
          <w:iCs/>
        </w:rPr>
        <w:t>(xi)</w:t>
      </w:r>
      <w:r w:rsidRPr="008D72DA">
        <w:rPr>
          <w:rFonts w:ascii="Verdana" w:hAnsi="Verdana"/>
          <w:i/>
          <w:iCs/>
        </w:rPr>
        <w:tab/>
        <w:t xml:space="preserve">inobservância e infringência pela Devedora, pela </w:t>
      </w:r>
      <w:proofErr w:type="spellStart"/>
      <w:r w:rsidRPr="008D72DA">
        <w:rPr>
          <w:rFonts w:ascii="Verdana" w:hAnsi="Verdana"/>
          <w:i/>
          <w:iCs/>
        </w:rPr>
        <w:t>Summit</w:t>
      </w:r>
      <w:proofErr w:type="spellEnd"/>
      <w:r w:rsidRPr="008D72DA">
        <w:rPr>
          <w:rFonts w:ascii="Verdana" w:hAnsi="Verdana"/>
          <w:i/>
          <w:iCs/>
        </w:rPr>
        <w:t xml:space="preserve">, suas Controladas, seus respectivos sócios e/ou administradores, representantes e/ou prepostos (desde que atuando na condição de administradores, representantes e/ou prepostos da Devedora e/ou da </w:t>
      </w:r>
      <w:proofErr w:type="spellStart"/>
      <w:r w:rsidRPr="008D72DA">
        <w:rPr>
          <w:rFonts w:ascii="Verdana" w:hAnsi="Verdana"/>
          <w:i/>
          <w:iCs/>
        </w:rPr>
        <w:t>Summit</w:t>
      </w:r>
      <w:proofErr w:type="spellEnd"/>
      <w:r w:rsidRPr="008D72DA">
        <w:rPr>
          <w:rFonts w:ascii="Verdana" w:hAnsi="Verdana"/>
          <w:i/>
          <w:iCs/>
        </w:rPr>
        <w:t xml:space="preserve"> ou Controlada), de qualquer obrigação estabelecida pela Legislação Socioambiental, ou, ainda, inclusão do nome da Devedora, da </w:t>
      </w:r>
      <w:proofErr w:type="spellStart"/>
      <w:r w:rsidRPr="008D72DA">
        <w:rPr>
          <w:rFonts w:ascii="Verdana" w:hAnsi="Verdana"/>
          <w:i/>
          <w:iCs/>
        </w:rPr>
        <w:t>Summit</w:t>
      </w:r>
      <w:proofErr w:type="spellEnd"/>
      <w:r w:rsidRPr="008D72DA">
        <w:rPr>
          <w:rFonts w:ascii="Verdana" w:hAnsi="Verdana"/>
          <w:i/>
          <w:iCs/>
        </w:rPr>
        <w:t>, Controladas ou sócios em listas oficiais de Pessoas que violam qualquer Legislação Socioambiental (tais como, mas sem limitação, o cadastro de empregadores que tenham submetido trabalhadores a condições análogas à de escravo), exceto por aqueles descumprimentos que estejam sendo questionados judicial ou administrativamente pela Emitente e para os quais seja obtido efeito suspensivo no prazo de até 10 (dez) dias contados do respectivo questionamento, não sendo a referida exceção aplicável a descumprimentos referentes à matérias de trabalho com condições análogas à de escravo;</w:t>
      </w:r>
    </w:p>
    <w:p w14:paraId="5BC6EEFB" w14:textId="79CB06DF" w:rsidR="0048202F" w:rsidRPr="008D72DA" w:rsidRDefault="0048202F" w:rsidP="008D72DA">
      <w:pPr>
        <w:pStyle w:val="PargrafodaLista"/>
        <w:tabs>
          <w:tab w:val="left" w:pos="1701"/>
        </w:tabs>
        <w:spacing w:line="300" w:lineRule="exact"/>
        <w:ind w:left="709"/>
        <w:jc w:val="both"/>
        <w:rPr>
          <w:rFonts w:ascii="Verdana" w:hAnsi="Verdana"/>
          <w:i/>
          <w:iCs/>
        </w:rPr>
      </w:pPr>
    </w:p>
    <w:p w14:paraId="7CD3843B" w14:textId="66E19DA4" w:rsidR="0048202F" w:rsidRPr="008D72DA" w:rsidRDefault="0048202F" w:rsidP="008D72DA">
      <w:pPr>
        <w:pStyle w:val="PargrafodaLista"/>
        <w:tabs>
          <w:tab w:val="left" w:pos="1701"/>
        </w:tabs>
        <w:spacing w:line="300" w:lineRule="exact"/>
        <w:ind w:left="709"/>
        <w:jc w:val="both"/>
        <w:rPr>
          <w:rFonts w:ascii="Verdana" w:hAnsi="Verdana"/>
          <w:i/>
          <w:iCs/>
        </w:rPr>
      </w:pPr>
      <w:r w:rsidRPr="008D72DA">
        <w:rPr>
          <w:rFonts w:ascii="Verdana" w:hAnsi="Verdana"/>
          <w:i/>
          <w:iCs/>
        </w:rPr>
        <w:t>(...)</w:t>
      </w:r>
    </w:p>
    <w:p w14:paraId="78699882" w14:textId="060C9DB4" w:rsidR="0048202F" w:rsidRPr="008D72DA" w:rsidRDefault="0048202F" w:rsidP="008D72DA">
      <w:pPr>
        <w:pStyle w:val="PargrafodaLista"/>
        <w:tabs>
          <w:tab w:val="left" w:pos="1701"/>
        </w:tabs>
        <w:spacing w:line="300" w:lineRule="exact"/>
        <w:ind w:left="709"/>
        <w:jc w:val="both"/>
        <w:rPr>
          <w:rFonts w:ascii="Verdana" w:hAnsi="Verdana"/>
          <w:i/>
          <w:iCs/>
        </w:rPr>
      </w:pPr>
    </w:p>
    <w:p w14:paraId="2D0ABA37" w14:textId="0D894A21" w:rsidR="0048202F" w:rsidRPr="008D72DA" w:rsidRDefault="0048202F" w:rsidP="008D72DA">
      <w:pPr>
        <w:pStyle w:val="PargrafodaLista"/>
        <w:tabs>
          <w:tab w:val="left" w:pos="1701"/>
        </w:tabs>
        <w:spacing w:line="300" w:lineRule="exact"/>
        <w:ind w:left="709"/>
        <w:jc w:val="both"/>
        <w:rPr>
          <w:rFonts w:ascii="Verdana" w:hAnsi="Verdana"/>
          <w:i/>
          <w:iCs/>
        </w:rPr>
      </w:pPr>
      <w:r w:rsidRPr="008D72DA">
        <w:rPr>
          <w:rFonts w:ascii="Verdana" w:hAnsi="Verdana"/>
          <w:b/>
          <w:bCs/>
          <w:i/>
          <w:iCs/>
        </w:rPr>
        <w:t>(</w:t>
      </w:r>
      <w:proofErr w:type="spellStart"/>
      <w:r w:rsidRPr="008D72DA">
        <w:rPr>
          <w:rFonts w:ascii="Verdana" w:hAnsi="Verdana"/>
          <w:b/>
          <w:bCs/>
          <w:i/>
          <w:iCs/>
        </w:rPr>
        <w:t>xiii</w:t>
      </w:r>
      <w:proofErr w:type="spellEnd"/>
      <w:r w:rsidRPr="008D72DA">
        <w:rPr>
          <w:rFonts w:ascii="Verdana" w:hAnsi="Verdana"/>
          <w:b/>
          <w:bCs/>
          <w:i/>
          <w:iCs/>
        </w:rPr>
        <w:t>)</w:t>
      </w:r>
      <w:r w:rsidRPr="008D72DA">
        <w:rPr>
          <w:rFonts w:ascii="Verdana" w:hAnsi="Verdana"/>
          <w:i/>
          <w:iCs/>
        </w:rPr>
        <w:tab/>
        <w:t xml:space="preserve">sentença condenatória, pela Emitente, pela </w:t>
      </w:r>
      <w:proofErr w:type="spellStart"/>
      <w:r w:rsidRPr="008D72DA">
        <w:rPr>
          <w:rFonts w:ascii="Verdana" w:hAnsi="Verdana"/>
          <w:i/>
          <w:iCs/>
        </w:rPr>
        <w:t>Summit</w:t>
      </w:r>
      <w:proofErr w:type="spellEnd"/>
      <w:r w:rsidRPr="008D72DA">
        <w:rPr>
          <w:rFonts w:ascii="Verdana" w:hAnsi="Verdana"/>
          <w:i/>
          <w:iCs/>
        </w:rPr>
        <w:t xml:space="preserve">, suas Controladas, seus respectivos sócios e/ou administradores, representantes e/ou prepostos (desde que atuando na condição de administradores, representantes e/ou prepostos da Emitente e/ou da </w:t>
      </w:r>
      <w:proofErr w:type="spellStart"/>
      <w:r w:rsidRPr="008D72DA">
        <w:rPr>
          <w:rFonts w:ascii="Verdana" w:hAnsi="Verdana"/>
          <w:i/>
          <w:iCs/>
        </w:rPr>
        <w:t>Summit</w:t>
      </w:r>
      <w:proofErr w:type="spellEnd"/>
      <w:r w:rsidRPr="008D72DA">
        <w:rPr>
          <w:rFonts w:ascii="Verdana" w:hAnsi="Verdana"/>
          <w:i/>
          <w:iCs/>
        </w:rPr>
        <w:t xml:space="preserve"> ou Controlada) de qualquer dispositivo de qualquer Lei Anticorrupção, desde que tal decisão não seja revertida ou tenha seus efeitos suspensos integralmente em até 10 (dez) Dias Úteis contados da data em que tenha sido proferida;</w:t>
      </w:r>
    </w:p>
    <w:p w14:paraId="66ED8045" w14:textId="405EBE51" w:rsidR="0048202F" w:rsidRPr="008D72DA" w:rsidRDefault="0048202F" w:rsidP="008D72DA">
      <w:pPr>
        <w:pStyle w:val="PargrafodaLista"/>
        <w:tabs>
          <w:tab w:val="left" w:pos="1701"/>
        </w:tabs>
        <w:spacing w:line="300" w:lineRule="exact"/>
        <w:ind w:left="709"/>
        <w:jc w:val="both"/>
        <w:rPr>
          <w:rFonts w:ascii="Verdana" w:hAnsi="Verdana"/>
          <w:i/>
          <w:iCs/>
        </w:rPr>
      </w:pPr>
    </w:p>
    <w:p w14:paraId="0DB80ECF" w14:textId="724231AB" w:rsidR="0048202F" w:rsidRPr="008D72DA" w:rsidRDefault="0048202F" w:rsidP="008D72DA">
      <w:pPr>
        <w:pStyle w:val="PargrafodaLista"/>
        <w:tabs>
          <w:tab w:val="left" w:pos="1701"/>
        </w:tabs>
        <w:spacing w:line="300" w:lineRule="exact"/>
        <w:ind w:left="709"/>
        <w:jc w:val="both"/>
        <w:rPr>
          <w:rFonts w:ascii="Verdana" w:hAnsi="Verdana"/>
          <w:i/>
          <w:iCs/>
        </w:rPr>
      </w:pPr>
      <w:r w:rsidRPr="008D72DA">
        <w:rPr>
          <w:rFonts w:ascii="Verdana" w:hAnsi="Verdana"/>
          <w:i/>
          <w:iCs/>
        </w:rPr>
        <w:t>(...)</w:t>
      </w:r>
    </w:p>
    <w:p w14:paraId="70787424" w14:textId="580C6F34" w:rsidR="0048202F" w:rsidRPr="008D72DA" w:rsidRDefault="0048202F" w:rsidP="008D72DA">
      <w:pPr>
        <w:pStyle w:val="PargrafodaLista"/>
        <w:tabs>
          <w:tab w:val="left" w:pos="1701"/>
        </w:tabs>
        <w:spacing w:line="300" w:lineRule="exact"/>
        <w:ind w:left="709"/>
        <w:jc w:val="both"/>
        <w:rPr>
          <w:rFonts w:ascii="Verdana" w:hAnsi="Verdana"/>
          <w:i/>
          <w:iCs/>
        </w:rPr>
      </w:pPr>
    </w:p>
    <w:p w14:paraId="70130DE8" w14:textId="669D4E1A" w:rsidR="0048202F" w:rsidRPr="008D72DA" w:rsidRDefault="0048202F" w:rsidP="008D72DA">
      <w:pPr>
        <w:pStyle w:val="PargrafodaLista"/>
        <w:tabs>
          <w:tab w:val="left" w:pos="1701"/>
        </w:tabs>
        <w:spacing w:line="300" w:lineRule="exact"/>
        <w:ind w:left="709"/>
        <w:jc w:val="both"/>
        <w:rPr>
          <w:rFonts w:ascii="Verdana" w:hAnsi="Verdana"/>
          <w:i/>
          <w:iCs/>
        </w:rPr>
      </w:pPr>
      <w:r w:rsidRPr="008D72DA">
        <w:rPr>
          <w:rFonts w:ascii="Verdana" w:hAnsi="Verdana"/>
          <w:b/>
          <w:bCs/>
          <w:i/>
          <w:iCs/>
        </w:rPr>
        <w:t>(</w:t>
      </w:r>
      <w:proofErr w:type="spellStart"/>
      <w:r w:rsidRPr="008D72DA">
        <w:rPr>
          <w:rFonts w:ascii="Verdana" w:hAnsi="Verdana"/>
          <w:b/>
          <w:bCs/>
          <w:i/>
          <w:iCs/>
        </w:rPr>
        <w:t>xvi</w:t>
      </w:r>
      <w:proofErr w:type="spellEnd"/>
      <w:r w:rsidRPr="008D72DA">
        <w:rPr>
          <w:rFonts w:ascii="Verdana" w:hAnsi="Verdana"/>
          <w:b/>
          <w:bCs/>
          <w:i/>
          <w:iCs/>
        </w:rPr>
        <w:t>)</w:t>
      </w:r>
      <w:r w:rsidRPr="008D72DA">
        <w:rPr>
          <w:rFonts w:ascii="Verdana" w:hAnsi="Verdana"/>
          <w:i/>
          <w:iCs/>
        </w:rPr>
        <w:tab/>
        <w:t xml:space="preserve">se houver qualquer decisão administrativa, arbitral ou judicial, deferimento de medida liminar ou concessão de medida cautelar que afete a propriedade, posse, ou livre disposição de qualquer dos bens e direitos objeto das Garantias, cause qualquer embaraço a </w:t>
      </w:r>
      <w:r w:rsidRPr="008D72DA">
        <w:rPr>
          <w:rFonts w:ascii="Verdana" w:hAnsi="Verdana"/>
          <w:i/>
          <w:iCs/>
        </w:rPr>
        <w:lastRenderedPageBreak/>
        <w:t>seu uso ou lhes diminua o valor e, desde que não seja feito o reforço ou substituição de garantia, conforme aplicável, no prazo de até 15 (quinze) dias;</w:t>
      </w:r>
    </w:p>
    <w:p w14:paraId="3BCA2F6F" w14:textId="568A960E" w:rsidR="00EB3AE6" w:rsidRPr="008D72DA" w:rsidRDefault="00EB3AE6" w:rsidP="008D72DA">
      <w:pPr>
        <w:pStyle w:val="PargrafodaLista"/>
        <w:tabs>
          <w:tab w:val="left" w:pos="1701"/>
        </w:tabs>
        <w:spacing w:line="300" w:lineRule="exact"/>
        <w:ind w:left="709"/>
        <w:jc w:val="both"/>
        <w:rPr>
          <w:rFonts w:ascii="Verdana" w:hAnsi="Verdana"/>
          <w:i/>
          <w:iCs/>
        </w:rPr>
      </w:pPr>
    </w:p>
    <w:p w14:paraId="1DAB8409" w14:textId="6C6470AA" w:rsidR="00EB3AE6" w:rsidRPr="008D72DA" w:rsidRDefault="00EB3AE6" w:rsidP="008D72DA">
      <w:pPr>
        <w:pStyle w:val="PargrafodaLista"/>
        <w:tabs>
          <w:tab w:val="left" w:pos="1701"/>
        </w:tabs>
        <w:spacing w:line="300" w:lineRule="exact"/>
        <w:ind w:left="709"/>
        <w:jc w:val="both"/>
        <w:rPr>
          <w:rFonts w:ascii="Verdana" w:hAnsi="Verdana"/>
          <w:i/>
          <w:iCs/>
        </w:rPr>
      </w:pPr>
      <w:r w:rsidRPr="008D72DA">
        <w:rPr>
          <w:rFonts w:ascii="Verdana" w:hAnsi="Verdana"/>
          <w:i/>
          <w:iCs/>
        </w:rPr>
        <w:t>(...)</w:t>
      </w:r>
    </w:p>
    <w:p w14:paraId="28019F5C" w14:textId="77777777" w:rsidR="008D72DA" w:rsidRPr="008D72DA" w:rsidRDefault="008D72DA" w:rsidP="008D72DA">
      <w:pPr>
        <w:pStyle w:val="PargrafodaLista"/>
        <w:tabs>
          <w:tab w:val="left" w:pos="1701"/>
        </w:tabs>
        <w:spacing w:line="300" w:lineRule="exact"/>
        <w:ind w:left="709"/>
        <w:jc w:val="both"/>
        <w:rPr>
          <w:rFonts w:ascii="Verdana" w:hAnsi="Verdana"/>
          <w:i/>
          <w:iCs/>
        </w:rPr>
      </w:pPr>
    </w:p>
    <w:p w14:paraId="47272089" w14:textId="1424FFD8" w:rsidR="00EB3AE6" w:rsidRPr="008D72DA" w:rsidRDefault="00EB3AE6" w:rsidP="008D72DA">
      <w:pPr>
        <w:pStyle w:val="PargrafodaLista"/>
        <w:tabs>
          <w:tab w:val="left" w:pos="1701"/>
        </w:tabs>
        <w:spacing w:line="300" w:lineRule="exact"/>
        <w:ind w:left="709"/>
        <w:jc w:val="both"/>
        <w:rPr>
          <w:rFonts w:ascii="Verdana" w:hAnsi="Verdana"/>
          <w:i/>
          <w:iCs/>
        </w:rPr>
      </w:pPr>
      <w:r w:rsidRPr="008D72DA">
        <w:rPr>
          <w:rFonts w:ascii="Verdana" w:hAnsi="Verdana"/>
          <w:b/>
          <w:bCs/>
          <w:i/>
          <w:iCs/>
        </w:rPr>
        <w:t>(</w:t>
      </w:r>
      <w:proofErr w:type="spellStart"/>
      <w:r w:rsidRPr="008D72DA">
        <w:rPr>
          <w:rFonts w:ascii="Verdana" w:hAnsi="Verdana"/>
          <w:b/>
          <w:bCs/>
          <w:i/>
          <w:iCs/>
        </w:rPr>
        <w:t>xxiv</w:t>
      </w:r>
      <w:proofErr w:type="spellEnd"/>
      <w:r w:rsidRPr="008D72DA">
        <w:rPr>
          <w:rFonts w:ascii="Verdana" w:hAnsi="Verdana"/>
          <w:b/>
          <w:bCs/>
          <w:i/>
          <w:iCs/>
        </w:rPr>
        <w:t>)</w:t>
      </w:r>
      <w:r w:rsidRPr="008D72DA">
        <w:rPr>
          <w:rFonts w:ascii="Verdana" w:hAnsi="Verdana"/>
          <w:i/>
          <w:iCs/>
        </w:rPr>
        <w:tab/>
        <w:t>se, de qualquer forma, qualquer obrigação prevista na CCB, neste Termo de Securitização e/ou nos demais Documentos da Operação for questionada, por meio judicial ou extrajudicial;</w:t>
      </w:r>
    </w:p>
    <w:p w14:paraId="6A77D0BE" w14:textId="118FE99C" w:rsidR="00EB3AE6" w:rsidRPr="008D72DA" w:rsidRDefault="00EB3AE6" w:rsidP="008D72DA">
      <w:pPr>
        <w:pStyle w:val="PargrafodaLista"/>
        <w:tabs>
          <w:tab w:val="left" w:pos="1701"/>
        </w:tabs>
        <w:spacing w:line="300" w:lineRule="exact"/>
        <w:ind w:left="709"/>
        <w:jc w:val="both"/>
        <w:rPr>
          <w:rFonts w:ascii="Verdana" w:hAnsi="Verdana"/>
          <w:i/>
          <w:iCs/>
        </w:rPr>
      </w:pPr>
    </w:p>
    <w:p w14:paraId="1B446909" w14:textId="62DE38A9" w:rsidR="00EB3AE6" w:rsidRPr="008D72DA" w:rsidRDefault="00EB3AE6" w:rsidP="008D72DA">
      <w:pPr>
        <w:pStyle w:val="PargrafodaLista"/>
        <w:tabs>
          <w:tab w:val="left" w:pos="1701"/>
        </w:tabs>
        <w:spacing w:line="300" w:lineRule="exact"/>
        <w:ind w:left="709"/>
        <w:jc w:val="both"/>
        <w:rPr>
          <w:rFonts w:ascii="Verdana" w:hAnsi="Verdana"/>
          <w:i/>
          <w:iCs/>
        </w:rPr>
      </w:pPr>
      <w:r w:rsidRPr="008D72DA">
        <w:rPr>
          <w:rFonts w:ascii="Verdana" w:hAnsi="Verdana"/>
          <w:b/>
          <w:bCs/>
          <w:i/>
          <w:iCs/>
        </w:rPr>
        <w:t>(</w:t>
      </w:r>
      <w:proofErr w:type="spellStart"/>
      <w:r w:rsidRPr="008D72DA">
        <w:rPr>
          <w:rFonts w:ascii="Verdana" w:hAnsi="Verdana"/>
          <w:b/>
          <w:bCs/>
          <w:i/>
          <w:iCs/>
        </w:rPr>
        <w:t>xxv</w:t>
      </w:r>
      <w:proofErr w:type="spellEnd"/>
      <w:r w:rsidRPr="008D72DA">
        <w:rPr>
          <w:rFonts w:ascii="Verdana" w:hAnsi="Verdana"/>
          <w:b/>
          <w:bCs/>
          <w:i/>
          <w:iCs/>
        </w:rPr>
        <w:t>)</w:t>
      </w:r>
      <w:r w:rsidRPr="008D72DA">
        <w:rPr>
          <w:rFonts w:ascii="Verdana" w:hAnsi="Verdana"/>
          <w:i/>
          <w:iCs/>
        </w:rPr>
        <w:tab/>
        <w:t>não atendimento dos seguintes índices financeiros em qualquer exercício social, a contar de 31 de março de 2021, apurado pela Emissora com base nas demonstrações financeiras trimestrais da Devedora auditadas (em conjunto, os “</w:t>
      </w:r>
      <w:r w:rsidRPr="008D72DA">
        <w:rPr>
          <w:rFonts w:ascii="Verdana" w:hAnsi="Verdana"/>
          <w:i/>
          <w:iCs/>
          <w:u w:val="single"/>
        </w:rPr>
        <w:t>Índices Financeiros</w:t>
      </w:r>
      <w:r w:rsidRPr="008D72DA">
        <w:rPr>
          <w:rFonts w:ascii="Verdana" w:hAnsi="Verdana"/>
          <w:i/>
          <w:iCs/>
        </w:rPr>
        <w:t>”):</w:t>
      </w:r>
    </w:p>
    <w:p w14:paraId="0230A2E9" w14:textId="1EE66D42" w:rsidR="00325245" w:rsidRPr="008D72DA" w:rsidRDefault="00325245" w:rsidP="008D72DA">
      <w:pPr>
        <w:pStyle w:val="PargrafodaLista"/>
        <w:tabs>
          <w:tab w:val="left" w:pos="1701"/>
        </w:tabs>
        <w:spacing w:line="300" w:lineRule="exact"/>
        <w:ind w:left="709"/>
        <w:jc w:val="both"/>
        <w:rPr>
          <w:rFonts w:ascii="Verdana" w:hAnsi="Verdana"/>
          <w:i/>
          <w:iCs/>
        </w:rPr>
      </w:pPr>
    </w:p>
    <w:p w14:paraId="08FA41B1" w14:textId="4A2A6328" w:rsidR="00325245" w:rsidRPr="008D72DA" w:rsidRDefault="00325245" w:rsidP="008D72DA">
      <w:pPr>
        <w:pStyle w:val="PargrafodaLista"/>
        <w:tabs>
          <w:tab w:val="left" w:pos="1701"/>
        </w:tabs>
        <w:spacing w:line="300" w:lineRule="exact"/>
        <w:ind w:left="709"/>
        <w:jc w:val="both"/>
        <w:rPr>
          <w:rFonts w:ascii="Verdana" w:hAnsi="Verdana"/>
          <w:i/>
          <w:iCs/>
        </w:rPr>
      </w:pPr>
      <w:r w:rsidRPr="008D72DA">
        <w:rPr>
          <w:rFonts w:ascii="Verdana" w:hAnsi="Verdana"/>
          <w:i/>
          <w:iCs/>
        </w:rPr>
        <w:t>(...)</w:t>
      </w:r>
    </w:p>
    <w:p w14:paraId="55B6085F" w14:textId="77777777" w:rsidR="0059403B" w:rsidRPr="008D72DA" w:rsidRDefault="0059403B" w:rsidP="008D72DA">
      <w:pPr>
        <w:tabs>
          <w:tab w:val="left" w:pos="709"/>
          <w:tab w:val="left" w:pos="1418"/>
        </w:tabs>
        <w:spacing w:line="300" w:lineRule="exact"/>
        <w:jc w:val="both"/>
        <w:rPr>
          <w:rFonts w:ascii="Verdana" w:hAnsi="Verdana"/>
          <w:sz w:val="20"/>
          <w:szCs w:val="20"/>
          <w:lang w:val="pt-BR"/>
        </w:rPr>
      </w:pPr>
    </w:p>
    <w:p w14:paraId="436BFA3B" w14:textId="2A038578" w:rsidR="0059403B" w:rsidRPr="008D72DA" w:rsidRDefault="005361CC" w:rsidP="008D72DA">
      <w:pPr>
        <w:tabs>
          <w:tab w:val="left" w:pos="709"/>
          <w:tab w:val="left" w:pos="1418"/>
        </w:tabs>
        <w:spacing w:line="300" w:lineRule="exact"/>
        <w:ind w:left="708"/>
        <w:jc w:val="both"/>
        <w:rPr>
          <w:rFonts w:ascii="Verdana" w:hAnsi="Verdana" w:cs="Calibri"/>
          <w:i/>
          <w:color w:val="000000"/>
          <w:sz w:val="20"/>
          <w:szCs w:val="20"/>
          <w:lang w:val="pt-BR"/>
        </w:rPr>
      </w:pPr>
      <w:r w:rsidRPr="008D72DA">
        <w:rPr>
          <w:rFonts w:ascii="Verdana" w:hAnsi="Verdana" w:cs="Calibri"/>
          <w:i/>
          <w:color w:val="000000"/>
          <w:sz w:val="20"/>
          <w:szCs w:val="20"/>
          <w:lang w:val="pt-BR"/>
        </w:rPr>
        <w:t>“</w:t>
      </w:r>
      <w:r w:rsidR="00D6063B" w:rsidRPr="008D72DA">
        <w:rPr>
          <w:rFonts w:ascii="Verdana" w:hAnsi="Verdana" w:cs="Calibri"/>
          <w:i/>
          <w:color w:val="000000"/>
          <w:sz w:val="20"/>
          <w:szCs w:val="20"/>
          <w:u w:val="single"/>
          <w:lang w:val="pt-BR"/>
        </w:rPr>
        <w:t>Caixa e Aplicações Financeiras</w:t>
      </w:r>
      <w:r w:rsidR="00D6063B" w:rsidRPr="008D72DA">
        <w:rPr>
          <w:rFonts w:ascii="Verdana" w:hAnsi="Verdana" w:cs="Calibri"/>
          <w:i/>
          <w:color w:val="000000"/>
          <w:sz w:val="20"/>
          <w:szCs w:val="20"/>
          <w:lang w:val="pt-BR"/>
        </w:rPr>
        <w:t xml:space="preserve">” significa caixa e aplicações financeiras de liquidez imediata que não estejam submetidos a qualquer ônus e que não estejam garantindo qualquer obrigação de pagar, devida por si ou por qualquer terceiro, com exceção de </w:t>
      </w:r>
      <w:r w:rsidR="00D6063B" w:rsidRPr="008D72DA">
        <w:rPr>
          <w:rFonts w:ascii="Verdana" w:hAnsi="Verdana" w:cs="Calibri"/>
          <w:b/>
          <w:i/>
          <w:color w:val="000000"/>
          <w:sz w:val="20"/>
          <w:szCs w:val="20"/>
          <w:lang w:val="pt-BR"/>
        </w:rPr>
        <w:t>(i)</w:t>
      </w:r>
      <w:r w:rsidR="00D6063B" w:rsidRPr="008D72DA">
        <w:rPr>
          <w:rFonts w:ascii="Verdana" w:hAnsi="Verdana" w:cs="Calibri"/>
          <w:i/>
          <w:color w:val="000000"/>
          <w:sz w:val="20"/>
          <w:szCs w:val="20"/>
          <w:lang w:val="pt-BR"/>
        </w:rPr>
        <w:t xml:space="preserve"> caixa restrito registrado em conta específica referente aos recebíveis do dia que estarão disponíveis para utilização no próximo Dia Útil; e </w:t>
      </w:r>
      <w:r w:rsidR="00D6063B" w:rsidRPr="008D72DA">
        <w:rPr>
          <w:rFonts w:ascii="Verdana" w:hAnsi="Verdana" w:cs="Calibri"/>
          <w:b/>
          <w:i/>
          <w:color w:val="000000"/>
          <w:sz w:val="20"/>
          <w:szCs w:val="20"/>
          <w:lang w:val="pt-BR"/>
        </w:rPr>
        <w:t>(</w:t>
      </w:r>
      <w:proofErr w:type="spellStart"/>
      <w:r w:rsidR="00D6063B" w:rsidRPr="008D72DA">
        <w:rPr>
          <w:rFonts w:ascii="Verdana" w:hAnsi="Verdana" w:cs="Calibri"/>
          <w:b/>
          <w:i/>
          <w:color w:val="000000"/>
          <w:sz w:val="20"/>
          <w:szCs w:val="20"/>
          <w:lang w:val="pt-BR"/>
        </w:rPr>
        <w:t>ii</w:t>
      </w:r>
      <w:proofErr w:type="spellEnd"/>
      <w:r w:rsidR="00D6063B" w:rsidRPr="008D72DA">
        <w:rPr>
          <w:rFonts w:ascii="Verdana" w:hAnsi="Verdana" w:cs="Calibri"/>
          <w:b/>
          <w:i/>
          <w:color w:val="000000"/>
          <w:sz w:val="20"/>
          <w:szCs w:val="20"/>
          <w:lang w:val="pt-BR"/>
        </w:rPr>
        <w:t>)</w:t>
      </w:r>
      <w:r w:rsidR="00D6063B" w:rsidRPr="008D72DA">
        <w:rPr>
          <w:rFonts w:ascii="Verdana" w:hAnsi="Verdana" w:cs="Calibri"/>
          <w:i/>
          <w:color w:val="000000"/>
          <w:sz w:val="20"/>
          <w:szCs w:val="20"/>
          <w:lang w:val="pt-BR"/>
        </w:rPr>
        <w:t xml:space="preserve"> caixa restrito registrado em conta específica vinculada, </w:t>
      </w:r>
      <w:r w:rsidR="00D6063B" w:rsidRPr="008D72DA">
        <w:rPr>
          <w:rFonts w:ascii="Verdana" w:hAnsi="Verdana" w:cs="Calibri"/>
          <w:i/>
          <w:sz w:val="20"/>
          <w:szCs w:val="20"/>
          <w:lang w:val="pt-BR"/>
        </w:rPr>
        <w:t xml:space="preserve">referente aos juros </w:t>
      </w:r>
      <w:r w:rsidR="00D6063B" w:rsidRPr="008D72DA">
        <w:rPr>
          <w:rFonts w:ascii="Verdana" w:hAnsi="Verdana" w:cs="Calibri"/>
          <w:i/>
          <w:color w:val="000000"/>
          <w:sz w:val="20"/>
          <w:szCs w:val="20"/>
          <w:lang w:val="pt-BR"/>
        </w:rPr>
        <w:t xml:space="preserve">e parcela do principal de contratos de financiamento, </w:t>
      </w:r>
      <w:r w:rsidR="00D6063B" w:rsidRPr="008D72DA">
        <w:rPr>
          <w:rFonts w:ascii="Verdana" w:hAnsi="Verdana" w:cs="Calibri"/>
          <w:bCs/>
          <w:i/>
          <w:iCs/>
          <w:color w:val="000000"/>
          <w:sz w:val="20"/>
          <w:szCs w:val="20"/>
          <w:lang w:val="pt-BR"/>
        </w:rPr>
        <w:t>portanto, fazem parte da definição de Caixa e Aplicações Financeiras</w:t>
      </w:r>
      <w:r w:rsidR="00D6063B" w:rsidRPr="008D72DA">
        <w:rPr>
          <w:rFonts w:ascii="Verdana" w:hAnsi="Verdana" w:cs="Calibri"/>
          <w:i/>
          <w:color w:val="000000"/>
          <w:sz w:val="20"/>
          <w:szCs w:val="20"/>
          <w:lang w:val="pt-BR"/>
        </w:rPr>
        <w:t xml:space="preserve"> (os itens “i” e “</w:t>
      </w:r>
      <w:proofErr w:type="spellStart"/>
      <w:r w:rsidR="00D6063B" w:rsidRPr="008D72DA">
        <w:rPr>
          <w:rFonts w:ascii="Verdana" w:hAnsi="Verdana" w:cs="Calibri"/>
          <w:i/>
          <w:color w:val="000000"/>
          <w:sz w:val="20"/>
          <w:szCs w:val="20"/>
          <w:lang w:val="pt-BR"/>
        </w:rPr>
        <w:t>ii</w:t>
      </w:r>
      <w:proofErr w:type="spellEnd"/>
      <w:r w:rsidR="00D6063B" w:rsidRPr="008D72DA">
        <w:rPr>
          <w:rFonts w:ascii="Verdana" w:hAnsi="Verdana" w:cs="Calibri"/>
          <w:i/>
          <w:color w:val="000000"/>
          <w:sz w:val="20"/>
          <w:szCs w:val="20"/>
          <w:lang w:val="pt-BR"/>
        </w:rPr>
        <w:t>” em conjunto, o “</w:t>
      </w:r>
      <w:r w:rsidR="00D6063B" w:rsidRPr="008D72DA">
        <w:rPr>
          <w:rFonts w:ascii="Verdana" w:hAnsi="Verdana" w:cs="Calibri"/>
          <w:i/>
          <w:color w:val="000000"/>
          <w:sz w:val="20"/>
          <w:szCs w:val="20"/>
          <w:u w:val="single"/>
          <w:lang w:val="pt-BR"/>
        </w:rPr>
        <w:t>Caixa Restrito</w:t>
      </w:r>
      <w:r w:rsidR="00D6063B" w:rsidRPr="008D72DA">
        <w:rPr>
          <w:rFonts w:ascii="Verdana" w:hAnsi="Verdana" w:cs="Calibri"/>
          <w:i/>
          <w:color w:val="000000"/>
          <w:sz w:val="20"/>
          <w:szCs w:val="20"/>
          <w:lang w:val="pt-BR"/>
        </w:rPr>
        <w:t>”).</w:t>
      </w:r>
    </w:p>
    <w:p w14:paraId="11E18B56" w14:textId="14AB17D2" w:rsidR="00325245" w:rsidRPr="008D72DA" w:rsidRDefault="00325245" w:rsidP="008D72DA">
      <w:pPr>
        <w:tabs>
          <w:tab w:val="left" w:pos="709"/>
          <w:tab w:val="left" w:pos="1418"/>
        </w:tabs>
        <w:spacing w:line="300" w:lineRule="exact"/>
        <w:ind w:left="708"/>
        <w:jc w:val="both"/>
        <w:rPr>
          <w:rFonts w:ascii="Verdana" w:hAnsi="Verdana" w:cs="Calibri"/>
          <w:i/>
          <w:color w:val="000000"/>
          <w:sz w:val="20"/>
          <w:szCs w:val="20"/>
          <w:lang w:val="pt-BR"/>
        </w:rPr>
      </w:pPr>
    </w:p>
    <w:p w14:paraId="02BD98E7" w14:textId="36EF6BD0" w:rsidR="00325245" w:rsidRPr="008D72DA" w:rsidRDefault="00325245" w:rsidP="008D72DA">
      <w:pPr>
        <w:tabs>
          <w:tab w:val="left" w:pos="709"/>
          <w:tab w:val="left" w:pos="1418"/>
        </w:tabs>
        <w:spacing w:line="300" w:lineRule="exact"/>
        <w:ind w:left="708"/>
        <w:jc w:val="both"/>
        <w:rPr>
          <w:rFonts w:ascii="Verdana" w:hAnsi="Verdana"/>
          <w:i/>
          <w:sz w:val="20"/>
          <w:szCs w:val="20"/>
          <w:lang w:val="pt-BR"/>
        </w:rPr>
      </w:pPr>
      <w:r w:rsidRPr="008D72DA">
        <w:rPr>
          <w:rFonts w:ascii="Verdana" w:hAnsi="Verdana" w:cs="Calibri"/>
          <w:i/>
          <w:color w:val="000000"/>
          <w:sz w:val="20"/>
          <w:szCs w:val="20"/>
          <w:lang w:val="pt-BR"/>
        </w:rPr>
        <w:t>(...)</w:t>
      </w:r>
    </w:p>
    <w:p w14:paraId="206B7B7B" w14:textId="77777777" w:rsidR="00192069" w:rsidRPr="008D72DA" w:rsidRDefault="00192069" w:rsidP="008D72DA">
      <w:pPr>
        <w:tabs>
          <w:tab w:val="left" w:pos="709"/>
          <w:tab w:val="left" w:pos="1418"/>
        </w:tabs>
        <w:spacing w:line="300" w:lineRule="exact"/>
        <w:jc w:val="both"/>
        <w:rPr>
          <w:rFonts w:ascii="Verdana" w:hAnsi="Verdana"/>
          <w:i/>
          <w:sz w:val="20"/>
          <w:szCs w:val="20"/>
          <w:lang w:val="pt-BR"/>
        </w:rPr>
      </w:pPr>
    </w:p>
    <w:p w14:paraId="566CF38D" w14:textId="494D737F" w:rsidR="006412B0" w:rsidRPr="008D72DA" w:rsidRDefault="006412B0" w:rsidP="008D72DA">
      <w:pPr>
        <w:tabs>
          <w:tab w:val="left" w:pos="709"/>
          <w:tab w:val="left" w:pos="1418"/>
        </w:tabs>
        <w:spacing w:line="300" w:lineRule="exact"/>
        <w:ind w:left="708"/>
        <w:jc w:val="both"/>
        <w:rPr>
          <w:rFonts w:ascii="Verdana" w:hAnsi="Verdana"/>
          <w:i/>
          <w:sz w:val="20"/>
          <w:szCs w:val="20"/>
          <w:lang w:val="pt-BR"/>
        </w:rPr>
      </w:pPr>
      <w:r w:rsidRPr="008D72DA">
        <w:rPr>
          <w:rFonts w:ascii="Verdana" w:hAnsi="Verdana"/>
          <w:i/>
          <w:sz w:val="20"/>
          <w:szCs w:val="20"/>
          <w:lang w:val="pt-BR"/>
        </w:rPr>
        <w:t>“</w:t>
      </w:r>
      <w:r w:rsidRPr="008D72DA">
        <w:rPr>
          <w:rFonts w:ascii="Verdana" w:hAnsi="Verdana"/>
          <w:i/>
          <w:sz w:val="20"/>
          <w:szCs w:val="20"/>
          <w:u w:val="single"/>
          <w:lang w:val="pt-BR"/>
        </w:rPr>
        <w:t>Dívida</w:t>
      </w:r>
      <w:r w:rsidRPr="008D72DA">
        <w:rPr>
          <w:rFonts w:ascii="Verdana" w:hAnsi="Verdana"/>
          <w:i/>
          <w:sz w:val="20"/>
          <w:szCs w:val="20"/>
          <w:lang w:val="pt-BR"/>
        </w:rPr>
        <w:t xml:space="preserve">” </w:t>
      </w:r>
      <w:r w:rsidR="00AB22AA" w:rsidRPr="008D72DA">
        <w:rPr>
          <w:rFonts w:ascii="Verdana" w:hAnsi="Verdana" w:cstheme="minorHAnsi"/>
          <w:i/>
          <w:sz w:val="20"/>
          <w:szCs w:val="20"/>
          <w:lang w:val="pt-BR"/>
        </w:rPr>
        <w:t>significa o somatório das dívidas onerosas consolidadas junto a quaisquer pessoas físicas, jurídicas ou quaisquer terceiros, incluindo, mas não limitado, a empréstimos e financiamentos com terceiros, mútuos, valores decorrentes de contratação de fianças bancárias com terceiros (calculados sem duplicidade com as obrigações garantidas por tais fianças), emissão de títulos de renda fixa, conversíveis ou não, no mercado de capitais local e/ou internacional, além de avais, fianças e garantias prestados em operações financeiras, bem como valores a pagar aos quotistas, líquido do saldo a receber (ou acrescido do saldo a pagar).</w:t>
      </w:r>
      <w:r w:rsidR="00AB22AA" w:rsidRPr="008D72DA">
        <w:rPr>
          <w:rFonts w:ascii="Verdana" w:hAnsi="Verdana" w:cstheme="minorHAnsi"/>
          <w:i/>
          <w:sz w:val="20"/>
          <w:szCs w:val="20"/>
          <w:lang w:val="pt-BR"/>
        </w:rPr>
        <w:t>”</w:t>
      </w:r>
    </w:p>
    <w:p w14:paraId="2CC84835" w14:textId="77777777" w:rsidR="006412B0" w:rsidRPr="008D72DA" w:rsidRDefault="006412B0" w:rsidP="008D72DA">
      <w:pPr>
        <w:tabs>
          <w:tab w:val="left" w:pos="709"/>
          <w:tab w:val="left" w:pos="1418"/>
        </w:tabs>
        <w:spacing w:line="300" w:lineRule="exact"/>
        <w:ind w:left="708"/>
        <w:jc w:val="both"/>
        <w:rPr>
          <w:rFonts w:ascii="Verdana" w:hAnsi="Verdana"/>
          <w:i/>
          <w:sz w:val="20"/>
          <w:szCs w:val="20"/>
          <w:lang w:val="pt-BR"/>
        </w:rPr>
      </w:pPr>
      <w:r w:rsidRPr="008D72DA">
        <w:rPr>
          <w:rFonts w:ascii="Verdana" w:hAnsi="Verdana"/>
          <w:i/>
          <w:sz w:val="20"/>
          <w:szCs w:val="20"/>
          <w:lang w:val="pt-BR"/>
        </w:rPr>
        <w:t> </w:t>
      </w:r>
    </w:p>
    <w:p w14:paraId="1A86E6E2" w14:textId="1BBA951E" w:rsidR="006412B0" w:rsidRPr="008D72DA" w:rsidRDefault="006412B0" w:rsidP="008D72DA">
      <w:pPr>
        <w:tabs>
          <w:tab w:val="left" w:pos="709"/>
          <w:tab w:val="left" w:pos="1418"/>
        </w:tabs>
        <w:spacing w:line="300" w:lineRule="exact"/>
        <w:ind w:left="708"/>
        <w:jc w:val="both"/>
        <w:rPr>
          <w:rFonts w:ascii="Verdana" w:hAnsi="Verdana"/>
          <w:b/>
          <w:bCs/>
          <w:i/>
          <w:sz w:val="20"/>
          <w:szCs w:val="20"/>
          <w:lang w:val="pt-BR"/>
        </w:rPr>
      </w:pPr>
      <w:r w:rsidRPr="008D72DA">
        <w:rPr>
          <w:rFonts w:ascii="Verdana" w:hAnsi="Verdana"/>
          <w:i/>
          <w:sz w:val="20"/>
          <w:szCs w:val="20"/>
          <w:lang w:val="pt-BR"/>
        </w:rPr>
        <w:t>“</w:t>
      </w:r>
      <w:r w:rsidRPr="008D72DA">
        <w:rPr>
          <w:rFonts w:ascii="Verdana" w:hAnsi="Verdana"/>
          <w:i/>
          <w:sz w:val="20"/>
          <w:szCs w:val="20"/>
          <w:u w:val="single"/>
          <w:lang w:val="pt-BR"/>
        </w:rPr>
        <w:t>Dívida Líquida</w:t>
      </w:r>
      <w:r w:rsidRPr="008D72DA">
        <w:rPr>
          <w:rFonts w:ascii="Verdana" w:hAnsi="Verdana"/>
          <w:i/>
          <w:sz w:val="20"/>
          <w:szCs w:val="20"/>
          <w:lang w:val="pt-BR"/>
        </w:rPr>
        <w:t xml:space="preserve">” </w:t>
      </w:r>
      <w:r w:rsidR="00AB22AA" w:rsidRPr="008D72DA">
        <w:rPr>
          <w:rFonts w:ascii="Verdana" w:hAnsi="Verdana" w:cstheme="minorHAnsi"/>
          <w:i/>
          <w:sz w:val="20"/>
          <w:szCs w:val="20"/>
          <w:lang w:val="pt-BR"/>
        </w:rPr>
        <w:t>significa o montante de Dívida,</w:t>
      </w:r>
      <w:r w:rsidR="00AB22AA" w:rsidRPr="008D72DA">
        <w:rPr>
          <w:rFonts w:ascii="Verdana" w:eastAsia="SimSun" w:hAnsi="Verdana" w:cs="Verdana"/>
          <w:i/>
          <w:color w:val="000000"/>
          <w:sz w:val="20"/>
          <w:szCs w:val="20"/>
          <w:lang w:val="pt-BR"/>
        </w:rPr>
        <w:t xml:space="preserve"> </w:t>
      </w:r>
      <w:r w:rsidR="00AB22AA" w:rsidRPr="008D72DA">
        <w:rPr>
          <w:rFonts w:ascii="Verdana" w:hAnsi="Verdana" w:cstheme="minorHAnsi"/>
          <w:i/>
          <w:sz w:val="20"/>
          <w:szCs w:val="20"/>
          <w:lang w:val="pt-BR"/>
        </w:rPr>
        <w:t xml:space="preserve">excluídos mútuos, com juros capitalizados e não pagos, que tiverem prazo de vencimento posterior à Data de Vencimento dos CRI, deduzido </w:t>
      </w:r>
      <w:r w:rsidR="00AB22AA" w:rsidRPr="008D72DA">
        <w:rPr>
          <w:rFonts w:ascii="Verdana" w:hAnsi="Verdana" w:cstheme="minorHAnsi"/>
          <w:b/>
          <w:i/>
          <w:sz w:val="20"/>
          <w:szCs w:val="20"/>
          <w:lang w:val="pt-BR"/>
        </w:rPr>
        <w:t>(i)</w:t>
      </w:r>
      <w:r w:rsidR="00AB22AA" w:rsidRPr="008D72DA">
        <w:rPr>
          <w:rFonts w:ascii="Verdana" w:hAnsi="Verdana" w:cstheme="minorHAnsi"/>
          <w:i/>
          <w:sz w:val="20"/>
          <w:szCs w:val="20"/>
          <w:lang w:val="pt-BR"/>
        </w:rPr>
        <w:t xml:space="preserve"> do saldo em Caixa e equivalentes de caixa, </w:t>
      </w:r>
      <w:r w:rsidR="00AB22AA" w:rsidRPr="008D72DA">
        <w:rPr>
          <w:rFonts w:ascii="Verdana" w:hAnsi="Verdana" w:cstheme="minorHAnsi"/>
          <w:b/>
          <w:i/>
          <w:sz w:val="20"/>
          <w:szCs w:val="20"/>
          <w:lang w:val="pt-BR"/>
        </w:rPr>
        <w:t>(</w:t>
      </w:r>
      <w:proofErr w:type="spellStart"/>
      <w:r w:rsidR="00AB22AA" w:rsidRPr="008D72DA">
        <w:rPr>
          <w:rFonts w:ascii="Verdana" w:hAnsi="Verdana" w:cstheme="minorHAnsi"/>
          <w:b/>
          <w:i/>
          <w:sz w:val="20"/>
          <w:szCs w:val="20"/>
          <w:lang w:val="pt-BR"/>
        </w:rPr>
        <w:t>ii</w:t>
      </w:r>
      <w:proofErr w:type="spellEnd"/>
      <w:r w:rsidR="00AB22AA" w:rsidRPr="008D72DA">
        <w:rPr>
          <w:rFonts w:ascii="Verdana" w:hAnsi="Verdana" w:cstheme="minorHAnsi"/>
          <w:b/>
          <w:i/>
          <w:sz w:val="20"/>
          <w:szCs w:val="20"/>
          <w:lang w:val="pt-BR"/>
        </w:rPr>
        <w:t>)</w:t>
      </w:r>
      <w:r w:rsidR="00AB22AA" w:rsidRPr="008D72DA">
        <w:rPr>
          <w:rFonts w:ascii="Verdana" w:hAnsi="Verdana" w:cstheme="minorHAnsi"/>
          <w:i/>
          <w:sz w:val="20"/>
          <w:szCs w:val="20"/>
          <w:lang w:val="pt-BR"/>
        </w:rPr>
        <w:t xml:space="preserve"> das Aplicações Financeiras e </w:t>
      </w:r>
      <w:r w:rsidR="00AB22AA" w:rsidRPr="008D72DA">
        <w:rPr>
          <w:rFonts w:ascii="Verdana" w:hAnsi="Verdana" w:cstheme="minorHAnsi"/>
          <w:b/>
          <w:i/>
          <w:sz w:val="20"/>
          <w:szCs w:val="20"/>
          <w:lang w:val="pt-BR"/>
        </w:rPr>
        <w:t>(</w:t>
      </w:r>
      <w:proofErr w:type="spellStart"/>
      <w:r w:rsidR="00AB22AA" w:rsidRPr="008D72DA">
        <w:rPr>
          <w:rFonts w:ascii="Verdana" w:hAnsi="Verdana" w:cstheme="minorHAnsi"/>
          <w:b/>
          <w:i/>
          <w:sz w:val="20"/>
          <w:szCs w:val="20"/>
          <w:lang w:val="pt-BR"/>
        </w:rPr>
        <w:t>iii</w:t>
      </w:r>
      <w:proofErr w:type="spellEnd"/>
      <w:r w:rsidR="00AB22AA" w:rsidRPr="008D72DA">
        <w:rPr>
          <w:rFonts w:ascii="Verdana" w:hAnsi="Verdana" w:cstheme="minorHAnsi"/>
          <w:b/>
          <w:i/>
          <w:sz w:val="20"/>
          <w:szCs w:val="20"/>
          <w:lang w:val="pt-BR"/>
        </w:rPr>
        <w:t>)</w:t>
      </w:r>
      <w:r w:rsidR="00AB22AA" w:rsidRPr="008D72DA">
        <w:rPr>
          <w:rFonts w:ascii="Verdana" w:hAnsi="Verdana" w:cstheme="minorHAnsi"/>
          <w:i/>
          <w:sz w:val="20"/>
          <w:szCs w:val="20"/>
          <w:lang w:val="pt-BR"/>
        </w:rPr>
        <w:t xml:space="preserve"> do Caixa </w:t>
      </w:r>
      <w:proofErr w:type="gramStart"/>
      <w:r w:rsidR="00AB22AA" w:rsidRPr="008D72DA">
        <w:rPr>
          <w:rFonts w:ascii="Verdana" w:hAnsi="Verdana" w:cstheme="minorHAnsi"/>
          <w:i/>
          <w:sz w:val="20"/>
          <w:szCs w:val="20"/>
          <w:lang w:val="pt-BR"/>
        </w:rPr>
        <w:t>restrito.</w:t>
      </w:r>
      <w:r w:rsidR="00AB22AA" w:rsidRPr="008D72DA">
        <w:rPr>
          <w:rFonts w:ascii="Verdana" w:hAnsi="Verdana" w:cstheme="minorHAnsi"/>
          <w:iCs/>
          <w:sz w:val="20"/>
          <w:szCs w:val="20"/>
          <w:lang w:val="pt-BR"/>
        </w:rPr>
        <w:t>”</w:t>
      </w:r>
      <w:proofErr w:type="gramEnd"/>
    </w:p>
    <w:p w14:paraId="08A86F8E" w14:textId="77777777" w:rsidR="00C74984" w:rsidRPr="008D72DA" w:rsidRDefault="00C74984" w:rsidP="008D72DA">
      <w:pPr>
        <w:tabs>
          <w:tab w:val="left" w:pos="709"/>
          <w:tab w:val="left" w:pos="1418"/>
        </w:tabs>
        <w:spacing w:line="300" w:lineRule="exact"/>
        <w:ind w:left="708"/>
        <w:jc w:val="both"/>
        <w:rPr>
          <w:rFonts w:ascii="Verdana" w:hAnsi="Verdana"/>
          <w:sz w:val="20"/>
          <w:szCs w:val="20"/>
          <w:lang w:val="pt-BR"/>
        </w:rPr>
      </w:pPr>
    </w:p>
    <w:p w14:paraId="04AC013E" w14:textId="5258CD2E" w:rsidR="00C74984" w:rsidRPr="008D72DA" w:rsidRDefault="00C74984" w:rsidP="008D72DA">
      <w:pPr>
        <w:pStyle w:val="PargrafodaLista"/>
        <w:numPr>
          <w:ilvl w:val="1"/>
          <w:numId w:val="20"/>
        </w:numPr>
        <w:spacing w:line="300" w:lineRule="exact"/>
        <w:ind w:left="709" w:hanging="709"/>
        <w:jc w:val="both"/>
        <w:rPr>
          <w:rFonts w:ascii="Verdana" w:hAnsi="Verdana"/>
        </w:rPr>
      </w:pPr>
      <w:r w:rsidRPr="008D72DA">
        <w:rPr>
          <w:rFonts w:ascii="Verdana" w:hAnsi="Verdana"/>
          <w:bCs/>
        </w:rPr>
        <w:lastRenderedPageBreak/>
        <w:t xml:space="preserve">Pelo presente Aditamento, as Partes resolvem </w:t>
      </w:r>
      <w:r w:rsidRPr="008D72DA">
        <w:rPr>
          <w:rFonts w:ascii="Verdana" w:hAnsi="Verdana"/>
        </w:rPr>
        <w:t xml:space="preserve">alterar o </w:t>
      </w:r>
      <w:r w:rsidRPr="008D72DA">
        <w:rPr>
          <w:rFonts w:ascii="Verdana" w:hAnsi="Verdana"/>
          <w:u w:val="single"/>
        </w:rPr>
        <w:t>Anexo IX</w:t>
      </w:r>
      <w:r w:rsidRPr="008D72DA">
        <w:rPr>
          <w:rFonts w:ascii="Verdana" w:hAnsi="Verdana"/>
        </w:rPr>
        <w:t xml:space="preserve"> do Termo de Securitização para retificar o descritivo de despesas a serem reembolsadas, que passará a vigorar com a redação do </w:t>
      </w:r>
      <w:r w:rsidRPr="008D72DA">
        <w:rPr>
          <w:rFonts w:ascii="Verdana" w:hAnsi="Verdana"/>
          <w:u w:val="single"/>
        </w:rPr>
        <w:t>Anexo I</w:t>
      </w:r>
      <w:r w:rsidRPr="008D72DA">
        <w:rPr>
          <w:rFonts w:ascii="Verdana" w:hAnsi="Verdana"/>
        </w:rPr>
        <w:t xml:space="preserve"> deste Aditamento.</w:t>
      </w:r>
    </w:p>
    <w:p w14:paraId="44542679" w14:textId="77777777" w:rsidR="002A0099" w:rsidRPr="008D72DA" w:rsidRDefault="002A0099" w:rsidP="008D72DA">
      <w:pPr>
        <w:pStyle w:val="Body"/>
        <w:spacing w:after="0" w:line="300" w:lineRule="exact"/>
        <w:rPr>
          <w:rFonts w:ascii="Verdana" w:hAnsi="Verdana"/>
          <w:b/>
          <w:szCs w:val="20"/>
          <w:lang w:val="pt-BR"/>
        </w:rPr>
      </w:pPr>
    </w:p>
    <w:p w14:paraId="0ACA5FEE" w14:textId="109C6C3D" w:rsidR="00C74984" w:rsidRPr="008D72DA" w:rsidRDefault="00C74984" w:rsidP="008D72DA">
      <w:pPr>
        <w:pStyle w:val="p0"/>
        <w:numPr>
          <w:ilvl w:val="0"/>
          <w:numId w:val="8"/>
        </w:numPr>
        <w:tabs>
          <w:tab w:val="clear" w:pos="1065"/>
          <w:tab w:val="num" w:pos="720"/>
        </w:tabs>
        <w:suppressAutoHyphens/>
        <w:spacing w:line="300" w:lineRule="exact"/>
        <w:ind w:left="0" w:firstLine="0"/>
        <w:rPr>
          <w:rFonts w:ascii="Verdana" w:hAnsi="Verdana"/>
          <w:b/>
          <w:spacing w:val="2"/>
          <w:sz w:val="20"/>
          <w:szCs w:val="20"/>
          <w:u w:val="single"/>
        </w:rPr>
      </w:pPr>
      <w:bookmarkStart w:id="2" w:name="_Toc43598665"/>
      <w:r w:rsidRPr="008D72DA">
        <w:rPr>
          <w:rFonts w:ascii="Verdana" w:hAnsi="Verdana"/>
          <w:b/>
          <w:spacing w:val="2"/>
          <w:sz w:val="20"/>
          <w:szCs w:val="20"/>
          <w:u w:val="single"/>
        </w:rPr>
        <w:t>DECLARAÇÕES E RATIFICAÇÕES</w:t>
      </w:r>
    </w:p>
    <w:p w14:paraId="5BF11EF3" w14:textId="4C3D325C" w:rsidR="00C74984" w:rsidRPr="008D72DA" w:rsidRDefault="00C74984" w:rsidP="008D72DA">
      <w:pPr>
        <w:pStyle w:val="p0"/>
        <w:tabs>
          <w:tab w:val="clear" w:pos="720"/>
        </w:tabs>
        <w:suppressAutoHyphens/>
        <w:spacing w:line="300" w:lineRule="exact"/>
        <w:rPr>
          <w:rFonts w:ascii="Verdana" w:hAnsi="Verdana"/>
          <w:b/>
          <w:spacing w:val="2"/>
          <w:sz w:val="20"/>
          <w:szCs w:val="20"/>
          <w:u w:val="single"/>
        </w:rPr>
      </w:pPr>
    </w:p>
    <w:p w14:paraId="5224A784" w14:textId="241E2986" w:rsidR="00E01C21" w:rsidRPr="008D72DA" w:rsidRDefault="00E01C21" w:rsidP="008D72DA">
      <w:pPr>
        <w:pStyle w:val="PargrafodaLista"/>
        <w:numPr>
          <w:ilvl w:val="1"/>
          <w:numId w:val="21"/>
        </w:numPr>
        <w:spacing w:line="300" w:lineRule="exact"/>
        <w:jc w:val="both"/>
        <w:rPr>
          <w:rFonts w:ascii="Verdana" w:hAnsi="Verdana" w:cs="Times"/>
          <w:bCs/>
          <w:spacing w:val="2"/>
        </w:rPr>
      </w:pPr>
      <w:r w:rsidRPr="008D72DA">
        <w:rPr>
          <w:rFonts w:ascii="Verdana" w:hAnsi="Verdana" w:cs="Times"/>
          <w:bCs/>
          <w:spacing w:val="2"/>
        </w:rPr>
        <w:t>As alterações feitas por meio deste Aditamento não implicam em novação, pelo que permanecem ainda válidas e em vigor todas as obrigações, cláusulas, termos e condições previstas no Termo de Securitização que não tenham sido expressamente alterados nos termos deste Aditamento.</w:t>
      </w:r>
    </w:p>
    <w:p w14:paraId="62C1C458" w14:textId="77777777" w:rsidR="00C74984" w:rsidRPr="008D72DA" w:rsidRDefault="00C74984" w:rsidP="008D72DA">
      <w:pPr>
        <w:pStyle w:val="p0"/>
        <w:tabs>
          <w:tab w:val="clear" w:pos="720"/>
        </w:tabs>
        <w:suppressAutoHyphens/>
        <w:spacing w:line="300" w:lineRule="exact"/>
        <w:rPr>
          <w:rFonts w:ascii="Verdana" w:hAnsi="Verdana"/>
          <w:b/>
          <w:spacing w:val="2"/>
          <w:sz w:val="20"/>
          <w:szCs w:val="20"/>
          <w:u w:val="single"/>
        </w:rPr>
      </w:pPr>
    </w:p>
    <w:p w14:paraId="6B54B68A" w14:textId="33C43FA5" w:rsidR="00C5062C" w:rsidRPr="008D72DA" w:rsidRDefault="00C5062C" w:rsidP="008D72DA">
      <w:pPr>
        <w:pStyle w:val="CharChar1CharCharCharChar1CharCharCharCharCharCharCharCharCharCharCharCharCharCharCharCharCharCharCharCharCharCharCharCharCharChar"/>
        <w:numPr>
          <w:ilvl w:val="0"/>
          <w:numId w:val="8"/>
        </w:numPr>
        <w:tabs>
          <w:tab w:val="clear" w:pos="1065"/>
          <w:tab w:val="num" w:pos="720"/>
        </w:tabs>
        <w:suppressAutoHyphens/>
        <w:spacing w:after="0" w:line="300" w:lineRule="exact"/>
        <w:ind w:left="0" w:firstLine="0"/>
        <w:rPr>
          <w:rFonts w:cstheme="minorHAnsi"/>
          <w:b/>
          <w:u w:val="single"/>
        </w:rPr>
      </w:pPr>
      <w:r w:rsidRPr="008D72DA">
        <w:rPr>
          <w:rFonts w:cstheme="minorHAnsi"/>
          <w:b/>
          <w:u w:val="single"/>
        </w:rPr>
        <w:t>DISPOSIÇÕES GERAIS</w:t>
      </w:r>
      <w:bookmarkEnd w:id="2"/>
    </w:p>
    <w:p w14:paraId="768DBB79" w14:textId="5B77FD1E" w:rsidR="00C5062C" w:rsidRPr="008D72DA" w:rsidRDefault="00C5062C" w:rsidP="008D72DA">
      <w:pPr>
        <w:pStyle w:val="GradeClara-nfase32"/>
        <w:tabs>
          <w:tab w:val="left" w:pos="709"/>
        </w:tabs>
        <w:suppressAutoHyphens/>
        <w:spacing w:line="300" w:lineRule="exact"/>
        <w:ind w:left="0" w:right="-2"/>
        <w:contextualSpacing w:val="0"/>
        <w:jc w:val="both"/>
        <w:rPr>
          <w:rFonts w:ascii="Verdana" w:hAnsi="Verdana" w:cs="Tahoma"/>
          <w:sz w:val="20"/>
          <w:szCs w:val="20"/>
        </w:rPr>
      </w:pPr>
      <w:r w:rsidRPr="008D72DA">
        <w:rPr>
          <w:rFonts w:ascii="Verdana" w:hAnsi="Verdana" w:cs="Tahoma"/>
          <w:sz w:val="20"/>
          <w:szCs w:val="20"/>
        </w:rPr>
        <w:tab/>
      </w:r>
    </w:p>
    <w:p w14:paraId="365E1B47" w14:textId="2E25BA1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rPr>
        <w:t xml:space="preserve">Os direitos de cada Parte previstos neste </w:t>
      </w:r>
      <w:r w:rsidR="00D17247" w:rsidRPr="008D72DA">
        <w:rPr>
          <w:rFonts w:ascii="Verdana" w:hAnsi="Verdana" w:cs="Tahoma"/>
        </w:rPr>
        <w:t>Aditamento</w:t>
      </w:r>
      <w:r w:rsidRPr="008D72DA">
        <w:rPr>
          <w:rFonts w:ascii="Verdana" w:hAnsi="Verdana" w:cs="Tahoma"/>
        </w:rPr>
        <w:t xml:space="preserve"> e seus anexos </w:t>
      </w:r>
      <w:r w:rsidRPr="008D72DA">
        <w:rPr>
          <w:rFonts w:ascii="Verdana" w:hAnsi="Verdana" w:cs="Tahoma"/>
          <w:b/>
        </w:rPr>
        <w:t>(i)</w:t>
      </w:r>
      <w:r w:rsidRPr="008D72DA">
        <w:rPr>
          <w:rFonts w:ascii="Verdana" w:hAnsi="Verdana" w:cs="Tahoma"/>
        </w:rPr>
        <w:t xml:space="preserve"> são cumulativos com outros direitos </w:t>
      </w:r>
      <w:r w:rsidRPr="008D72DA">
        <w:rPr>
          <w:rFonts w:ascii="Verdana" w:hAnsi="Verdana" w:cs="Times"/>
          <w:bCs/>
          <w:spacing w:val="2"/>
        </w:rPr>
        <w:t>previstos</w:t>
      </w:r>
      <w:r w:rsidRPr="008D72DA">
        <w:rPr>
          <w:rFonts w:ascii="Verdana" w:hAnsi="Verdana" w:cs="Tahoma"/>
        </w:rPr>
        <w:t xml:space="preserve"> em lei, a menos que expressamente os excluam; e </w:t>
      </w:r>
      <w:r w:rsidRPr="008D72DA">
        <w:rPr>
          <w:rFonts w:ascii="Verdana" w:hAnsi="Verdana" w:cs="Tahoma"/>
          <w:b/>
        </w:rPr>
        <w:t>(</w:t>
      </w:r>
      <w:proofErr w:type="spellStart"/>
      <w:r w:rsidRPr="008D72DA">
        <w:rPr>
          <w:rFonts w:ascii="Verdana" w:hAnsi="Verdana" w:cs="Tahoma"/>
          <w:b/>
        </w:rPr>
        <w:t>ii</w:t>
      </w:r>
      <w:proofErr w:type="spellEnd"/>
      <w:r w:rsidRPr="008D72DA">
        <w:rPr>
          <w:rFonts w:ascii="Verdana" w:hAnsi="Verdana" w:cs="Tahoma"/>
          <w:b/>
        </w:rPr>
        <w:t>)</w:t>
      </w:r>
      <w:r w:rsidRPr="008D72DA">
        <w:rPr>
          <w:rFonts w:ascii="Verdana" w:hAnsi="Verdana" w:cs="Tahoma"/>
        </w:rPr>
        <w:t xml:space="preserve"> só admitem renúncia por escrito e específica. O não exercício, total ou parcial, de qualquer direito decorrente do presente </w:t>
      </w:r>
      <w:r w:rsidR="00D17247" w:rsidRPr="008D72DA">
        <w:rPr>
          <w:rFonts w:ascii="Verdana" w:hAnsi="Verdana" w:cs="Tahoma"/>
        </w:rPr>
        <w:t>Aditamento</w:t>
      </w:r>
      <w:r w:rsidRPr="008D72DA">
        <w:rPr>
          <w:rFonts w:ascii="Verdana" w:hAnsi="Verdana" w:cs="Tahoma"/>
        </w:rPr>
        <w:t xml:space="preserve"> não implicará novação da obrigação ou renúncia ao respectivo direito por seu titular nem qualquer alteração aos termos deste Termo.</w:t>
      </w:r>
    </w:p>
    <w:p w14:paraId="5349492F" w14:textId="77777777" w:rsidR="00C5062C" w:rsidRPr="008D72DA" w:rsidRDefault="00C5062C" w:rsidP="008D72DA">
      <w:pPr>
        <w:suppressAutoHyphens/>
        <w:spacing w:line="300" w:lineRule="exact"/>
        <w:ind w:firstLine="709"/>
        <w:rPr>
          <w:rFonts w:ascii="Verdana" w:hAnsi="Verdana"/>
          <w:sz w:val="20"/>
          <w:szCs w:val="20"/>
          <w:lang w:val="pt-BR"/>
        </w:rPr>
      </w:pPr>
    </w:p>
    <w:p w14:paraId="3D897A79" w14:textId="7777777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rPr>
        <w:t xml:space="preserve">A tolerância e as concessões recíprocas </w:t>
      </w:r>
      <w:r w:rsidRPr="008D72DA">
        <w:rPr>
          <w:rFonts w:ascii="Verdana" w:hAnsi="Verdana" w:cs="Tahoma"/>
          <w:b/>
          <w:bCs/>
        </w:rPr>
        <w:t>(i)</w:t>
      </w:r>
      <w:r w:rsidRPr="008D72DA">
        <w:rPr>
          <w:rFonts w:ascii="Verdana" w:hAnsi="Verdana" w:cs="Tahoma"/>
        </w:rPr>
        <w:t xml:space="preserve"> terão caráter eventual e transitório; e </w:t>
      </w:r>
      <w:r w:rsidRPr="008D72DA">
        <w:rPr>
          <w:rFonts w:ascii="Verdana" w:hAnsi="Verdana" w:cs="Tahoma"/>
          <w:b/>
          <w:bCs/>
        </w:rPr>
        <w:t>(</w:t>
      </w:r>
      <w:proofErr w:type="spellStart"/>
      <w:r w:rsidRPr="008D72DA">
        <w:rPr>
          <w:rFonts w:ascii="Verdana" w:hAnsi="Verdana" w:cs="Tahoma"/>
          <w:b/>
          <w:bCs/>
        </w:rPr>
        <w:t>ii</w:t>
      </w:r>
      <w:proofErr w:type="spellEnd"/>
      <w:r w:rsidRPr="008D72DA">
        <w:rPr>
          <w:rFonts w:ascii="Verdana" w:hAnsi="Verdana" w:cs="Tahoma"/>
          <w:b/>
          <w:bCs/>
        </w:rPr>
        <w:t>)</w:t>
      </w:r>
      <w:r w:rsidRPr="008D72DA">
        <w:rPr>
          <w:rFonts w:ascii="Verdana" w:hAnsi="Verdana" w:cs="Tahoma"/>
        </w:rPr>
        <w:t xml:space="preserve"> não configurarão, em qualquer hipótese, renúncia, transigência, remição, perda, modificação, redução, novação ou ampliação de qualquer poder, faculdade, pretensão ou imunidade de qualquer das Partes.</w:t>
      </w:r>
    </w:p>
    <w:p w14:paraId="5E2C4B19" w14:textId="77777777" w:rsidR="00C5062C" w:rsidRPr="008D72DA" w:rsidRDefault="00C5062C" w:rsidP="008D72DA">
      <w:pPr>
        <w:pStyle w:val="GradeClara-nfase32"/>
        <w:tabs>
          <w:tab w:val="left" w:pos="709"/>
        </w:tabs>
        <w:suppressAutoHyphens/>
        <w:spacing w:line="300" w:lineRule="exact"/>
        <w:ind w:left="0" w:right="-2"/>
        <w:contextualSpacing w:val="0"/>
        <w:jc w:val="both"/>
        <w:rPr>
          <w:rFonts w:ascii="Verdana" w:hAnsi="Verdana" w:cs="Tahoma"/>
          <w:sz w:val="20"/>
          <w:szCs w:val="20"/>
        </w:rPr>
      </w:pPr>
    </w:p>
    <w:p w14:paraId="6449E16F" w14:textId="7777777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rPr>
        <w:t xml:space="preserve">Este </w:t>
      </w:r>
      <w:r w:rsidR="00D17247" w:rsidRPr="008D72DA">
        <w:rPr>
          <w:rFonts w:ascii="Verdana" w:hAnsi="Verdana" w:cs="Tahoma"/>
        </w:rPr>
        <w:t>Aditamento</w:t>
      </w:r>
      <w:r w:rsidRPr="008D72DA">
        <w:rPr>
          <w:rFonts w:ascii="Verdana" w:hAnsi="Verdana" w:cs="Tahoma"/>
        </w:rPr>
        <w:t xml:space="preserve"> é celebrado em caráter irrevogável e irretratável, obrigando as Partes e seus sucessores ou cessionários.</w:t>
      </w:r>
    </w:p>
    <w:p w14:paraId="015A59FC" w14:textId="77777777" w:rsidR="00D6081F" w:rsidRPr="008D72DA" w:rsidRDefault="00D6081F" w:rsidP="008D72DA">
      <w:pPr>
        <w:pStyle w:val="PargrafodaLista"/>
        <w:spacing w:line="300" w:lineRule="exact"/>
        <w:ind w:left="720"/>
        <w:jc w:val="both"/>
        <w:rPr>
          <w:rFonts w:ascii="Verdana" w:hAnsi="Verdana" w:cs="Tahoma"/>
        </w:rPr>
      </w:pPr>
    </w:p>
    <w:p w14:paraId="023AD94A" w14:textId="77777777" w:rsidR="00D6081F" w:rsidRPr="008D72DA" w:rsidRDefault="00D6081F" w:rsidP="008D72DA">
      <w:pPr>
        <w:pStyle w:val="PargrafodaLista"/>
        <w:numPr>
          <w:ilvl w:val="1"/>
          <w:numId w:val="22"/>
        </w:numPr>
        <w:spacing w:line="300" w:lineRule="exact"/>
        <w:jc w:val="both"/>
        <w:rPr>
          <w:rFonts w:ascii="Verdana" w:hAnsi="Verdana" w:cs="Tahoma"/>
        </w:rPr>
      </w:pPr>
      <w:r w:rsidRPr="008D72DA">
        <w:rPr>
          <w:rFonts w:ascii="Verdana" w:hAnsi="Verdana"/>
          <w:w w:val="0"/>
        </w:rPr>
        <w:t>T</w:t>
      </w:r>
      <w:r w:rsidRPr="008D72DA">
        <w:rPr>
          <w:rFonts w:ascii="Verdana" w:hAnsi="Verdana"/>
        </w:rPr>
        <w:t>ermos grafados em letras maiúsculas aqui utilizados, mas não definidos neste Aditamento</w:t>
      </w:r>
      <w:r w:rsidRPr="008D72DA">
        <w:rPr>
          <w:rFonts w:ascii="Verdana" w:hAnsi="Verdana"/>
          <w:b/>
        </w:rPr>
        <w:t xml:space="preserve"> </w:t>
      </w:r>
      <w:r w:rsidRPr="008D72DA">
        <w:rPr>
          <w:rFonts w:ascii="Verdana" w:hAnsi="Verdana"/>
        </w:rPr>
        <w:t xml:space="preserve">de outra forma, </w:t>
      </w:r>
      <w:r w:rsidRPr="008D72DA">
        <w:rPr>
          <w:rFonts w:ascii="Verdana" w:hAnsi="Verdana" w:cs="Tahoma"/>
        </w:rPr>
        <w:t>terão</w:t>
      </w:r>
      <w:r w:rsidRPr="008D72DA">
        <w:rPr>
          <w:rFonts w:ascii="Verdana" w:hAnsi="Verdana"/>
        </w:rPr>
        <w:t xml:space="preserve"> os significados a eles atribuídos no Termo de Securitização.</w:t>
      </w:r>
    </w:p>
    <w:p w14:paraId="58389BB0" w14:textId="77777777" w:rsidR="00C5062C" w:rsidRPr="008D72DA" w:rsidRDefault="00C5062C" w:rsidP="008D72DA">
      <w:pPr>
        <w:pStyle w:val="GradeClara-nfase32"/>
        <w:tabs>
          <w:tab w:val="left" w:pos="709"/>
        </w:tabs>
        <w:suppressAutoHyphens/>
        <w:spacing w:line="300" w:lineRule="exact"/>
        <w:ind w:left="0" w:right="-2"/>
        <w:contextualSpacing w:val="0"/>
        <w:jc w:val="both"/>
        <w:rPr>
          <w:rFonts w:ascii="Verdana" w:hAnsi="Verdana" w:cs="Tahoma"/>
          <w:sz w:val="20"/>
          <w:szCs w:val="20"/>
        </w:rPr>
      </w:pPr>
    </w:p>
    <w:p w14:paraId="0EB9A507" w14:textId="7777777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rPr>
        <w:t xml:space="preserve">Caso qualquer das disposições venha a ser julgada inválida ou ineficaz, prevalecerão todas as demais disposições não </w:t>
      </w:r>
      <w:r w:rsidRPr="008D72DA">
        <w:rPr>
          <w:rFonts w:ascii="Verdana" w:hAnsi="Verdana"/>
          <w:w w:val="0"/>
        </w:rPr>
        <w:t>afetadas</w:t>
      </w:r>
      <w:r w:rsidRPr="008D72DA">
        <w:rPr>
          <w:rFonts w:ascii="Verdana" w:hAnsi="Verdana" w:cs="Tahoma"/>
        </w:rPr>
        <w:t xml:space="preserve"> por tal julgamento, comprometendo-se as Partes, em boa-fé, a substituírem a disposição afetada por outra que, na medida do possível, produza o mesmo efeito.</w:t>
      </w:r>
    </w:p>
    <w:p w14:paraId="02FCBB37" w14:textId="77777777" w:rsidR="00C5062C" w:rsidRPr="008D72DA" w:rsidRDefault="00C5062C" w:rsidP="008D72DA">
      <w:pPr>
        <w:pStyle w:val="GradeClara-nfase32"/>
        <w:tabs>
          <w:tab w:val="left" w:pos="709"/>
        </w:tabs>
        <w:suppressAutoHyphens/>
        <w:spacing w:line="300" w:lineRule="exact"/>
        <w:ind w:left="0" w:right="-2"/>
        <w:contextualSpacing w:val="0"/>
        <w:jc w:val="both"/>
        <w:rPr>
          <w:rFonts w:ascii="Verdana" w:hAnsi="Verdana" w:cs="Tahoma"/>
          <w:sz w:val="20"/>
          <w:szCs w:val="20"/>
        </w:rPr>
      </w:pPr>
    </w:p>
    <w:p w14:paraId="34A6CCE7" w14:textId="7777777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rPr>
        <w:t>Os Documentos da Operação constituem o integral e definitivo entendimento entre as Partes a respeito da Oferta Restrita.</w:t>
      </w:r>
    </w:p>
    <w:p w14:paraId="7E0F7BEE" w14:textId="77777777" w:rsidR="00C5062C" w:rsidRPr="008D72DA" w:rsidRDefault="00C5062C" w:rsidP="008D72DA">
      <w:pPr>
        <w:pStyle w:val="PargrafodaLista"/>
        <w:spacing w:line="300" w:lineRule="exact"/>
        <w:ind w:left="720"/>
        <w:jc w:val="both"/>
        <w:rPr>
          <w:rFonts w:ascii="Verdana" w:hAnsi="Verdana" w:cs="Tahoma"/>
        </w:rPr>
      </w:pPr>
    </w:p>
    <w:p w14:paraId="33124B47" w14:textId="7777777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w:t>
      </w:r>
      <w:r w:rsidRPr="008D72DA">
        <w:rPr>
          <w:rFonts w:ascii="Verdana" w:hAnsi="Verdana" w:cs="Tahoma"/>
        </w:rPr>
        <w:lastRenderedPageBreak/>
        <w:t>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7E78EA36" w14:textId="7777777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rPr>
        <w:t>As palavras e as expressões sem definição neste instrumento deverão ser compreendidas e interpretadas em consonância com os usos, costumes e práticas do mercado de capitais brasileiro.</w:t>
      </w:r>
    </w:p>
    <w:p w14:paraId="74AF58AA" w14:textId="77777777" w:rsidR="00C5062C" w:rsidRPr="008D72DA" w:rsidRDefault="00C5062C" w:rsidP="008D72DA">
      <w:pPr>
        <w:pStyle w:val="PargrafodaLista"/>
        <w:spacing w:line="300" w:lineRule="exact"/>
        <w:ind w:left="720"/>
        <w:jc w:val="both"/>
        <w:rPr>
          <w:rFonts w:ascii="Verdana" w:hAnsi="Verdana" w:cs="Tahoma"/>
        </w:rPr>
      </w:pPr>
    </w:p>
    <w:p w14:paraId="05E958DD" w14:textId="77777777" w:rsidR="00C5062C"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u w:val="single"/>
        </w:rPr>
        <w:t>Legislação Aplicável</w:t>
      </w:r>
      <w:r w:rsidRPr="008D72DA">
        <w:rPr>
          <w:rFonts w:ascii="Verdana" w:hAnsi="Verdana" w:cs="Tahoma"/>
        </w:rPr>
        <w:t xml:space="preserve">: Este </w:t>
      </w:r>
      <w:r w:rsidR="00D17247" w:rsidRPr="008D72DA">
        <w:rPr>
          <w:rFonts w:ascii="Verdana" w:hAnsi="Verdana" w:cs="Tahoma"/>
        </w:rPr>
        <w:t>Aditamento</w:t>
      </w:r>
      <w:r w:rsidRPr="008D72DA">
        <w:rPr>
          <w:rFonts w:ascii="Verdana" w:hAnsi="Verdana" w:cs="Tahoma"/>
        </w:rPr>
        <w:t xml:space="preserve"> será regido e interpretado de acordo com as leis da República Federativa do Brasil.</w:t>
      </w:r>
    </w:p>
    <w:p w14:paraId="6402C75C" w14:textId="77777777" w:rsidR="00C5062C" w:rsidRPr="008D72DA" w:rsidRDefault="00C5062C" w:rsidP="008D72DA">
      <w:pPr>
        <w:pStyle w:val="PargrafodaLista"/>
        <w:spacing w:line="300" w:lineRule="exact"/>
        <w:ind w:left="720"/>
        <w:jc w:val="both"/>
        <w:rPr>
          <w:rFonts w:ascii="Verdana" w:hAnsi="Verdana" w:cs="Tahoma"/>
        </w:rPr>
      </w:pPr>
    </w:p>
    <w:p w14:paraId="59A713A6" w14:textId="77777777" w:rsidR="002A0099" w:rsidRPr="008D72DA" w:rsidRDefault="00C5062C" w:rsidP="008D72DA">
      <w:pPr>
        <w:pStyle w:val="PargrafodaLista"/>
        <w:numPr>
          <w:ilvl w:val="1"/>
          <w:numId w:val="22"/>
        </w:numPr>
        <w:spacing w:line="300" w:lineRule="exact"/>
        <w:jc w:val="both"/>
        <w:rPr>
          <w:rFonts w:ascii="Verdana" w:hAnsi="Verdana" w:cs="Tahoma"/>
        </w:rPr>
      </w:pPr>
      <w:r w:rsidRPr="008D72DA">
        <w:rPr>
          <w:rFonts w:ascii="Verdana" w:hAnsi="Verdana" w:cs="Tahoma"/>
          <w:u w:val="single"/>
        </w:rPr>
        <w:t>Foro</w:t>
      </w:r>
      <w:r w:rsidRPr="008D72DA">
        <w:rPr>
          <w:rFonts w:ascii="Verdana" w:hAnsi="Verdana" w:cs="Tahoma"/>
        </w:rPr>
        <w:t xml:space="preserve">: As Partes elegem o Foro da Comarca de São Paulo, Estado de São Paulo, como o único competente para dirimir quaisquer questões ou litígios originários deste </w:t>
      </w:r>
      <w:r w:rsidR="00D17247" w:rsidRPr="008D72DA">
        <w:rPr>
          <w:rFonts w:ascii="Verdana" w:hAnsi="Verdana" w:cs="Tahoma"/>
        </w:rPr>
        <w:t>Aditamento</w:t>
      </w:r>
      <w:r w:rsidRPr="008D72DA">
        <w:rPr>
          <w:rFonts w:ascii="Verdana" w:hAnsi="Verdana" w:cs="Tahoma"/>
        </w:rPr>
        <w:t>, renunciando expressamente a qualquer outro, por mais privilegiado que seja ou venha a ser.</w:t>
      </w:r>
    </w:p>
    <w:p w14:paraId="79A9B17A" w14:textId="77777777" w:rsidR="00193F3C" w:rsidRPr="008D72DA" w:rsidRDefault="00193F3C" w:rsidP="008D72DA">
      <w:pPr>
        <w:pStyle w:val="PargrafodaLista"/>
        <w:spacing w:line="300" w:lineRule="exact"/>
        <w:rPr>
          <w:rFonts w:ascii="Verdana" w:hAnsi="Verdana"/>
        </w:rPr>
      </w:pPr>
    </w:p>
    <w:p w14:paraId="7E0A7DEB" w14:textId="77777777" w:rsidR="00193F3C" w:rsidRPr="008D72DA" w:rsidRDefault="00193F3C" w:rsidP="008D72DA">
      <w:pPr>
        <w:pStyle w:val="BodyText21"/>
        <w:spacing w:line="300" w:lineRule="exact"/>
        <w:rPr>
          <w:rFonts w:ascii="Verdana" w:hAnsi="Verdana" w:cstheme="minorHAnsi"/>
          <w:sz w:val="20"/>
          <w:szCs w:val="20"/>
        </w:rPr>
      </w:pPr>
      <w:r w:rsidRPr="008D72DA">
        <w:rPr>
          <w:rFonts w:ascii="Verdana" w:hAnsi="Verdana" w:cstheme="minorHAnsi"/>
          <w:sz w:val="20"/>
          <w:szCs w:val="20"/>
        </w:rPr>
        <w:t>O presente Aditamento é firmado em 3 (três) vias, de igual teor e forma, na presença de 2 (duas) testemunhas.</w:t>
      </w:r>
    </w:p>
    <w:p w14:paraId="738D9016" w14:textId="77777777" w:rsidR="00193F3C" w:rsidRPr="008D72DA" w:rsidRDefault="00193F3C" w:rsidP="008D72DA">
      <w:pPr>
        <w:pStyle w:val="BodyText21"/>
        <w:tabs>
          <w:tab w:val="left" w:pos="720"/>
        </w:tabs>
        <w:spacing w:line="300" w:lineRule="exact"/>
        <w:ind w:left="720" w:hanging="720"/>
        <w:jc w:val="center"/>
        <w:rPr>
          <w:rFonts w:ascii="Verdana" w:hAnsi="Verdana" w:cstheme="minorHAnsi"/>
          <w:sz w:val="20"/>
          <w:szCs w:val="20"/>
        </w:rPr>
      </w:pPr>
    </w:p>
    <w:p w14:paraId="18DD959B" w14:textId="77777777" w:rsidR="00193F3C" w:rsidRPr="008D72DA" w:rsidRDefault="00193F3C" w:rsidP="008D72DA">
      <w:pPr>
        <w:pStyle w:val="BodyText21"/>
        <w:tabs>
          <w:tab w:val="left" w:pos="720"/>
        </w:tabs>
        <w:spacing w:line="300" w:lineRule="exact"/>
        <w:ind w:left="720" w:hanging="720"/>
        <w:jc w:val="center"/>
        <w:rPr>
          <w:rFonts w:ascii="Verdana" w:hAnsi="Verdana" w:cstheme="minorHAnsi"/>
          <w:sz w:val="20"/>
          <w:szCs w:val="20"/>
        </w:rPr>
      </w:pPr>
      <w:r w:rsidRPr="008D72DA">
        <w:rPr>
          <w:rFonts w:ascii="Verdana" w:hAnsi="Verdana" w:cstheme="minorHAnsi"/>
          <w:sz w:val="20"/>
          <w:szCs w:val="20"/>
        </w:rPr>
        <w:t xml:space="preserve">São Paulo, </w:t>
      </w:r>
      <w:r w:rsidR="000C1721" w:rsidRPr="008D72DA">
        <w:rPr>
          <w:rFonts w:ascii="Verdana" w:hAnsi="Verdana" w:cstheme="minorHAnsi"/>
          <w:sz w:val="20"/>
          <w:szCs w:val="20"/>
        </w:rPr>
        <w:t xml:space="preserve">29 </w:t>
      </w:r>
      <w:r w:rsidRPr="008D72DA">
        <w:rPr>
          <w:rFonts w:ascii="Verdana" w:hAnsi="Verdana" w:cstheme="minorHAnsi"/>
          <w:sz w:val="20"/>
          <w:szCs w:val="20"/>
        </w:rPr>
        <w:t>de junho de 2020.</w:t>
      </w:r>
    </w:p>
    <w:p w14:paraId="07C1074C" w14:textId="77777777" w:rsidR="00193F3C" w:rsidRPr="008D72DA" w:rsidRDefault="00193F3C" w:rsidP="008D72DA">
      <w:pPr>
        <w:pStyle w:val="BodyText21"/>
        <w:tabs>
          <w:tab w:val="left" w:pos="720"/>
        </w:tabs>
        <w:spacing w:line="300" w:lineRule="exact"/>
        <w:ind w:left="720" w:hanging="720"/>
        <w:jc w:val="center"/>
        <w:rPr>
          <w:rFonts w:ascii="Verdana" w:hAnsi="Verdana" w:cstheme="minorHAnsi"/>
          <w:color w:val="000000"/>
          <w:sz w:val="20"/>
          <w:szCs w:val="20"/>
        </w:rPr>
      </w:pPr>
    </w:p>
    <w:p w14:paraId="134193A1" w14:textId="77777777" w:rsidR="00193F3C" w:rsidRPr="008D72DA" w:rsidRDefault="00193F3C" w:rsidP="008D72DA">
      <w:pPr>
        <w:widowControl w:val="0"/>
        <w:tabs>
          <w:tab w:val="left" w:pos="8647"/>
        </w:tabs>
        <w:autoSpaceDE w:val="0"/>
        <w:autoSpaceDN w:val="0"/>
        <w:adjustRightInd w:val="0"/>
        <w:spacing w:line="300" w:lineRule="exact"/>
        <w:jc w:val="center"/>
        <w:rPr>
          <w:rFonts w:ascii="Verdana" w:hAnsi="Verdana" w:cstheme="minorHAnsi"/>
          <w:i/>
          <w:sz w:val="20"/>
          <w:szCs w:val="20"/>
          <w:lang w:val="pt-BR"/>
        </w:rPr>
      </w:pPr>
      <w:r w:rsidRPr="008D72DA">
        <w:rPr>
          <w:rFonts w:ascii="Verdana" w:hAnsi="Verdana" w:cstheme="minorHAnsi"/>
          <w:i/>
          <w:sz w:val="20"/>
          <w:szCs w:val="20"/>
          <w:lang w:val="pt-BR"/>
        </w:rPr>
        <w:t>[O restante desta página foi deixado intencionalmente em branco]</w:t>
      </w:r>
    </w:p>
    <w:p w14:paraId="55C9309F" w14:textId="77777777" w:rsidR="00193F3C" w:rsidRPr="008D72DA" w:rsidRDefault="00193F3C" w:rsidP="008D72DA">
      <w:pPr>
        <w:pStyle w:val="Body"/>
        <w:tabs>
          <w:tab w:val="left" w:pos="0"/>
        </w:tabs>
        <w:spacing w:after="0" w:line="300" w:lineRule="exact"/>
        <w:rPr>
          <w:rFonts w:ascii="Verdana" w:hAnsi="Verdana"/>
          <w:szCs w:val="20"/>
          <w:lang w:val="pt-BR"/>
        </w:rPr>
      </w:pPr>
    </w:p>
    <w:p w14:paraId="225B3940" w14:textId="77777777" w:rsidR="002A0099" w:rsidRPr="008D72DA" w:rsidRDefault="002A0099" w:rsidP="008D72DA">
      <w:pPr>
        <w:pStyle w:val="Body"/>
        <w:spacing w:after="0" w:line="300" w:lineRule="exact"/>
        <w:jc w:val="center"/>
        <w:rPr>
          <w:rFonts w:ascii="Verdana" w:hAnsi="Verdana"/>
          <w:b/>
          <w:szCs w:val="20"/>
          <w:lang w:val="pt-BR"/>
        </w:rPr>
      </w:pPr>
    </w:p>
    <w:p w14:paraId="20B01EE6" w14:textId="77777777" w:rsidR="00291EA0" w:rsidRPr="008D72DA" w:rsidRDefault="00291EA0" w:rsidP="008D72DA">
      <w:pPr>
        <w:spacing w:line="300" w:lineRule="exact"/>
        <w:rPr>
          <w:rFonts w:ascii="Verdana" w:hAnsi="Verdana"/>
          <w:b/>
          <w:sz w:val="20"/>
          <w:szCs w:val="20"/>
          <w:lang w:val="pt-BR"/>
        </w:rPr>
      </w:pPr>
      <w:r w:rsidRPr="008D72DA">
        <w:rPr>
          <w:rFonts w:ascii="Verdana" w:hAnsi="Verdana"/>
          <w:b/>
          <w:sz w:val="20"/>
          <w:szCs w:val="20"/>
          <w:lang w:val="pt-BR"/>
        </w:rPr>
        <w:br w:type="page"/>
      </w:r>
    </w:p>
    <w:p w14:paraId="1F9E1E72" w14:textId="77777777" w:rsidR="00193F3C" w:rsidRPr="008A5E40" w:rsidRDefault="00193F3C">
      <w:pPr>
        <w:widowControl w:val="0"/>
        <w:tabs>
          <w:tab w:val="left" w:pos="8647"/>
        </w:tabs>
        <w:autoSpaceDE w:val="0"/>
        <w:autoSpaceDN w:val="0"/>
        <w:adjustRightInd w:val="0"/>
        <w:spacing w:line="280" w:lineRule="exact"/>
        <w:jc w:val="both"/>
        <w:rPr>
          <w:rFonts w:ascii="Verdana" w:hAnsi="Verdana" w:cstheme="minorHAnsi"/>
          <w:i/>
          <w:sz w:val="20"/>
          <w:szCs w:val="20"/>
          <w:lang w:val="pt-BR"/>
        </w:rPr>
      </w:pPr>
      <w:r w:rsidRPr="008A5E40">
        <w:rPr>
          <w:rFonts w:ascii="Verdana" w:hAnsi="Verdana" w:cstheme="minorHAnsi"/>
          <w:i/>
          <w:sz w:val="20"/>
          <w:szCs w:val="20"/>
          <w:lang w:val="pt-BR"/>
        </w:rPr>
        <w:lastRenderedPageBreak/>
        <w:t xml:space="preserve">[Página de Assinaturas 1/3 do Primeiro Aditamento ao Termo de Securitização de Créditos Imobiliários da 280ª Série da 1ª Emissão da RB Capital Companhia de Securitização, celebrado em </w:t>
      </w:r>
      <w:r w:rsidR="000C1721" w:rsidRPr="008A5E40">
        <w:rPr>
          <w:rFonts w:ascii="Verdana" w:hAnsi="Verdana" w:cstheme="minorHAnsi"/>
          <w:i/>
          <w:sz w:val="20"/>
          <w:szCs w:val="20"/>
          <w:lang w:val="pt-BR"/>
        </w:rPr>
        <w:t>29</w:t>
      </w:r>
      <w:r w:rsidRPr="008A5E40">
        <w:rPr>
          <w:rFonts w:ascii="Verdana" w:hAnsi="Verdana" w:cstheme="minorHAnsi"/>
          <w:i/>
          <w:sz w:val="20"/>
          <w:szCs w:val="20"/>
          <w:lang w:val="pt-BR"/>
        </w:rPr>
        <w:t xml:space="preserve"> de junho de 2020, entre a RB Capital Companhia de Securitização e a Simplific Pavarini Distribuidora de Títulos e Valores Mobiliários Ltda.] </w:t>
      </w:r>
    </w:p>
    <w:p w14:paraId="1002BA6F"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p w14:paraId="53B6DE95"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tbl>
      <w:tblPr>
        <w:tblW w:w="0" w:type="auto"/>
        <w:tblLook w:val="04A0" w:firstRow="1" w:lastRow="0" w:firstColumn="1" w:lastColumn="0" w:noHBand="0" w:noVBand="1"/>
      </w:tblPr>
      <w:tblGrid>
        <w:gridCol w:w="5035"/>
        <w:gridCol w:w="5035"/>
      </w:tblGrid>
      <w:tr w:rsidR="00193F3C" w:rsidRPr="008D72DA" w14:paraId="1B8EE858" w14:textId="77777777" w:rsidTr="00E01C21">
        <w:tc>
          <w:tcPr>
            <w:tcW w:w="10070" w:type="dxa"/>
            <w:gridSpan w:val="2"/>
          </w:tcPr>
          <w:p w14:paraId="2985E50E" w14:textId="77777777" w:rsidR="00193F3C" w:rsidRPr="008A5E40" w:rsidRDefault="00193F3C">
            <w:pPr>
              <w:spacing w:line="280" w:lineRule="exact"/>
              <w:jc w:val="center"/>
              <w:rPr>
                <w:rFonts w:ascii="Verdana" w:hAnsi="Verdana" w:cstheme="minorHAnsi"/>
                <w:b/>
                <w:smallCaps/>
                <w:sz w:val="20"/>
                <w:szCs w:val="20"/>
                <w:lang w:val="pt-BR"/>
              </w:rPr>
            </w:pPr>
            <w:r w:rsidRPr="008A5E40">
              <w:rPr>
                <w:rFonts w:ascii="Verdana" w:hAnsi="Verdana" w:cstheme="minorHAnsi"/>
                <w:b/>
                <w:smallCaps/>
                <w:sz w:val="20"/>
                <w:szCs w:val="20"/>
                <w:lang w:val="pt-BR"/>
              </w:rPr>
              <w:t>RB CAPITAL COMPANHIA DE SECURITIZAÇÃO</w:t>
            </w:r>
            <w:r w:rsidRPr="008A5E40" w:rsidDel="00B956E9">
              <w:rPr>
                <w:rFonts w:ascii="Verdana" w:hAnsi="Verdana" w:cstheme="minorHAnsi"/>
                <w:b/>
                <w:smallCaps/>
                <w:sz w:val="20"/>
                <w:szCs w:val="20"/>
                <w:lang w:val="pt-BR"/>
              </w:rPr>
              <w:t xml:space="preserve"> </w:t>
            </w:r>
          </w:p>
          <w:p w14:paraId="10B10548" w14:textId="77777777" w:rsidR="00193F3C" w:rsidRPr="008A5E40" w:rsidRDefault="00193F3C">
            <w:pPr>
              <w:tabs>
                <w:tab w:val="left" w:pos="8647"/>
              </w:tabs>
              <w:spacing w:line="280" w:lineRule="exact"/>
              <w:jc w:val="center"/>
              <w:rPr>
                <w:rFonts w:ascii="Verdana" w:hAnsi="Verdana" w:cstheme="minorHAnsi"/>
                <w:i/>
                <w:sz w:val="20"/>
                <w:szCs w:val="20"/>
                <w:lang w:val="pt-BR"/>
              </w:rPr>
            </w:pPr>
            <w:r w:rsidRPr="008A5E40">
              <w:rPr>
                <w:rFonts w:ascii="Verdana" w:hAnsi="Verdana" w:cstheme="minorHAnsi"/>
                <w:i/>
                <w:sz w:val="20"/>
                <w:szCs w:val="20"/>
                <w:lang w:val="pt-BR"/>
              </w:rPr>
              <w:t>Emissora</w:t>
            </w:r>
          </w:p>
          <w:p w14:paraId="722461A9" w14:textId="77777777" w:rsidR="00193F3C" w:rsidRPr="008A5E40" w:rsidRDefault="00193F3C">
            <w:pPr>
              <w:tabs>
                <w:tab w:val="left" w:pos="8647"/>
              </w:tabs>
              <w:spacing w:line="280" w:lineRule="exact"/>
              <w:rPr>
                <w:rFonts w:ascii="Verdana" w:hAnsi="Verdana" w:cstheme="minorHAnsi"/>
                <w:sz w:val="20"/>
                <w:szCs w:val="20"/>
                <w:lang w:val="pt-BR"/>
              </w:rPr>
            </w:pPr>
          </w:p>
          <w:p w14:paraId="78C38DAC" w14:textId="77777777" w:rsidR="00193F3C" w:rsidRPr="008A5E40" w:rsidRDefault="00193F3C">
            <w:pPr>
              <w:tabs>
                <w:tab w:val="left" w:pos="8647"/>
              </w:tabs>
              <w:spacing w:line="280" w:lineRule="exact"/>
              <w:rPr>
                <w:rFonts w:ascii="Verdana" w:hAnsi="Verdana" w:cstheme="minorHAnsi"/>
                <w:sz w:val="20"/>
                <w:szCs w:val="20"/>
                <w:lang w:val="pt-BR"/>
              </w:rPr>
            </w:pPr>
          </w:p>
          <w:p w14:paraId="011EF44D" w14:textId="77777777" w:rsidR="00193F3C" w:rsidRPr="008A5E40" w:rsidRDefault="00193F3C">
            <w:pPr>
              <w:tabs>
                <w:tab w:val="left" w:pos="8647"/>
              </w:tabs>
              <w:spacing w:line="280" w:lineRule="exact"/>
              <w:rPr>
                <w:rFonts w:ascii="Verdana" w:hAnsi="Verdana" w:cstheme="minorHAnsi"/>
                <w:sz w:val="20"/>
                <w:szCs w:val="20"/>
                <w:lang w:val="pt-BR"/>
              </w:rPr>
            </w:pPr>
          </w:p>
        </w:tc>
      </w:tr>
      <w:tr w:rsidR="00193F3C" w:rsidRPr="008A5E40" w14:paraId="670889AF" w14:textId="77777777" w:rsidTr="00E01C21">
        <w:tc>
          <w:tcPr>
            <w:tcW w:w="5035" w:type="dxa"/>
          </w:tcPr>
          <w:p w14:paraId="54743E8D" w14:textId="77777777" w:rsidR="00193F3C" w:rsidRPr="008A5E40" w:rsidRDefault="00193F3C">
            <w:pPr>
              <w:pBdr>
                <w:top w:val="single" w:sz="4" w:space="1" w:color="auto"/>
              </w:pBdr>
              <w:tabs>
                <w:tab w:val="left" w:pos="8647"/>
              </w:tabs>
              <w:spacing w:line="280" w:lineRule="exact"/>
              <w:rPr>
                <w:rFonts w:ascii="Verdana" w:hAnsi="Verdana" w:cstheme="minorHAnsi"/>
                <w:sz w:val="20"/>
                <w:szCs w:val="20"/>
              </w:rPr>
            </w:pPr>
            <w:r w:rsidRPr="008A5E40">
              <w:rPr>
                <w:rFonts w:ascii="Verdana" w:hAnsi="Verdana" w:cstheme="minorHAnsi"/>
                <w:sz w:val="20"/>
                <w:szCs w:val="20"/>
              </w:rPr>
              <w:t xml:space="preserve">Nome: </w:t>
            </w:r>
          </w:p>
        </w:tc>
        <w:tc>
          <w:tcPr>
            <w:tcW w:w="5035" w:type="dxa"/>
          </w:tcPr>
          <w:p w14:paraId="0A90909D" w14:textId="77777777" w:rsidR="00193F3C" w:rsidRPr="008A5E40" w:rsidRDefault="00193F3C">
            <w:pPr>
              <w:pBdr>
                <w:top w:val="single" w:sz="4" w:space="1" w:color="auto"/>
              </w:pBdr>
              <w:tabs>
                <w:tab w:val="left" w:pos="8647"/>
              </w:tabs>
              <w:spacing w:line="280" w:lineRule="exact"/>
              <w:rPr>
                <w:rFonts w:ascii="Verdana" w:hAnsi="Verdana" w:cstheme="minorHAnsi"/>
                <w:sz w:val="20"/>
                <w:szCs w:val="20"/>
              </w:rPr>
            </w:pPr>
            <w:r w:rsidRPr="008A5E40">
              <w:rPr>
                <w:rFonts w:ascii="Verdana" w:hAnsi="Verdana" w:cstheme="minorHAnsi"/>
                <w:sz w:val="20"/>
                <w:szCs w:val="20"/>
              </w:rPr>
              <w:t>Nome:</w:t>
            </w:r>
          </w:p>
        </w:tc>
      </w:tr>
      <w:tr w:rsidR="00193F3C" w:rsidRPr="008A5E40" w14:paraId="2F3FD5EE" w14:textId="77777777" w:rsidTr="00E01C21">
        <w:tc>
          <w:tcPr>
            <w:tcW w:w="5035" w:type="dxa"/>
          </w:tcPr>
          <w:p w14:paraId="4D96F6AF" w14:textId="77777777" w:rsidR="00193F3C" w:rsidRPr="008A5E40" w:rsidRDefault="00193F3C">
            <w:pPr>
              <w:tabs>
                <w:tab w:val="left" w:pos="8647"/>
              </w:tabs>
              <w:spacing w:line="280" w:lineRule="exact"/>
              <w:rPr>
                <w:rFonts w:ascii="Verdana" w:hAnsi="Verdana" w:cstheme="minorHAnsi"/>
                <w:sz w:val="20"/>
                <w:szCs w:val="20"/>
              </w:rPr>
            </w:pPr>
            <w:r w:rsidRPr="008A5E40">
              <w:rPr>
                <w:rFonts w:ascii="Verdana" w:hAnsi="Verdana" w:cstheme="minorHAnsi"/>
                <w:sz w:val="20"/>
                <w:szCs w:val="20"/>
              </w:rPr>
              <w:t>Cargo:</w:t>
            </w:r>
          </w:p>
        </w:tc>
        <w:tc>
          <w:tcPr>
            <w:tcW w:w="5035" w:type="dxa"/>
          </w:tcPr>
          <w:p w14:paraId="338277EF" w14:textId="77777777" w:rsidR="00193F3C" w:rsidRPr="008A5E40" w:rsidRDefault="00193F3C">
            <w:pPr>
              <w:tabs>
                <w:tab w:val="left" w:pos="8647"/>
              </w:tabs>
              <w:spacing w:line="280" w:lineRule="exact"/>
              <w:rPr>
                <w:rFonts w:ascii="Verdana" w:hAnsi="Verdana" w:cstheme="minorHAnsi"/>
                <w:sz w:val="20"/>
                <w:szCs w:val="20"/>
              </w:rPr>
            </w:pPr>
            <w:r w:rsidRPr="008A5E40">
              <w:rPr>
                <w:rFonts w:ascii="Verdana" w:hAnsi="Verdana" w:cstheme="minorHAnsi"/>
                <w:sz w:val="20"/>
                <w:szCs w:val="20"/>
              </w:rPr>
              <w:t>Cargo:</w:t>
            </w:r>
          </w:p>
        </w:tc>
      </w:tr>
    </w:tbl>
    <w:p w14:paraId="3EFED797"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rPr>
      </w:pPr>
    </w:p>
    <w:p w14:paraId="51A1844F" w14:textId="77777777" w:rsidR="00193F3C" w:rsidRPr="008A5E40" w:rsidRDefault="00193F3C">
      <w:pPr>
        <w:spacing w:line="280" w:lineRule="exact"/>
        <w:rPr>
          <w:rFonts w:ascii="Verdana" w:hAnsi="Verdana" w:cstheme="minorHAnsi"/>
          <w:sz w:val="20"/>
          <w:szCs w:val="20"/>
        </w:rPr>
      </w:pPr>
    </w:p>
    <w:p w14:paraId="3C5DBD57" w14:textId="77777777" w:rsidR="00193F3C" w:rsidRPr="008A5E40" w:rsidRDefault="00193F3C">
      <w:pPr>
        <w:spacing w:line="280" w:lineRule="exact"/>
        <w:rPr>
          <w:rFonts w:ascii="Verdana" w:hAnsi="Verdana" w:cstheme="minorHAnsi"/>
          <w:sz w:val="20"/>
          <w:szCs w:val="20"/>
        </w:rPr>
      </w:pPr>
    </w:p>
    <w:p w14:paraId="733588FF" w14:textId="77777777" w:rsidR="00193F3C" w:rsidRPr="008A5E40" w:rsidRDefault="00193F3C">
      <w:pPr>
        <w:spacing w:line="280" w:lineRule="exact"/>
        <w:rPr>
          <w:rFonts w:ascii="Verdana" w:hAnsi="Verdana" w:cstheme="minorHAnsi"/>
          <w:sz w:val="20"/>
          <w:szCs w:val="20"/>
        </w:rPr>
      </w:pPr>
      <w:r w:rsidRPr="008A5E40">
        <w:rPr>
          <w:rFonts w:ascii="Verdana" w:hAnsi="Verdana" w:cstheme="minorHAnsi"/>
          <w:sz w:val="20"/>
          <w:szCs w:val="20"/>
        </w:rPr>
        <w:br w:type="page"/>
      </w:r>
    </w:p>
    <w:p w14:paraId="67D58908" w14:textId="77777777" w:rsidR="00193F3C" w:rsidRPr="008A5E40" w:rsidRDefault="00193F3C">
      <w:pPr>
        <w:widowControl w:val="0"/>
        <w:tabs>
          <w:tab w:val="left" w:pos="8647"/>
        </w:tabs>
        <w:autoSpaceDE w:val="0"/>
        <w:autoSpaceDN w:val="0"/>
        <w:adjustRightInd w:val="0"/>
        <w:spacing w:line="280" w:lineRule="exact"/>
        <w:jc w:val="both"/>
        <w:rPr>
          <w:rFonts w:ascii="Verdana" w:hAnsi="Verdana" w:cstheme="minorHAnsi"/>
          <w:i/>
          <w:sz w:val="20"/>
          <w:szCs w:val="20"/>
          <w:lang w:val="pt-BR"/>
        </w:rPr>
      </w:pPr>
      <w:r w:rsidRPr="008A5E40">
        <w:rPr>
          <w:rFonts w:ascii="Verdana" w:hAnsi="Verdana" w:cstheme="minorHAnsi"/>
          <w:i/>
          <w:sz w:val="20"/>
          <w:szCs w:val="20"/>
          <w:lang w:val="pt-BR"/>
        </w:rPr>
        <w:lastRenderedPageBreak/>
        <w:t xml:space="preserve">[Página de Assinaturas 2/3 do Primeiro Aditamento ao Termo de Securitização de Créditos Imobiliários da 280ª Série da 1ª Emissão da RB Capital Companhia de Securitização, celebrado em </w:t>
      </w:r>
      <w:r w:rsidR="000C1721" w:rsidRPr="008A5E40">
        <w:rPr>
          <w:rFonts w:ascii="Verdana" w:hAnsi="Verdana" w:cstheme="minorHAnsi"/>
          <w:i/>
          <w:sz w:val="20"/>
          <w:szCs w:val="20"/>
          <w:lang w:val="pt-BR"/>
        </w:rPr>
        <w:t>29</w:t>
      </w:r>
      <w:r w:rsidRPr="008A5E40">
        <w:rPr>
          <w:rFonts w:ascii="Verdana" w:hAnsi="Verdana" w:cstheme="minorHAnsi"/>
          <w:i/>
          <w:sz w:val="20"/>
          <w:szCs w:val="20"/>
          <w:lang w:val="pt-BR"/>
        </w:rPr>
        <w:t xml:space="preserve"> de junho de 2020, entre a RB Capital Companhia de Securitização e a Simplific Pavarini Distribuidora de Títulos e Valores Mobiliários Ltda.] </w:t>
      </w:r>
    </w:p>
    <w:p w14:paraId="05F6F56A" w14:textId="77777777" w:rsidR="00193F3C" w:rsidRPr="008A5E40" w:rsidRDefault="00193F3C">
      <w:pPr>
        <w:widowControl w:val="0"/>
        <w:tabs>
          <w:tab w:val="left" w:pos="8647"/>
        </w:tabs>
        <w:autoSpaceDE w:val="0"/>
        <w:autoSpaceDN w:val="0"/>
        <w:adjustRightInd w:val="0"/>
        <w:spacing w:line="280" w:lineRule="exact"/>
        <w:rPr>
          <w:rFonts w:ascii="Verdana" w:hAnsi="Verdana" w:cstheme="minorHAnsi"/>
          <w:i/>
          <w:sz w:val="20"/>
          <w:szCs w:val="20"/>
          <w:lang w:val="pt-BR"/>
        </w:rPr>
      </w:pPr>
    </w:p>
    <w:p w14:paraId="6E31A07F" w14:textId="77777777" w:rsidR="00193F3C" w:rsidRPr="008A5E40" w:rsidRDefault="00193F3C">
      <w:pPr>
        <w:widowControl w:val="0"/>
        <w:tabs>
          <w:tab w:val="left" w:pos="8647"/>
        </w:tabs>
        <w:autoSpaceDE w:val="0"/>
        <w:autoSpaceDN w:val="0"/>
        <w:adjustRightInd w:val="0"/>
        <w:spacing w:line="280" w:lineRule="exact"/>
        <w:rPr>
          <w:rFonts w:ascii="Verdana" w:hAnsi="Verdana" w:cstheme="minorHAnsi"/>
          <w:i/>
          <w:sz w:val="20"/>
          <w:szCs w:val="20"/>
          <w:lang w:val="pt-BR"/>
        </w:rPr>
      </w:pPr>
    </w:p>
    <w:tbl>
      <w:tblPr>
        <w:tblW w:w="0" w:type="auto"/>
        <w:tblLook w:val="04A0" w:firstRow="1" w:lastRow="0" w:firstColumn="1" w:lastColumn="0" w:noHBand="0" w:noVBand="1"/>
      </w:tblPr>
      <w:tblGrid>
        <w:gridCol w:w="5035"/>
        <w:gridCol w:w="5035"/>
      </w:tblGrid>
      <w:tr w:rsidR="00193F3C" w:rsidRPr="008A5E40" w14:paraId="7844FB1C" w14:textId="77777777" w:rsidTr="00E01C21">
        <w:tc>
          <w:tcPr>
            <w:tcW w:w="10070" w:type="dxa"/>
            <w:gridSpan w:val="2"/>
          </w:tcPr>
          <w:p w14:paraId="00E722CC" w14:textId="77777777" w:rsidR="00193F3C" w:rsidRPr="008A5E40" w:rsidRDefault="00193F3C">
            <w:pPr>
              <w:keepNext/>
              <w:tabs>
                <w:tab w:val="left" w:pos="2366"/>
              </w:tabs>
              <w:spacing w:line="280" w:lineRule="exact"/>
              <w:jc w:val="center"/>
              <w:rPr>
                <w:rFonts w:ascii="Verdana" w:hAnsi="Verdana"/>
                <w:b/>
                <w:smallCaps/>
                <w:color w:val="000000"/>
                <w:sz w:val="20"/>
                <w:szCs w:val="20"/>
                <w:lang w:val="pt-BR"/>
              </w:rPr>
            </w:pPr>
            <w:r w:rsidRPr="008A5E40">
              <w:rPr>
                <w:rFonts w:ascii="Verdana" w:hAnsi="Verdana"/>
                <w:b/>
                <w:smallCaps/>
                <w:color w:val="000000"/>
                <w:sz w:val="20"/>
                <w:szCs w:val="20"/>
                <w:lang w:val="pt-BR"/>
              </w:rPr>
              <w:t>SIMPLIFIC PAVARINI DISTRIBUIDORA DE TÍTULOS E VALORES MOBILIÁRIOS LTDA.</w:t>
            </w:r>
          </w:p>
          <w:p w14:paraId="3E2EACEC" w14:textId="77777777" w:rsidR="00193F3C" w:rsidRPr="008A5E40" w:rsidRDefault="00193F3C">
            <w:pPr>
              <w:keepNext/>
              <w:tabs>
                <w:tab w:val="left" w:pos="2366"/>
              </w:tabs>
              <w:spacing w:line="280" w:lineRule="exact"/>
              <w:jc w:val="center"/>
              <w:rPr>
                <w:rFonts w:ascii="Verdana" w:hAnsi="Verdana"/>
                <w:b/>
                <w:smallCaps/>
                <w:color w:val="000000"/>
                <w:sz w:val="20"/>
                <w:szCs w:val="20"/>
              </w:rPr>
            </w:pPr>
            <w:proofErr w:type="spellStart"/>
            <w:r w:rsidRPr="008A5E40">
              <w:rPr>
                <w:rFonts w:ascii="Verdana" w:hAnsi="Verdana" w:cstheme="minorHAnsi"/>
                <w:i/>
                <w:color w:val="000000"/>
                <w:sz w:val="20"/>
                <w:szCs w:val="20"/>
              </w:rPr>
              <w:t>Agente</w:t>
            </w:r>
            <w:proofErr w:type="spellEnd"/>
            <w:r w:rsidRPr="008A5E40">
              <w:rPr>
                <w:rFonts w:ascii="Verdana" w:hAnsi="Verdana" w:cstheme="minorHAnsi"/>
                <w:i/>
                <w:color w:val="000000"/>
                <w:sz w:val="20"/>
                <w:szCs w:val="20"/>
              </w:rPr>
              <w:t xml:space="preserve"> </w:t>
            </w:r>
            <w:proofErr w:type="spellStart"/>
            <w:r w:rsidRPr="008A5E40">
              <w:rPr>
                <w:rFonts w:ascii="Verdana" w:hAnsi="Verdana" w:cstheme="minorHAnsi"/>
                <w:i/>
                <w:color w:val="000000"/>
                <w:sz w:val="20"/>
                <w:szCs w:val="20"/>
              </w:rPr>
              <w:t>Fiduciário</w:t>
            </w:r>
            <w:proofErr w:type="spellEnd"/>
            <w:r w:rsidRPr="008A5E40">
              <w:rPr>
                <w:rFonts w:ascii="Verdana" w:hAnsi="Verdana"/>
                <w:b/>
                <w:smallCaps/>
                <w:color w:val="000000"/>
                <w:sz w:val="20"/>
                <w:szCs w:val="20"/>
              </w:rPr>
              <w:t xml:space="preserve"> </w:t>
            </w:r>
          </w:p>
          <w:p w14:paraId="1FACB826" w14:textId="77777777" w:rsidR="00193F3C" w:rsidRPr="008A5E40" w:rsidRDefault="00193F3C">
            <w:pPr>
              <w:keepNext/>
              <w:tabs>
                <w:tab w:val="left" w:pos="2366"/>
              </w:tabs>
              <w:spacing w:line="280" w:lineRule="exact"/>
              <w:jc w:val="center"/>
              <w:rPr>
                <w:rFonts w:ascii="Verdana" w:hAnsi="Verdana"/>
                <w:b/>
                <w:smallCaps/>
                <w:color w:val="000000"/>
                <w:sz w:val="20"/>
                <w:szCs w:val="20"/>
              </w:rPr>
            </w:pPr>
          </w:p>
          <w:p w14:paraId="402143A6" w14:textId="77777777" w:rsidR="00193F3C" w:rsidRPr="008A5E40" w:rsidRDefault="00193F3C">
            <w:pPr>
              <w:keepNext/>
              <w:tabs>
                <w:tab w:val="left" w:pos="2366"/>
              </w:tabs>
              <w:spacing w:line="280" w:lineRule="exact"/>
              <w:jc w:val="center"/>
              <w:rPr>
                <w:rFonts w:ascii="Verdana" w:hAnsi="Verdana"/>
                <w:b/>
                <w:smallCaps/>
                <w:color w:val="000000"/>
                <w:sz w:val="20"/>
                <w:szCs w:val="20"/>
              </w:rPr>
            </w:pPr>
          </w:p>
          <w:p w14:paraId="572D19D6" w14:textId="77777777" w:rsidR="00193F3C" w:rsidRPr="008A5E40" w:rsidRDefault="00193F3C">
            <w:pPr>
              <w:keepNext/>
              <w:tabs>
                <w:tab w:val="left" w:pos="2366"/>
              </w:tabs>
              <w:spacing w:line="280" w:lineRule="exact"/>
              <w:jc w:val="center"/>
              <w:rPr>
                <w:rFonts w:ascii="Verdana" w:hAnsi="Verdana"/>
                <w:b/>
                <w:smallCaps/>
                <w:color w:val="000000"/>
                <w:sz w:val="20"/>
                <w:szCs w:val="20"/>
              </w:rPr>
            </w:pPr>
          </w:p>
        </w:tc>
      </w:tr>
      <w:tr w:rsidR="00193F3C" w:rsidRPr="008A5E40" w14:paraId="1E09A795" w14:textId="77777777" w:rsidTr="00E01C21">
        <w:tc>
          <w:tcPr>
            <w:tcW w:w="5035" w:type="dxa"/>
          </w:tcPr>
          <w:p w14:paraId="09624F3F" w14:textId="77777777" w:rsidR="00193F3C" w:rsidRPr="008A5E40" w:rsidRDefault="00193F3C">
            <w:pPr>
              <w:pBdr>
                <w:top w:val="single" w:sz="4" w:space="1" w:color="auto"/>
              </w:pBdr>
              <w:tabs>
                <w:tab w:val="left" w:pos="8647"/>
              </w:tabs>
              <w:spacing w:line="280" w:lineRule="exact"/>
              <w:rPr>
                <w:rFonts w:ascii="Verdana" w:hAnsi="Verdana" w:cstheme="minorHAnsi"/>
                <w:sz w:val="20"/>
                <w:szCs w:val="20"/>
              </w:rPr>
            </w:pPr>
            <w:r w:rsidRPr="008A5E40">
              <w:rPr>
                <w:rFonts w:ascii="Verdana" w:hAnsi="Verdana" w:cstheme="minorHAnsi"/>
                <w:sz w:val="20"/>
                <w:szCs w:val="20"/>
              </w:rPr>
              <w:t xml:space="preserve">Nome: </w:t>
            </w:r>
          </w:p>
        </w:tc>
        <w:tc>
          <w:tcPr>
            <w:tcW w:w="5035" w:type="dxa"/>
          </w:tcPr>
          <w:p w14:paraId="1B86D0EC" w14:textId="77777777" w:rsidR="00193F3C" w:rsidRPr="008A5E40" w:rsidRDefault="00193F3C">
            <w:pPr>
              <w:pBdr>
                <w:top w:val="single" w:sz="4" w:space="1" w:color="auto"/>
              </w:pBdr>
              <w:tabs>
                <w:tab w:val="left" w:pos="8647"/>
              </w:tabs>
              <w:spacing w:line="280" w:lineRule="exact"/>
              <w:rPr>
                <w:rFonts w:ascii="Verdana" w:hAnsi="Verdana" w:cstheme="minorHAnsi"/>
                <w:sz w:val="20"/>
                <w:szCs w:val="20"/>
              </w:rPr>
            </w:pPr>
          </w:p>
        </w:tc>
      </w:tr>
      <w:tr w:rsidR="00193F3C" w:rsidRPr="008A5E40" w14:paraId="72283309" w14:textId="77777777" w:rsidTr="00E01C21">
        <w:tc>
          <w:tcPr>
            <w:tcW w:w="5035" w:type="dxa"/>
          </w:tcPr>
          <w:p w14:paraId="736EBB4B" w14:textId="77777777" w:rsidR="00193F3C" w:rsidRPr="008A5E40" w:rsidRDefault="00193F3C">
            <w:pPr>
              <w:tabs>
                <w:tab w:val="left" w:pos="8647"/>
              </w:tabs>
              <w:spacing w:line="280" w:lineRule="exact"/>
              <w:rPr>
                <w:rFonts w:ascii="Verdana" w:hAnsi="Verdana" w:cstheme="minorHAnsi"/>
                <w:sz w:val="20"/>
                <w:szCs w:val="20"/>
              </w:rPr>
            </w:pPr>
            <w:r w:rsidRPr="008A5E40">
              <w:rPr>
                <w:rFonts w:ascii="Verdana" w:hAnsi="Verdana" w:cstheme="minorHAnsi"/>
                <w:sz w:val="20"/>
                <w:szCs w:val="20"/>
              </w:rPr>
              <w:t>Cargo:</w:t>
            </w:r>
          </w:p>
        </w:tc>
        <w:tc>
          <w:tcPr>
            <w:tcW w:w="5035" w:type="dxa"/>
          </w:tcPr>
          <w:p w14:paraId="7A1426FA" w14:textId="77777777" w:rsidR="00193F3C" w:rsidRPr="008A5E40" w:rsidRDefault="00193F3C">
            <w:pPr>
              <w:tabs>
                <w:tab w:val="left" w:pos="8647"/>
              </w:tabs>
              <w:spacing w:line="280" w:lineRule="exact"/>
              <w:rPr>
                <w:rFonts w:ascii="Verdana" w:hAnsi="Verdana" w:cstheme="minorHAnsi"/>
                <w:sz w:val="20"/>
                <w:szCs w:val="20"/>
              </w:rPr>
            </w:pPr>
          </w:p>
        </w:tc>
      </w:tr>
    </w:tbl>
    <w:p w14:paraId="0B3AE7F8"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rPr>
      </w:pPr>
    </w:p>
    <w:p w14:paraId="6DE1C6C5"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rPr>
      </w:pPr>
    </w:p>
    <w:p w14:paraId="09935DD2" w14:textId="77777777" w:rsidR="00193F3C" w:rsidRPr="008A5E40" w:rsidRDefault="00193F3C">
      <w:pPr>
        <w:spacing w:line="280" w:lineRule="exact"/>
        <w:rPr>
          <w:rFonts w:ascii="Verdana" w:hAnsi="Verdana" w:cstheme="minorHAnsi"/>
          <w:sz w:val="20"/>
          <w:szCs w:val="20"/>
        </w:rPr>
      </w:pPr>
      <w:r w:rsidRPr="008A5E40">
        <w:rPr>
          <w:rFonts w:ascii="Verdana" w:hAnsi="Verdana" w:cstheme="minorHAnsi"/>
          <w:sz w:val="20"/>
          <w:szCs w:val="20"/>
        </w:rPr>
        <w:br w:type="page"/>
      </w:r>
    </w:p>
    <w:p w14:paraId="7582E447" w14:textId="77777777" w:rsidR="00193F3C" w:rsidRPr="008A5E40" w:rsidRDefault="00193F3C">
      <w:pPr>
        <w:widowControl w:val="0"/>
        <w:tabs>
          <w:tab w:val="left" w:pos="8647"/>
        </w:tabs>
        <w:autoSpaceDE w:val="0"/>
        <w:autoSpaceDN w:val="0"/>
        <w:adjustRightInd w:val="0"/>
        <w:spacing w:line="280" w:lineRule="exact"/>
        <w:jc w:val="both"/>
        <w:rPr>
          <w:rFonts w:ascii="Verdana" w:hAnsi="Verdana" w:cstheme="minorHAnsi"/>
          <w:i/>
          <w:sz w:val="20"/>
          <w:szCs w:val="20"/>
          <w:lang w:val="pt-BR"/>
        </w:rPr>
      </w:pPr>
      <w:r w:rsidRPr="008A5E40">
        <w:rPr>
          <w:rFonts w:ascii="Verdana" w:hAnsi="Verdana" w:cstheme="minorHAnsi"/>
          <w:i/>
          <w:sz w:val="20"/>
          <w:szCs w:val="20"/>
          <w:lang w:val="pt-BR"/>
        </w:rPr>
        <w:lastRenderedPageBreak/>
        <w:t xml:space="preserve">[Página de Assinaturas 3/3 do Primeiro Aditamento ao Termo de Securitização de Créditos Imobiliários da 280ª Série da 1ª Emissão da RB Capital Companhia de Securitização, celebrado em </w:t>
      </w:r>
      <w:r w:rsidR="000C1721" w:rsidRPr="008A5E40">
        <w:rPr>
          <w:rFonts w:ascii="Verdana" w:hAnsi="Verdana" w:cstheme="minorHAnsi"/>
          <w:i/>
          <w:sz w:val="20"/>
          <w:szCs w:val="20"/>
          <w:lang w:val="pt-BR"/>
        </w:rPr>
        <w:t>29</w:t>
      </w:r>
      <w:r w:rsidRPr="008A5E40">
        <w:rPr>
          <w:rFonts w:ascii="Verdana" w:hAnsi="Verdana" w:cstheme="minorHAnsi"/>
          <w:i/>
          <w:sz w:val="20"/>
          <w:szCs w:val="20"/>
          <w:lang w:val="pt-BR"/>
        </w:rPr>
        <w:t xml:space="preserve"> de junho de 2020, entre a RB Capital Companhia de Securitização e a Simplific Pavarini Distribuidora de Títulos e Valores Mobiliários Ltda.] </w:t>
      </w:r>
    </w:p>
    <w:p w14:paraId="397C7154"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p w14:paraId="76146EF7"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lang w:val="pt-BR"/>
        </w:rPr>
      </w:pPr>
    </w:p>
    <w:p w14:paraId="08F1F691" w14:textId="77777777" w:rsidR="00193F3C" w:rsidRPr="008A5E40" w:rsidRDefault="00193F3C">
      <w:pPr>
        <w:pStyle w:val="Corpodetexto"/>
        <w:tabs>
          <w:tab w:val="left" w:pos="8647"/>
        </w:tabs>
        <w:spacing w:after="0" w:line="280" w:lineRule="exact"/>
        <w:rPr>
          <w:rFonts w:ascii="Verdana" w:hAnsi="Verdana" w:cstheme="minorHAnsi"/>
          <w:b/>
          <w:i/>
          <w:sz w:val="20"/>
          <w:szCs w:val="20"/>
        </w:rPr>
      </w:pPr>
      <w:proofErr w:type="spellStart"/>
      <w:r w:rsidRPr="008D72DA">
        <w:rPr>
          <w:rFonts w:ascii="Verdana" w:hAnsi="Verdana" w:cstheme="minorHAnsi"/>
          <w:b/>
          <w:bCs/>
          <w:sz w:val="20"/>
          <w:szCs w:val="20"/>
        </w:rPr>
        <w:t>Testemunhas</w:t>
      </w:r>
      <w:proofErr w:type="spellEnd"/>
      <w:r w:rsidRPr="008D72DA">
        <w:rPr>
          <w:rFonts w:ascii="Verdana" w:hAnsi="Verdana" w:cstheme="minorHAnsi"/>
          <w:b/>
          <w:bCs/>
          <w:sz w:val="20"/>
          <w:szCs w:val="20"/>
        </w:rPr>
        <w:t>:</w:t>
      </w:r>
    </w:p>
    <w:p w14:paraId="458CBD77" w14:textId="77777777" w:rsidR="00193F3C" w:rsidRPr="008A5E40" w:rsidRDefault="00193F3C">
      <w:pPr>
        <w:pStyle w:val="Corpodetexto"/>
        <w:tabs>
          <w:tab w:val="left" w:pos="8647"/>
        </w:tabs>
        <w:spacing w:after="0" w:line="280" w:lineRule="exact"/>
        <w:rPr>
          <w:rFonts w:ascii="Verdana" w:hAnsi="Verdana" w:cstheme="minorHAnsi"/>
          <w:b/>
          <w:i/>
          <w:sz w:val="20"/>
          <w:szCs w:val="20"/>
        </w:rPr>
      </w:pPr>
    </w:p>
    <w:p w14:paraId="434D5F30" w14:textId="77777777" w:rsidR="00193F3C" w:rsidRPr="008A5E40" w:rsidRDefault="00193F3C">
      <w:pPr>
        <w:pStyle w:val="Corpodetexto"/>
        <w:tabs>
          <w:tab w:val="left" w:pos="8647"/>
        </w:tabs>
        <w:spacing w:after="0" w:line="280" w:lineRule="exact"/>
        <w:rPr>
          <w:rFonts w:ascii="Verdana" w:hAnsi="Verdana" w:cstheme="minorHAnsi"/>
          <w:b/>
          <w:i/>
          <w:sz w:val="20"/>
          <w:szCs w:val="20"/>
        </w:rPr>
      </w:pPr>
    </w:p>
    <w:tbl>
      <w:tblPr>
        <w:tblW w:w="0" w:type="auto"/>
        <w:tblLook w:val="04A0" w:firstRow="1" w:lastRow="0" w:firstColumn="1" w:lastColumn="0" w:noHBand="0" w:noVBand="1"/>
      </w:tblPr>
      <w:tblGrid>
        <w:gridCol w:w="5035"/>
        <w:gridCol w:w="5035"/>
      </w:tblGrid>
      <w:tr w:rsidR="00193F3C" w:rsidRPr="008A5E40" w14:paraId="3BA5C737" w14:textId="77777777" w:rsidTr="00E01C21">
        <w:tc>
          <w:tcPr>
            <w:tcW w:w="5035" w:type="dxa"/>
          </w:tcPr>
          <w:p w14:paraId="0A498FEE" w14:textId="77777777" w:rsidR="00193F3C" w:rsidRPr="008A5E40" w:rsidRDefault="00193F3C">
            <w:pPr>
              <w:pBdr>
                <w:top w:val="single" w:sz="4" w:space="1" w:color="auto"/>
              </w:pBdr>
              <w:tabs>
                <w:tab w:val="left" w:pos="8647"/>
              </w:tabs>
              <w:spacing w:line="280" w:lineRule="exact"/>
              <w:rPr>
                <w:rFonts w:ascii="Verdana" w:hAnsi="Verdana" w:cstheme="minorHAnsi"/>
                <w:sz w:val="20"/>
                <w:szCs w:val="20"/>
              </w:rPr>
            </w:pPr>
            <w:r w:rsidRPr="008A5E40">
              <w:rPr>
                <w:rFonts w:ascii="Verdana" w:hAnsi="Verdana" w:cstheme="minorHAnsi"/>
                <w:sz w:val="20"/>
                <w:szCs w:val="20"/>
              </w:rPr>
              <w:t xml:space="preserve">Nome: </w:t>
            </w:r>
          </w:p>
        </w:tc>
        <w:tc>
          <w:tcPr>
            <w:tcW w:w="5035" w:type="dxa"/>
          </w:tcPr>
          <w:p w14:paraId="4323489F" w14:textId="77777777" w:rsidR="00193F3C" w:rsidRPr="008A5E40" w:rsidRDefault="00193F3C">
            <w:pPr>
              <w:pBdr>
                <w:top w:val="single" w:sz="4" w:space="1" w:color="auto"/>
              </w:pBdr>
              <w:tabs>
                <w:tab w:val="left" w:pos="8647"/>
              </w:tabs>
              <w:spacing w:line="280" w:lineRule="exact"/>
              <w:rPr>
                <w:rFonts w:ascii="Verdana" w:hAnsi="Verdana" w:cstheme="minorHAnsi"/>
                <w:sz w:val="20"/>
                <w:szCs w:val="20"/>
              </w:rPr>
            </w:pPr>
            <w:r w:rsidRPr="008A5E40">
              <w:rPr>
                <w:rFonts w:ascii="Verdana" w:hAnsi="Verdana" w:cstheme="minorHAnsi"/>
                <w:sz w:val="20"/>
                <w:szCs w:val="20"/>
              </w:rPr>
              <w:t>Nome:</w:t>
            </w:r>
          </w:p>
        </w:tc>
      </w:tr>
      <w:tr w:rsidR="00193F3C" w:rsidRPr="008A5E40" w14:paraId="5BFC90AD" w14:textId="77777777" w:rsidTr="00E01C21">
        <w:tc>
          <w:tcPr>
            <w:tcW w:w="5035" w:type="dxa"/>
          </w:tcPr>
          <w:p w14:paraId="61D85F72" w14:textId="77777777" w:rsidR="00193F3C" w:rsidRPr="008A5E40" w:rsidRDefault="00193F3C">
            <w:pPr>
              <w:tabs>
                <w:tab w:val="left" w:pos="8647"/>
              </w:tabs>
              <w:spacing w:line="280" w:lineRule="exact"/>
              <w:rPr>
                <w:rFonts w:ascii="Verdana" w:hAnsi="Verdana" w:cstheme="minorHAnsi"/>
                <w:sz w:val="20"/>
                <w:szCs w:val="20"/>
              </w:rPr>
            </w:pPr>
            <w:r w:rsidRPr="008A5E40">
              <w:rPr>
                <w:rFonts w:ascii="Verdana" w:hAnsi="Verdana" w:cstheme="minorHAnsi"/>
                <w:sz w:val="20"/>
                <w:szCs w:val="20"/>
              </w:rPr>
              <w:t>RG:</w:t>
            </w:r>
          </w:p>
        </w:tc>
        <w:tc>
          <w:tcPr>
            <w:tcW w:w="5035" w:type="dxa"/>
          </w:tcPr>
          <w:p w14:paraId="44D289C8" w14:textId="77777777" w:rsidR="00193F3C" w:rsidRPr="008A5E40" w:rsidRDefault="00193F3C">
            <w:pPr>
              <w:tabs>
                <w:tab w:val="left" w:pos="8647"/>
              </w:tabs>
              <w:spacing w:line="280" w:lineRule="exact"/>
              <w:rPr>
                <w:rFonts w:ascii="Verdana" w:hAnsi="Verdana" w:cstheme="minorHAnsi"/>
                <w:sz w:val="20"/>
                <w:szCs w:val="20"/>
              </w:rPr>
            </w:pPr>
            <w:r w:rsidRPr="008A5E40">
              <w:rPr>
                <w:rFonts w:ascii="Verdana" w:hAnsi="Verdana" w:cstheme="minorHAnsi"/>
                <w:sz w:val="20"/>
                <w:szCs w:val="20"/>
              </w:rPr>
              <w:t>RG:</w:t>
            </w:r>
          </w:p>
        </w:tc>
      </w:tr>
      <w:tr w:rsidR="00193F3C" w:rsidRPr="008A5E40" w14:paraId="1E03E6A2" w14:textId="77777777" w:rsidTr="00E01C21">
        <w:tc>
          <w:tcPr>
            <w:tcW w:w="5035" w:type="dxa"/>
          </w:tcPr>
          <w:p w14:paraId="03472095" w14:textId="77777777" w:rsidR="00193F3C" w:rsidRPr="008A5E40" w:rsidRDefault="00193F3C">
            <w:pPr>
              <w:tabs>
                <w:tab w:val="left" w:pos="8647"/>
              </w:tabs>
              <w:spacing w:line="280" w:lineRule="exact"/>
              <w:rPr>
                <w:rFonts w:ascii="Verdana" w:hAnsi="Verdana" w:cstheme="minorHAnsi"/>
                <w:sz w:val="20"/>
                <w:szCs w:val="20"/>
              </w:rPr>
            </w:pPr>
            <w:r w:rsidRPr="008A5E40">
              <w:rPr>
                <w:rFonts w:ascii="Verdana" w:hAnsi="Verdana" w:cstheme="minorHAnsi"/>
                <w:sz w:val="20"/>
                <w:szCs w:val="20"/>
              </w:rPr>
              <w:t>CPF/ME:</w:t>
            </w:r>
          </w:p>
        </w:tc>
        <w:tc>
          <w:tcPr>
            <w:tcW w:w="5035" w:type="dxa"/>
          </w:tcPr>
          <w:p w14:paraId="5AB99E89" w14:textId="77777777" w:rsidR="00193F3C" w:rsidRPr="008A5E40" w:rsidRDefault="00193F3C">
            <w:pPr>
              <w:tabs>
                <w:tab w:val="left" w:pos="8647"/>
              </w:tabs>
              <w:spacing w:line="280" w:lineRule="exact"/>
              <w:rPr>
                <w:rFonts w:ascii="Verdana" w:hAnsi="Verdana" w:cstheme="minorHAnsi"/>
                <w:sz w:val="20"/>
                <w:szCs w:val="20"/>
              </w:rPr>
            </w:pPr>
            <w:r w:rsidRPr="008A5E40">
              <w:rPr>
                <w:rFonts w:ascii="Verdana" w:hAnsi="Verdana" w:cstheme="minorHAnsi"/>
                <w:sz w:val="20"/>
                <w:szCs w:val="20"/>
              </w:rPr>
              <w:t>CPF/ME:</w:t>
            </w:r>
          </w:p>
        </w:tc>
      </w:tr>
    </w:tbl>
    <w:p w14:paraId="16B39ECF" w14:textId="77777777" w:rsidR="00193F3C" w:rsidRPr="008A5E40" w:rsidRDefault="00193F3C">
      <w:pPr>
        <w:widowControl w:val="0"/>
        <w:tabs>
          <w:tab w:val="left" w:pos="8647"/>
        </w:tabs>
        <w:autoSpaceDE w:val="0"/>
        <w:autoSpaceDN w:val="0"/>
        <w:adjustRightInd w:val="0"/>
        <w:spacing w:line="280" w:lineRule="exact"/>
        <w:jc w:val="center"/>
        <w:rPr>
          <w:rFonts w:ascii="Verdana" w:hAnsi="Verdana" w:cstheme="minorHAnsi"/>
          <w:sz w:val="20"/>
          <w:szCs w:val="20"/>
        </w:rPr>
      </w:pPr>
    </w:p>
    <w:p w14:paraId="03E02965" w14:textId="77777777" w:rsidR="00193F3C" w:rsidRPr="008A5E40" w:rsidRDefault="00193F3C">
      <w:pPr>
        <w:tabs>
          <w:tab w:val="left" w:pos="5760"/>
        </w:tabs>
        <w:spacing w:line="280" w:lineRule="exact"/>
        <w:jc w:val="center"/>
        <w:rPr>
          <w:rFonts w:ascii="Verdana" w:hAnsi="Verdana" w:cstheme="minorHAnsi"/>
          <w:b/>
          <w:sz w:val="20"/>
          <w:szCs w:val="20"/>
        </w:rPr>
      </w:pPr>
    </w:p>
    <w:p w14:paraId="49A0B207" w14:textId="77777777" w:rsidR="00000000" w:rsidRDefault="002B5A2B">
      <w:pPr>
        <w:tabs>
          <w:tab w:val="left" w:pos="5760"/>
        </w:tabs>
        <w:spacing w:line="280" w:lineRule="exact"/>
        <w:jc w:val="center"/>
        <w:rPr>
          <w:rFonts w:ascii="Verdana" w:hAnsi="Verdana" w:cstheme="minorHAnsi"/>
          <w:b/>
          <w:sz w:val="20"/>
          <w:szCs w:val="20"/>
        </w:rPr>
        <w:sectPr w:rsidR="00000000" w:rsidSect="00E01C21">
          <w:headerReference w:type="default" r:id="rId8"/>
          <w:footerReference w:type="even" r:id="rId9"/>
          <w:footerReference w:type="default" r:id="rId10"/>
          <w:footerReference w:type="first" r:id="rId11"/>
          <w:pgSz w:w="12240" w:h="15840"/>
          <w:pgMar w:top="1134" w:right="1080" w:bottom="1440" w:left="1080" w:header="709" w:footer="709" w:gutter="0"/>
          <w:cols w:space="708"/>
          <w:titlePg/>
          <w:docGrid w:linePitch="360"/>
        </w:sectPr>
      </w:pPr>
    </w:p>
    <w:p w14:paraId="34DA8212" w14:textId="77777777" w:rsidR="00193F3C" w:rsidRPr="008A5E40" w:rsidRDefault="00193F3C">
      <w:pPr>
        <w:spacing w:line="280" w:lineRule="exact"/>
        <w:rPr>
          <w:rFonts w:ascii="Verdana" w:hAnsi="Verdana"/>
          <w:b/>
          <w:kern w:val="20"/>
          <w:sz w:val="20"/>
          <w:szCs w:val="20"/>
          <w:lang w:val="pt-BR"/>
        </w:rPr>
      </w:pPr>
    </w:p>
    <w:p w14:paraId="3DBCC9FA" w14:textId="77777777" w:rsidR="002F55CC" w:rsidRPr="008A5E40" w:rsidRDefault="008D06D5">
      <w:pPr>
        <w:spacing w:line="280" w:lineRule="exact"/>
        <w:jc w:val="center"/>
        <w:rPr>
          <w:rFonts w:ascii="Verdana" w:eastAsia="Calibri" w:hAnsi="Verdana"/>
          <w:b/>
          <w:sz w:val="20"/>
          <w:szCs w:val="20"/>
          <w:lang w:val="pt-BR" w:bidi="ks-Deva"/>
        </w:rPr>
      </w:pPr>
      <w:r w:rsidRPr="008A5E40">
        <w:rPr>
          <w:rFonts w:ascii="Verdana" w:eastAsia="Calibri" w:hAnsi="Verdana"/>
          <w:b/>
          <w:sz w:val="20"/>
          <w:szCs w:val="20"/>
          <w:lang w:val="pt-BR" w:bidi="ks-Deva"/>
        </w:rPr>
        <w:t>ANEXO I</w:t>
      </w:r>
    </w:p>
    <w:p w14:paraId="0E9D42B5" w14:textId="77777777" w:rsidR="008D06D5" w:rsidRPr="008A5E40" w:rsidRDefault="008D06D5">
      <w:pPr>
        <w:spacing w:line="280" w:lineRule="exact"/>
        <w:jc w:val="center"/>
        <w:rPr>
          <w:rFonts w:ascii="Verdana" w:hAnsi="Verdana" w:cstheme="minorHAnsi"/>
          <w:b/>
          <w:iCs/>
          <w:sz w:val="20"/>
          <w:szCs w:val="20"/>
          <w:lang w:val="pt-BR"/>
        </w:rPr>
      </w:pPr>
      <w:r w:rsidRPr="008A5E40">
        <w:rPr>
          <w:rFonts w:ascii="Verdana" w:hAnsi="Verdana" w:cstheme="minorHAnsi"/>
          <w:b/>
          <w:iCs/>
          <w:sz w:val="20"/>
          <w:szCs w:val="20"/>
          <w:lang w:val="pt-BR"/>
        </w:rPr>
        <w:t>DESCRITIVO DAS DESPESAS OBJETO DE REEMBOLSO</w:t>
      </w:r>
    </w:p>
    <w:p w14:paraId="4214C6C9" w14:textId="77777777" w:rsidR="008D06D5" w:rsidRPr="008A5E40" w:rsidRDefault="008D06D5">
      <w:pPr>
        <w:spacing w:line="280" w:lineRule="exact"/>
        <w:jc w:val="center"/>
        <w:rPr>
          <w:rFonts w:ascii="Verdana" w:hAnsi="Verdana" w:cstheme="minorHAnsi"/>
          <w:b/>
          <w:iCs/>
          <w:sz w:val="20"/>
          <w:szCs w:val="20"/>
          <w:lang w:val="pt-BR"/>
        </w:rPr>
      </w:pPr>
    </w:p>
    <w:tbl>
      <w:tblPr>
        <w:tblW w:w="7960" w:type="dxa"/>
        <w:jc w:val="center"/>
        <w:tblCellMar>
          <w:left w:w="70" w:type="dxa"/>
          <w:right w:w="70" w:type="dxa"/>
        </w:tblCellMar>
        <w:tblLook w:val="04A0" w:firstRow="1" w:lastRow="0" w:firstColumn="1" w:lastColumn="0" w:noHBand="0" w:noVBand="1"/>
      </w:tblPr>
      <w:tblGrid>
        <w:gridCol w:w="5060"/>
        <w:gridCol w:w="1300"/>
        <w:gridCol w:w="1921"/>
      </w:tblGrid>
      <w:tr w:rsidR="008D06D5" w:rsidRPr="008A5E40" w14:paraId="04BA3F23" w14:textId="77777777" w:rsidTr="00E01C21">
        <w:trPr>
          <w:trHeight w:val="300"/>
          <w:tblHeader/>
          <w:jc w:val="center"/>
        </w:trPr>
        <w:tc>
          <w:tcPr>
            <w:tcW w:w="5060" w:type="dxa"/>
            <w:tcBorders>
              <w:top w:val="nil"/>
              <w:left w:val="nil"/>
              <w:bottom w:val="nil"/>
              <w:right w:val="nil"/>
            </w:tcBorders>
            <w:shd w:val="clear" w:color="000000" w:fill="808080"/>
            <w:noWrap/>
            <w:vAlign w:val="center"/>
            <w:hideMark/>
          </w:tcPr>
          <w:p w14:paraId="321AED3B" w14:textId="77777777" w:rsidR="008D06D5" w:rsidRPr="008A5E40" w:rsidRDefault="008D06D5">
            <w:pPr>
              <w:spacing w:line="280" w:lineRule="exact"/>
              <w:jc w:val="center"/>
              <w:rPr>
                <w:rFonts w:ascii="Verdana" w:hAnsi="Verdana" w:cs="Calibri"/>
                <w:b/>
                <w:bCs/>
                <w:color w:val="FFFFFF"/>
                <w:sz w:val="20"/>
                <w:szCs w:val="20"/>
              </w:rPr>
            </w:pPr>
            <w:r w:rsidRPr="008A5E40">
              <w:rPr>
                <w:rFonts w:ascii="Verdana" w:hAnsi="Verdana" w:cs="Calibri"/>
                <w:b/>
                <w:bCs/>
                <w:color w:val="FFFFFF"/>
                <w:sz w:val="20"/>
                <w:szCs w:val="20"/>
              </w:rPr>
              <w:t>FORNECEDOR</w:t>
            </w:r>
          </w:p>
        </w:tc>
        <w:tc>
          <w:tcPr>
            <w:tcW w:w="1300" w:type="dxa"/>
            <w:tcBorders>
              <w:top w:val="nil"/>
              <w:left w:val="nil"/>
              <w:bottom w:val="nil"/>
              <w:right w:val="nil"/>
            </w:tcBorders>
            <w:shd w:val="clear" w:color="000000" w:fill="808080"/>
            <w:noWrap/>
            <w:vAlign w:val="center"/>
            <w:hideMark/>
          </w:tcPr>
          <w:p w14:paraId="4E0BAC9A" w14:textId="77777777" w:rsidR="008D06D5" w:rsidRPr="008A5E40" w:rsidRDefault="008D06D5">
            <w:pPr>
              <w:spacing w:line="280" w:lineRule="exact"/>
              <w:jc w:val="center"/>
              <w:rPr>
                <w:rFonts w:ascii="Verdana" w:hAnsi="Verdana" w:cs="Calibri"/>
                <w:b/>
                <w:bCs/>
                <w:color w:val="FFFFFF"/>
                <w:sz w:val="20"/>
                <w:szCs w:val="20"/>
              </w:rPr>
            </w:pPr>
            <w:r w:rsidRPr="008A5E40">
              <w:rPr>
                <w:rFonts w:ascii="Verdana" w:hAnsi="Verdana" w:cs="Calibri"/>
                <w:b/>
                <w:bCs/>
                <w:color w:val="FFFFFF"/>
                <w:sz w:val="20"/>
                <w:szCs w:val="20"/>
              </w:rPr>
              <w:t>NOTA FISCAL</w:t>
            </w:r>
          </w:p>
        </w:tc>
        <w:tc>
          <w:tcPr>
            <w:tcW w:w="1600" w:type="dxa"/>
            <w:tcBorders>
              <w:top w:val="nil"/>
              <w:left w:val="nil"/>
              <w:bottom w:val="nil"/>
              <w:right w:val="nil"/>
            </w:tcBorders>
            <w:shd w:val="clear" w:color="000000" w:fill="808080"/>
            <w:noWrap/>
            <w:vAlign w:val="center"/>
            <w:hideMark/>
          </w:tcPr>
          <w:p w14:paraId="30E96451" w14:textId="77777777" w:rsidR="008D06D5" w:rsidRPr="008A5E40" w:rsidRDefault="008D06D5">
            <w:pPr>
              <w:spacing w:line="280" w:lineRule="exact"/>
              <w:jc w:val="center"/>
              <w:rPr>
                <w:rFonts w:ascii="Verdana" w:hAnsi="Verdana" w:cs="Calibri"/>
                <w:b/>
                <w:bCs/>
                <w:color w:val="FFFFFF"/>
                <w:sz w:val="20"/>
                <w:szCs w:val="20"/>
              </w:rPr>
            </w:pPr>
            <w:r w:rsidRPr="008A5E40">
              <w:rPr>
                <w:rFonts w:ascii="Verdana" w:hAnsi="Verdana" w:cs="Calibri"/>
                <w:b/>
                <w:bCs/>
                <w:color w:val="FFFFFF"/>
                <w:sz w:val="20"/>
                <w:szCs w:val="20"/>
              </w:rPr>
              <w:t xml:space="preserve"> VALOR </w:t>
            </w:r>
          </w:p>
        </w:tc>
      </w:tr>
      <w:tr w:rsidR="008D06D5" w:rsidRPr="008A5E40" w14:paraId="599A4BC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814CEAB" w14:textId="69CD6CD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CONSTRUTECKMA ENGENHARIA S.A</w:t>
            </w:r>
            <w:r w:rsidR="008D7A57" w:rsidRPr="008A5E40">
              <w:rPr>
                <w:rFonts w:ascii="Verdana" w:hAnsi="Verdana" w:cs="Calibri"/>
                <w:color w:val="000000"/>
                <w:sz w:val="20"/>
                <w:szCs w:val="20"/>
              </w:rPr>
              <w:t>.</w:t>
            </w:r>
          </w:p>
        </w:tc>
        <w:tc>
          <w:tcPr>
            <w:tcW w:w="1300" w:type="dxa"/>
            <w:tcBorders>
              <w:top w:val="nil"/>
              <w:left w:val="nil"/>
              <w:bottom w:val="nil"/>
              <w:right w:val="nil"/>
            </w:tcBorders>
            <w:shd w:val="clear" w:color="auto" w:fill="auto"/>
            <w:noWrap/>
            <w:vAlign w:val="bottom"/>
            <w:hideMark/>
          </w:tcPr>
          <w:p w14:paraId="514975B9"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10501</w:t>
            </w:r>
          </w:p>
        </w:tc>
        <w:tc>
          <w:tcPr>
            <w:tcW w:w="1600" w:type="dxa"/>
            <w:tcBorders>
              <w:top w:val="nil"/>
              <w:left w:val="nil"/>
              <w:bottom w:val="nil"/>
              <w:right w:val="nil"/>
            </w:tcBorders>
            <w:shd w:val="clear" w:color="auto" w:fill="auto"/>
            <w:noWrap/>
            <w:vAlign w:val="bottom"/>
            <w:hideMark/>
          </w:tcPr>
          <w:p w14:paraId="0A3620F0"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1.789.920,00 </w:t>
            </w:r>
          </w:p>
        </w:tc>
      </w:tr>
      <w:tr w:rsidR="008D06D5" w:rsidRPr="008A5E40" w14:paraId="5902480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F5A4B7E" w14:textId="08D57223"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CONSTRUTECKMA ENGENHARIA S.A</w:t>
            </w:r>
            <w:r w:rsidR="008D7A57" w:rsidRPr="008A5E40">
              <w:rPr>
                <w:rFonts w:ascii="Verdana" w:hAnsi="Verdana" w:cs="Calibri"/>
                <w:color w:val="000000"/>
                <w:sz w:val="20"/>
                <w:szCs w:val="20"/>
              </w:rPr>
              <w:t>.</w:t>
            </w:r>
          </w:p>
        </w:tc>
        <w:tc>
          <w:tcPr>
            <w:tcW w:w="1300" w:type="dxa"/>
            <w:tcBorders>
              <w:top w:val="nil"/>
              <w:left w:val="nil"/>
              <w:bottom w:val="nil"/>
              <w:right w:val="nil"/>
            </w:tcBorders>
            <w:shd w:val="clear" w:color="auto" w:fill="auto"/>
            <w:noWrap/>
            <w:vAlign w:val="bottom"/>
            <w:hideMark/>
          </w:tcPr>
          <w:p w14:paraId="160EE2B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10611</w:t>
            </w:r>
          </w:p>
        </w:tc>
        <w:tc>
          <w:tcPr>
            <w:tcW w:w="1600" w:type="dxa"/>
            <w:tcBorders>
              <w:top w:val="nil"/>
              <w:left w:val="nil"/>
              <w:bottom w:val="nil"/>
              <w:right w:val="nil"/>
            </w:tcBorders>
            <w:shd w:val="clear" w:color="auto" w:fill="auto"/>
            <w:noWrap/>
            <w:vAlign w:val="bottom"/>
            <w:hideMark/>
          </w:tcPr>
          <w:p w14:paraId="541C33F6"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6.316.911,88 </w:t>
            </w:r>
          </w:p>
        </w:tc>
      </w:tr>
      <w:tr w:rsidR="008D06D5" w:rsidRPr="008A5E40" w14:paraId="6F9EA04E"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791D7FC" w14:textId="7F88701E"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CONSTRUTECKMA ENGENHARIA S.A</w:t>
            </w:r>
            <w:r w:rsidR="008D7A57" w:rsidRPr="008A5E40">
              <w:rPr>
                <w:rFonts w:ascii="Verdana" w:hAnsi="Verdana" w:cs="Calibri"/>
                <w:color w:val="000000"/>
                <w:sz w:val="20"/>
                <w:szCs w:val="20"/>
              </w:rPr>
              <w:t>.</w:t>
            </w:r>
          </w:p>
        </w:tc>
        <w:tc>
          <w:tcPr>
            <w:tcW w:w="1300" w:type="dxa"/>
            <w:tcBorders>
              <w:top w:val="nil"/>
              <w:left w:val="nil"/>
              <w:bottom w:val="nil"/>
              <w:right w:val="nil"/>
            </w:tcBorders>
            <w:shd w:val="clear" w:color="auto" w:fill="auto"/>
            <w:noWrap/>
            <w:vAlign w:val="bottom"/>
            <w:hideMark/>
          </w:tcPr>
          <w:p w14:paraId="4117B52A"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10637</w:t>
            </w:r>
          </w:p>
        </w:tc>
        <w:tc>
          <w:tcPr>
            <w:tcW w:w="1600" w:type="dxa"/>
            <w:tcBorders>
              <w:top w:val="nil"/>
              <w:left w:val="nil"/>
              <w:bottom w:val="nil"/>
              <w:right w:val="nil"/>
            </w:tcBorders>
            <w:shd w:val="clear" w:color="auto" w:fill="auto"/>
            <w:noWrap/>
            <w:vAlign w:val="bottom"/>
            <w:hideMark/>
          </w:tcPr>
          <w:p w14:paraId="458DE533"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1.130.000,00 </w:t>
            </w:r>
          </w:p>
        </w:tc>
      </w:tr>
      <w:tr w:rsidR="008D06D5" w:rsidRPr="008A5E40" w14:paraId="3E2D9D2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378B4D1" w14:textId="30423313"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CONSTRUTECKMA ENGENHARIA S.A</w:t>
            </w:r>
            <w:r w:rsidR="008D7A57" w:rsidRPr="008A5E40">
              <w:rPr>
                <w:rFonts w:ascii="Verdana" w:hAnsi="Verdana" w:cs="Calibri"/>
                <w:color w:val="000000"/>
                <w:sz w:val="20"/>
                <w:szCs w:val="20"/>
              </w:rPr>
              <w:t>.</w:t>
            </w:r>
          </w:p>
        </w:tc>
        <w:tc>
          <w:tcPr>
            <w:tcW w:w="1300" w:type="dxa"/>
            <w:tcBorders>
              <w:top w:val="nil"/>
              <w:left w:val="nil"/>
              <w:bottom w:val="nil"/>
              <w:right w:val="nil"/>
            </w:tcBorders>
            <w:shd w:val="clear" w:color="auto" w:fill="auto"/>
            <w:noWrap/>
            <w:vAlign w:val="bottom"/>
            <w:hideMark/>
          </w:tcPr>
          <w:p w14:paraId="38BD7FBB"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10638</w:t>
            </w:r>
          </w:p>
        </w:tc>
        <w:tc>
          <w:tcPr>
            <w:tcW w:w="1600" w:type="dxa"/>
            <w:tcBorders>
              <w:top w:val="nil"/>
              <w:left w:val="nil"/>
              <w:bottom w:val="nil"/>
              <w:right w:val="nil"/>
            </w:tcBorders>
            <w:shd w:val="clear" w:color="auto" w:fill="auto"/>
            <w:noWrap/>
            <w:vAlign w:val="bottom"/>
            <w:hideMark/>
          </w:tcPr>
          <w:p w14:paraId="58D9FF8D"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4.387.766,88 </w:t>
            </w:r>
          </w:p>
        </w:tc>
      </w:tr>
      <w:tr w:rsidR="008D06D5" w:rsidRPr="008A5E40" w14:paraId="38A3913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6F31F09"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CONSTRUART LTDA (BDR)</w:t>
            </w:r>
          </w:p>
        </w:tc>
        <w:tc>
          <w:tcPr>
            <w:tcW w:w="1300" w:type="dxa"/>
            <w:tcBorders>
              <w:top w:val="nil"/>
              <w:left w:val="nil"/>
              <w:bottom w:val="nil"/>
              <w:right w:val="nil"/>
            </w:tcBorders>
            <w:shd w:val="clear" w:color="auto" w:fill="auto"/>
            <w:noWrap/>
            <w:vAlign w:val="bottom"/>
            <w:hideMark/>
          </w:tcPr>
          <w:p w14:paraId="67FA80BF"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186</w:t>
            </w:r>
          </w:p>
        </w:tc>
        <w:tc>
          <w:tcPr>
            <w:tcW w:w="1600" w:type="dxa"/>
            <w:tcBorders>
              <w:top w:val="nil"/>
              <w:left w:val="nil"/>
              <w:bottom w:val="nil"/>
              <w:right w:val="nil"/>
            </w:tcBorders>
            <w:shd w:val="clear" w:color="auto" w:fill="auto"/>
            <w:noWrap/>
            <w:vAlign w:val="bottom"/>
            <w:hideMark/>
          </w:tcPr>
          <w:p w14:paraId="102A0F8F"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3.745.173,63 </w:t>
            </w:r>
          </w:p>
        </w:tc>
      </w:tr>
      <w:tr w:rsidR="008D06D5" w:rsidRPr="008A5E40" w14:paraId="0DB9E9A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60650D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CONSTRUART LTDA (BDR)</w:t>
            </w:r>
          </w:p>
        </w:tc>
        <w:tc>
          <w:tcPr>
            <w:tcW w:w="1300" w:type="dxa"/>
            <w:tcBorders>
              <w:top w:val="nil"/>
              <w:left w:val="nil"/>
              <w:bottom w:val="nil"/>
              <w:right w:val="nil"/>
            </w:tcBorders>
            <w:shd w:val="clear" w:color="auto" w:fill="auto"/>
            <w:noWrap/>
            <w:vAlign w:val="bottom"/>
            <w:hideMark/>
          </w:tcPr>
          <w:p w14:paraId="6B57C628"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211</w:t>
            </w:r>
          </w:p>
        </w:tc>
        <w:tc>
          <w:tcPr>
            <w:tcW w:w="1600" w:type="dxa"/>
            <w:tcBorders>
              <w:top w:val="nil"/>
              <w:left w:val="nil"/>
              <w:bottom w:val="nil"/>
              <w:right w:val="nil"/>
            </w:tcBorders>
            <w:shd w:val="clear" w:color="auto" w:fill="auto"/>
            <w:noWrap/>
            <w:vAlign w:val="bottom"/>
            <w:hideMark/>
          </w:tcPr>
          <w:p w14:paraId="2159D12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2.036.558,83 </w:t>
            </w:r>
          </w:p>
        </w:tc>
      </w:tr>
      <w:tr w:rsidR="008D06D5" w:rsidRPr="008A5E40" w14:paraId="5EDED8D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044E09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5D68DA8B"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148</w:t>
            </w:r>
          </w:p>
        </w:tc>
        <w:tc>
          <w:tcPr>
            <w:tcW w:w="1600" w:type="dxa"/>
            <w:tcBorders>
              <w:top w:val="nil"/>
              <w:left w:val="nil"/>
              <w:bottom w:val="nil"/>
              <w:right w:val="nil"/>
            </w:tcBorders>
            <w:shd w:val="clear" w:color="auto" w:fill="auto"/>
            <w:noWrap/>
            <w:vAlign w:val="bottom"/>
            <w:hideMark/>
          </w:tcPr>
          <w:p w14:paraId="1A94F099"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1.418.867,03 </w:t>
            </w:r>
          </w:p>
        </w:tc>
      </w:tr>
      <w:tr w:rsidR="008D06D5" w:rsidRPr="008A5E40" w14:paraId="7D11835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631F0AC"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64EAC94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150</w:t>
            </w:r>
          </w:p>
        </w:tc>
        <w:tc>
          <w:tcPr>
            <w:tcW w:w="1600" w:type="dxa"/>
            <w:tcBorders>
              <w:top w:val="nil"/>
              <w:left w:val="nil"/>
              <w:bottom w:val="nil"/>
              <w:right w:val="nil"/>
            </w:tcBorders>
            <w:shd w:val="clear" w:color="auto" w:fill="auto"/>
            <w:noWrap/>
            <w:vAlign w:val="bottom"/>
            <w:hideMark/>
          </w:tcPr>
          <w:p w14:paraId="1E389DFC"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1.949.051,67 </w:t>
            </w:r>
          </w:p>
        </w:tc>
      </w:tr>
      <w:tr w:rsidR="008D06D5" w:rsidRPr="008A5E40" w14:paraId="5A12159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3E7B22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0AAAB2ED"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156</w:t>
            </w:r>
          </w:p>
        </w:tc>
        <w:tc>
          <w:tcPr>
            <w:tcW w:w="1600" w:type="dxa"/>
            <w:tcBorders>
              <w:top w:val="nil"/>
              <w:left w:val="nil"/>
              <w:bottom w:val="nil"/>
              <w:right w:val="nil"/>
            </w:tcBorders>
            <w:shd w:val="clear" w:color="auto" w:fill="auto"/>
            <w:noWrap/>
            <w:vAlign w:val="bottom"/>
            <w:hideMark/>
          </w:tcPr>
          <w:p w14:paraId="519EF461"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2.386.871,03 </w:t>
            </w:r>
          </w:p>
        </w:tc>
      </w:tr>
      <w:tr w:rsidR="008D06D5" w:rsidRPr="008A5E40" w14:paraId="3C486E9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2D402D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1A7E1E5E"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160</w:t>
            </w:r>
          </w:p>
        </w:tc>
        <w:tc>
          <w:tcPr>
            <w:tcW w:w="1600" w:type="dxa"/>
            <w:tcBorders>
              <w:top w:val="nil"/>
              <w:left w:val="nil"/>
              <w:bottom w:val="nil"/>
              <w:right w:val="nil"/>
            </w:tcBorders>
            <w:shd w:val="clear" w:color="auto" w:fill="auto"/>
            <w:noWrap/>
            <w:vAlign w:val="bottom"/>
            <w:hideMark/>
          </w:tcPr>
          <w:p w14:paraId="735FC65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1.596.608,72 </w:t>
            </w:r>
          </w:p>
        </w:tc>
      </w:tr>
      <w:tr w:rsidR="008D06D5" w:rsidRPr="008A5E40" w14:paraId="1496831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1C85EAB"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3EE49399"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176</w:t>
            </w:r>
          </w:p>
        </w:tc>
        <w:tc>
          <w:tcPr>
            <w:tcW w:w="1600" w:type="dxa"/>
            <w:tcBorders>
              <w:top w:val="nil"/>
              <w:left w:val="nil"/>
              <w:bottom w:val="nil"/>
              <w:right w:val="nil"/>
            </w:tcBorders>
            <w:shd w:val="clear" w:color="auto" w:fill="auto"/>
            <w:noWrap/>
            <w:vAlign w:val="bottom"/>
            <w:hideMark/>
          </w:tcPr>
          <w:p w14:paraId="61FF2760"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4.479.321,61 </w:t>
            </w:r>
          </w:p>
        </w:tc>
      </w:tr>
      <w:tr w:rsidR="008D06D5" w:rsidRPr="008A5E40" w14:paraId="60926D8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D2ED9F2"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396C10A6"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60</w:t>
            </w:r>
          </w:p>
        </w:tc>
        <w:tc>
          <w:tcPr>
            <w:tcW w:w="1600" w:type="dxa"/>
            <w:tcBorders>
              <w:top w:val="nil"/>
              <w:left w:val="nil"/>
              <w:bottom w:val="nil"/>
              <w:right w:val="nil"/>
            </w:tcBorders>
            <w:shd w:val="clear" w:color="auto" w:fill="auto"/>
            <w:noWrap/>
            <w:vAlign w:val="bottom"/>
            <w:hideMark/>
          </w:tcPr>
          <w:p w14:paraId="01C7945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1.719.336,56 </w:t>
            </w:r>
          </w:p>
        </w:tc>
      </w:tr>
      <w:tr w:rsidR="008D06D5" w:rsidRPr="008A5E40" w14:paraId="0B776CD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C80960E"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1C0988E8"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77</w:t>
            </w:r>
          </w:p>
        </w:tc>
        <w:tc>
          <w:tcPr>
            <w:tcW w:w="1600" w:type="dxa"/>
            <w:tcBorders>
              <w:top w:val="nil"/>
              <w:left w:val="nil"/>
              <w:bottom w:val="nil"/>
              <w:right w:val="nil"/>
            </w:tcBorders>
            <w:shd w:val="clear" w:color="auto" w:fill="auto"/>
            <w:noWrap/>
            <w:vAlign w:val="bottom"/>
            <w:hideMark/>
          </w:tcPr>
          <w:p w14:paraId="34D5DC76"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5.093.935,01 </w:t>
            </w:r>
          </w:p>
        </w:tc>
      </w:tr>
      <w:tr w:rsidR="008D06D5" w:rsidRPr="008A5E40" w14:paraId="3DF713B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F974300"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TERRENO NOVA MUTUM</w:t>
            </w:r>
          </w:p>
        </w:tc>
        <w:tc>
          <w:tcPr>
            <w:tcW w:w="1300" w:type="dxa"/>
            <w:tcBorders>
              <w:top w:val="nil"/>
              <w:left w:val="nil"/>
              <w:bottom w:val="nil"/>
              <w:right w:val="nil"/>
            </w:tcBorders>
            <w:shd w:val="clear" w:color="auto" w:fill="auto"/>
            <w:noWrap/>
            <w:vAlign w:val="bottom"/>
            <w:hideMark/>
          </w:tcPr>
          <w:p w14:paraId="68F2617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22.027</w:t>
            </w:r>
          </w:p>
        </w:tc>
        <w:tc>
          <w:tcPr>
            <w:tcW w:w="1600" w:type="dxa"/>
            <w:tcBorders>
              <w:top w:val="nil"/>
              <w:left w:val="nil"/>
              <w:bottom w:val="nil"/>
              <w:right w:val="nil"/>
            </w:tcBorders>
            <w:shd w:val="clear" w:color="auto" w:fill="auto"/>
            <w:noWrap/>
            <w:vAlign w:val="bottom"/>
            <w:hideMark/>
          </w:tcPr>
          <w:p w14:paraId="359205D9"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8.075.826,00 </w:t>
            </w:r>
          </w:p>
        </w:tc>
      </w:tr>
      <w:tr w:rsidR="008D06D5" w:rsidRPr="008A5E40" w14:paraId="6E76A17B"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ABC7B65"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TERRENO NOVA MUTUM</w:t>
            </w:r>
          </w:p>
        </w:tc>
        <w:tc>
          <w:tcPr>
            <w:tcW w:w="1300" w:type="dxa"/>
            <w:tcBorders>
              <w:top w:val="nil"/>
              <w:left w:val="nil"/>
              <w:bottom w:val="nil"/>
              <w:right w:val="nil"/>
            </w:tcBorders>
            <w:shd w:val="clear" w:color="auto" w:fill="auto"/>
            <w:noWrap/>
            <w:vAlign w:val="bottom"/>
            <w:hideMark/>
          </w:tcPr>
          <w:p w14:paraId="3BD6ADB4"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22.027</w:t>
            </w:r>
          </w:p>
        </w:tc>
        <w:tc>
          <w:tcPr>
            <w:tcW w:w="1600" w:type="dxa"/>
            <w:tcBorders>
              <w:top w:val="nil"/>
              <w:left w:val="nil"/>
              <w:bottom w:val="nil"/>
              <w:right w:val="nil"/>
            </w:tcBorders>
            <w:shd w:val="clear" w:color="auto" w:fill="auto"/>
            <w:noWrap/>
            <w:vAlign w:val="bottom"/>
            <w:hideMark/>
          </w:tcPr>
          <w:p w14:paraId="35D2AE5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18.843.594,00 </w:t>
            </w:r>
          </w:p>
        </w:tc>
      </w:tr>
      <w:tr w:rsidR="008D06D5" w:rsidRPr="008A5E40" w14:paraId="4C7076E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81DEB23"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0ED27682"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12</w:t>
            </w:r>
          </w:p>
        </w:tc>
        <w:tc>
          <w:tcPr>
            <w:tcW w:w="1600" w:type="dxa"/>
            <w:tcBorders>
              <w:top w:val="nil"/>
              <w:left w:val="nil"/>
              <w:bottom w:val="nil"/>
              <w:right w:val="nil"/>
            </w:tcBorders>
            <w:shd w:val="clear" w:color="auto" w:fill="auto"/>
            <w:noWrap/>
            <w:vAlign w:val="bottom"/>
            <w:hideMark/>
          </w:tcPr>
          <w:p w14:paraId="3B191612"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482.177,64 </w:t>
            </w:r>
          </w:p>
        </w:tc>
      </w:tr>
      <w:tr w:rsidR="008D06D5" w:rsidRPr="008A5E40" w14:paraId="292792F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18E1E8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1436447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90</w:t>
            </w:r>
          </w:p>
        </w:tc>
        <w:tc>
          <w:tcPr>
            <w:tcW w:w="1600" w:type="dxa"/>
            <w:tcBorders>
              <w:top w:val="nil"/>
              <w:left w:val="nil"/>
              <w:bottom w:val="nil"/>
              <w:right w:val="nil"/>
            </w:tcBorders>
            <w:shd w:val="clear" w:color="auto" w:fill="auto"/>
            <w:noWrap/>
            <w:vAlign w:val="bottom"/>
            <w:hideMark/>
          </w:tcPr>
          <w:p w14:paraId="00ED42C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3.273.112,60 </w:t>
            </w:r>
          </w:p>
        </w:tc>
      </w:tr>
      <w:tr w:rsidR="008D06D5" w:rsidRPr="008A5E40" w14:paraId="31300E0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E3D5921"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42913F10"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103</w:t>
            </w:r>
          </w:p>
        </w:tc>
        <w:tc>
          <w:tcPr>
            <w:tcW w:w="1600" w:type="dxa"/>
            <w:tcBorders>
              <w:top w:val="nil"/>
              <w:left w:val="nil"/>
              <w:bottom w:val="nil"/>
              <w:right w:val="nil"/>
            </w:tcBorders>
            <w:shd w:val="clear" w:color="auto" w:fill="auto"/>
            <w:noWrap/>
            <w:vAlign w:val="bottom"/>
            <w:hideMark/>
          </w:tcPr>
          <w:p w14:paraId="592D129E"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3.472.122,73 </w:t>
            </w:r>
          </w:p>
        </w:tc>
      </w:tr>
      <w:tr w:rsidR="008D06D5" w:rsidRPr="008A5E40" w14:paraId="009DBFB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B968865"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78FB557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125</w:t>
            </w:r>
          </w:p>
        </w:tc>
        <w:tc>
          <w:tcPr>
            <w:tcW w:w="1600" w:type="dxa"/>
            <w:tcBorders>
              <w:top w:val="nil"/>
              <w:left w:val="nil"/>
              <w:bottom w:val="nil"/>
              <w:right w:val="nil"/>
            </w:tcBorders>
            <w:shd w:val="clear" w:color="auto" w:fill="auto"/>
            <w:noWrap/>
            <w:vAlign w:val="bottom"/>
            <w:hideMark/>
          </w:tcPr>
          <w:p w14:paraId="5D0AC112"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5.238.216,89 </w:t>
            </w:r>
          </w:p>
        </w:tc>
      </w:tr>
      <w:tr w:rsidR="008D06D5" w:rsidRPr="008A5E40" w14:paraId="3DC41E10"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ED0595F"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5A016A74"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153</w:t>
            </w:r>
          </w:p>
        </w:tc>
        <w:tc>
          <w:tcPr>
            <w:tcW w:w="1600" w:type="dxa"/>
            <w:tcBorders>
              <w:top w:val="nil"/>
              <w:left w:val="nil"/>
              <w:bottom w:val="nil"/>
              <w:right w:val="nil"/>
            </w:tcBorders>
            <w:shd w:val="clear" w:color="auto" w:fill="auto"/>
            <w:noWrap/>
            <w:vAlign w:val="bottom"/>
            <w:hideMark/>
          </w:tcPr>
          <w:p w14:paraId="035DBA63"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2.093.169,99 </w:t>
            </w:r>
          </w:p>
        </w:tc>
      </w:tr>
      <w:tr w:rsidR="008D06D5" w:rsidRPr="008A5E40" w14:paraId="1B169EDF"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7C22B33"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5EFFFFC5"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159</w:t>
            </w:r>
          </w:p>
        </w:tc>
        <w:tc>
          <w:tcPr>
            <w:tcW w:w="1600" w:type="dxa"/>
            <w:tcBorders>
              <w:top w:val="nil"/>
              <w:left w:val="nil"/>
              <w:bottom w:val="nil"/>
              <w:right w:val="nil"/>
            </w:tcBorders>
            <w:shd w:val="clear" w:color="auto" w:fill="auto"/>
            <w:noWrap/>
            <w:vAlign w:val="bottom"/>
            <w:hideMark/>
          </w:tcPr>
          <w:p w14:paraId="1E0403E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436.100,11 </w:t>
            </w:r>
          </w:p>
        </w:tc>
      </w:tr>
      <w:tr w:rsidR="008D06D5" w:rsidRPr="008A5E40" w14:paraId="4B83C96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DD97E5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2BD0CBB0"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174</w:t>
            </w:r>
          </w:p>
        </w:tc>
        <w:tc>
          <w:tcPr>
            <w:tcW w:w="1600" w:type="dxa"/>
            <w:tcBorders>
              <w:top w:val="nil"/>
              <w:left w:val="nil"/>
              <w:bottom w:val="nil"/>
              <w:right w:val="nil"/>
            </w:tcBorders>
            <w:shd w:val="clear" w:color="auto" w:fill="auto"/>
            <w:noWrap/>
            <w:vAlign w:val="bottom"/>
            <w:hideMark/>
          </w:tcPr>
          <w:p w14:paraId="0422F0FD"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305.976,87 </w:t>
            </w:r>
          </w:p>
        </w:tc>
      </w:tr>
      <w:tr w:rsidR="008D06D5" w:rsidRPr="008A5E40" w14:paraId="15253AF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9D2C77E"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lastRenderedPageBreak/>
              <w:t>ENGEBEL CONSTRUCAO CIVIL LTDA</w:t>
            </w:r>
          </w:p>
        </w:tc>
        <w:tc>
          <w:tcPr>
            <w:tcW w:w="1300" w:type="dxa"/>
            <w:tcBorders>
              <w:top w:val="nil"/>
              <w:left w:val="nil"/>
              <w:bottom w:val="nil"/>
              <w:right w:val="nil"/>
            </w:tcBorders>
            <w:shd w:val="clear" w:color="auto" w:fill="auto"/>
            <w:noWrap/>
            <w:vAlign w:val="bottom"/>
            <w:hideMark/>
          </w:tcPr>
          <w:p w14:paraId="463BFA66"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183</w:t>
            </w:r>
          </w:p>
        </w:tc>
        <w:tc>
          <w:tcPr>
            <w:tcW w:w="1600" w:type="dxa"/>
            <w:tcBorders>
              <w:top w:val="nil"/>
              <w:left w:val="nil"/>
              <w:bottom w:val="nil"/>
              <w:right w:val="nil"/>
            </w:tcBorders>
            <w:shd w:val="clear" w:color="auto" w:fill="auto"/>
            <w:noWrap/>
            <w:vAlign w:val="bottom"/>
            <w:hideMark/>
          </w:tcPr>
          <w:p w14:paraId="0601FBC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980.000,00 </w:t>
            </w:r>
          </w:p>
        </w:tc>
      </w:tr>
      <w:tr w:rsidR="008D06D5" w:rsidRPr="008A5E40" w14:paraId="7A69E46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053F39D"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ENGEBEL CONSTRUCAO CIVIL LTDA</w:t>
            </w:r>
          </w:p>
        </w:tc>
        <w:tc>
          <w:tcPr>
            <w:tcW w:w="1300" w:type="dxa"/>
            <w:tcBorders>
              <w:top w:val="nil"/>
              <w:left w:val="nil"/>
              <w:bottom w:val="nil"/>
              <w:right w:val="nil"/>
            </w:tcBorders>
            <w:shd w:val="clear" w:color="auto" w:fill="auto"/>
            <w:noWrap/>
            <w:vAlign w:val="bottom"/>
            <w:hideMark/>
          </w:tcPr>
          <w:p w14:paraId="3FB5BEBA"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213</w:t>
            </w:r>
          </w:p>
        </w:tc>
        <w:tc>
          <w:tcPr>
            <w:tcW w:w="1600" w:type="dxa"/>
            <w:tcBorders>
              <w:top w:val="nil"/>
              <w:left w:val="nil"/>
              <w:bottom w:val="nil"/>
              <w:right w:val="nil"/>
            </w:tcBorders>
            <w:shd w:val="clear" w:color="auto" w:fill="auto"/>
            <w:noWrap/>
            <w:vAlign w:val="bottom"/>
            <w:hideMark/>
          </w:tcPr>
          <w:p w14:paraId="3A62C69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284.129,24 </w:t>
            </w:r>
          </w:p>
        </w:tc>
      </w:tr>
      <w:tr w:rsidR="008D06D5" w:rsidRPr="008A5E40" w14:paraId="4655C61F"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B6C10D2"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0BCE1432"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w:t>
            </w:r>
          </w:p>
        </w:tc>
        <w:tc>
          <w:tcPr>
            <w:tcW w:w="1600" w:type="dxa"/>
            <w:tcBorders>
              <w:top w:val="nil"/>
              <w:left w:val="nil"/>
              <w:bottom w:val="nil"/>
              <w:right w:val="nil"/>
            </w:tcBorders>
            <w:shd w:val="clear" w:color="auto" w:fill="auto"/>
            <w:noWrap/>
            <w:vAlign w:val="bottom"/>
            <w:hideMark/>
          </w:tcPr>
          <w:p w14:paraId="7BE975B6"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962.622,03 </w:t>
            </w:r>
          </w:p>
        </w:tc>
      </w:tr>
      <w:tr w:rsidR="008D06D5" w:rsidRPr="008A5E40" w14:paraId="6C0CE0F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39E689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4F1FD7E0"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66</w:t>
            </w:r>
          </w:p>
        </w:tc>
        <w:tc>
          <w:tcPr>
            <w:tcW w:w="1600" w:type="dxa"/>
            <w:tcBorders>
              <w:top w:val="nil"/>
              <w:left w:val="nil"/>
              <w:bottom w:val="nil"/>
              <w:right w:val="nil"/>
            </w:tcBorders>
            <w:shd w:val="clear" w:color="auto" w:fill="auto"/>
            <w:noWrap/>
            <w:vAlign w:val="bottom"/>
            <w:hideMark/>
          </w:tcPr>
          <w:p w14:paraId="13A996D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957.039,86 </w:t>
            </w:r>
          </w:p>
        </w:tc>
      </w:tr>
      <w:tr w:rsidR="008D06D5" w:rsidRPr="008A5E40" w14:paraId="7734090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51E5CC9"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38DA5FC4"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70</w:t>
            </w:r>
          </w:p>
        </w:tc>
        <w:tc>
          <w:tcPr>
            <w:tcW w:w="1600" w:type="dxa"/>
            <w:tcBorders>
              <w:top w:val="nil"/>
              <w:left w:val="nil"/>
              <w:bottom w:val="nil"/>
              <w:right w:val="nil"/>
            </w:tcBorders>
            <w:shd w:val="clear" w:color="auto" w:fill="auto"/>
            <w:noWrap/>
            <w:vAlign w:val="bottom"/>
            <w:hideMark/>
          </w:tcPr>
          <w:p w14:paraId="2C98A66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1.318.430,61 </w:t>
            </w:r>
          </w:p>
        </w:tc>
      </w:tr>
      <w:tr w:rsidR="008D06D5" w:rsidRPr="008A5E40" w14:paraId="2FE2973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24BC61C"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4FFBF53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71</w:t>
            </w:r>
          </w:p>
        </w:tc>
        <w:tc>
          <w:tcPr>
            <w:tcW w:w="1600" w:type="dxa"/>
            <w:tcBorders>
              <w:top w:val="nil"/>
              <w:left w:val="nil"/>
              <w:bottom w:val="nil"/>
              <w:right w:val="nil"/>
            </w:tcBorders>
            <w:shd w:val="clear" w:color="auto" w:fill="auto"/>
            <w:noWrap/>
            <w:vAlign w:val="bottom"/>
            <w:hideMark/>
          </w:tcPr>
          <w:p w14:paraId="0FFB1F0B"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1.059.008,72 </w:t>
            </w:r>
          </w:p>
        </w:tc>
      </w:tr>
      <w:tr w:rsidR="008D06D5" w:rsidRPr="008A5E40" w14:paraId="38EFD8A7"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2D068AF"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304CC888"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81</w:t>
            </w:r>
          </w:p>
        </w:tc>
        <w:tc>
          <w:tcPr>
            <w:tcW w:w="1600" w:type="dxa"/>
            <w:tcBorders>
              <w:top w:val="nil"/>
              <w:left w:val="nil"/>
              <w:bottom w:val="nil"/>
              <w:right w:val="nil"/>
            </w:tcBorders>
            <w:shd w:val="clear" w:color="auto" w:fill="auto"/>
            <w:noWrap/>
            <w:vAlign w:val="bottom"/>
            <w:hideMark/>
          </w:tcPr>
          <w:p w14:paraId="0CB5E3C6"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782.283,58 </w:t>
            </w:r>
          </w:p>
        </w:tc>
      </w:tr>
      <w:tr w:rsidR="008D06D5" w:rsidRPr="008A5E40" w14:paraId="233F6EA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64576192"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07471541"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84</w:t>
            </w:r>
          </w:p>
        </w:tc>
        <w:tc>
          <w:tcPr>
            <w:tcW w:w="1600" w:type="dxa"/>
            <w:tcBorders>
              <w:top w:val="nil"/>
              <w:left w:val="nil"/>
              <w:bottom w:val="nil"/>
              <w:right w:val="nil"/>
            </w:tcBorders>
            <w:shd w:val="clear" w:color="auto" w:fill="auto"/>
            <w:noWrap/>
            <w:vAlign w:val="bottom"/>
            <w:hideMark/>
          </w:tcPr>
          <w:p w14:paraId="4D0711B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913.837,60 </w:t>
            </w:r>
          </w:p>
        </w:tc>
      </w:tr>
      <w:tr w:rsidR="008D06D5" w:rsidRPr="008A5E40" w14:paraId="16D349C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385AA7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49E9FD09"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86</w:t>
            </w:r>
          </w:p>
        </w:tc>
        <w:tc>
          <w:tcPr>
            <w:tcW w:w="1600" w:type="dxa"/>
            <w:tcBorders>
              <w:top w:val="nil"/>
              <w:left w:val="nil"/>
              <w:bottom w:val="nil"/>
              <w:right w:val="nil"/>
            </w:tcBorders>
            <w:shd w:val="clear" w:color="auto" w:fill="auto"/>
            <w:noWrap/>
            <w:vAlign w:val="bottom"/>
            <w:hideMark/>
          </w:tcPr>
          <w:p w14:paraId="309D1FA2"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1.027.293,46 </w:t>
            </w:r>
          </w:p>
        </w:tc>
      </w:tr>
      <w:tr w:rsidR="008D06D5" w:rsidRPr="008A5E40" w14:paraId="4141D38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2C1BBB8"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1D4B61AE"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1165</w:t>
            </w:r>
          </w:p>
        </w:tc>
        <w:tc>
          <w:tcPr>
            <w:tcW w:w="1600" w:type="dxa"/>
            <w:tcBorders>
              <w:top w:val="nil"/>
              <w:left w:val="nil"/>
              <w:bottom w:val="nil"/>
              <w:right w:val="nil"/>
            </w:tcBorders>
            <w:shd w:val="clear" w:color="auto" w:fill="auto"/>
            <w:noWrap/>
            <w:vAlign w:val="bottom"/>
            <w:hideMark/>
          </w:tcPr>
          <w:p w14:paraId="6FEF0FE6"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968.594,01 </w:t>
            </w:r>
          </w:p>
        </w:tc>
      </w:tr>
      <w:tr w:rsidR="008D06D5" w:rsidRPr="008A5E40" w14:paraId="526088E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55CCE51"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2463BEF6"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1165</w:t>
            </w:r>
          </w:p>
        </w:tc>
        <w:tc>
          <w:tcPr>
            <w:tcW w:w="1600" w:type="dxa"/>
            <w:tcBorders>
              <w:top w:val="nil"/>
              <w:left w:val="nil"/>
              <w:bottom w:val="nil"/>
              <w:right w:val="nil"/>
            </w:tcBorders>
            <w:shd w:val="clear" w:color="auto" w:fill="auto"/>
            <w:noWrap/>
            <w:vAlign w:val="bottom"/>
            <w:hideMark/>
          </w:tcPr>
          <w:p w14:paraId="21A1AC6D"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968.594,00 </w:t>
            </w:r>
          </w:p>
        </w:tc>
      </w:tr>
      <w:tr w:rsidR="008D06D5" w:rsidRPr="008A5E40" w14:paraId="7C96800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C7094FA"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6610283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1112</w:t>
            </w:r>
          </w:p>
        </w:tc>
        <w:tc>
          <w:tcPr>
            <w:tcW w:w="1600" w:type="dxa"/>
            <w:tcBorders>
              <w:top w:val="nil"/>
              <w:left w:val="nil"/>
              <w:bottom w:val="nil"/>
              <w:right w:val="nil"/>
            </w:tcBorders>
            <w:shd w:val="clear" w:color="auto" w:fill="auto"/>
            <w:noWrap/>
            <w:vAlign w:val="bottom"/>
            <w:hideMark/>
          </w:tcPr>
          <w:p w14:paraId="14E3A751"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1.200.642,35 </w:t>
            </w:r>
          </w:p>
        </w:tc>
      </w:tr>
      <w:tr w:rsidR="008D06D5" w:rsidRPr="008A5E40" w14:paraId="0669AEF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4BA6FD3"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6F60BF0D"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1068</w:t>
            </w:r>
          </w:p>
        </w:tc>
        <w:tc>
          <w:tcPr>
            <w:tcW w:w="1600" w:type="dxa"/>
            <w:tcBorders>
              <w:top w:val="nil"/>
              <w:left w:val="nil"/>
              <w:bottom w:val="nil"/>
              <w:right w:val="nil"/>
            </w:tcBorders>
            <w:shd w:val="clear" w:color="auto" w:fill="auto"/>
            <w:noWrap/>
            <w:vAlign w:val="bottom"/>
            <w:hideMark/>
          </w:tcPr>
          <w:p w14:paraId="6D8E47E9"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3.691.179,83 </w:t>
            </w:r>
          </w:p>
        </w:tc>
      </w:tr>
      <w:tr w:rsidR="008D06D5" w:rsidRPr="008A5E40" w14:paraId="05EAFE1E"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F69A37B"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32B15B2F"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1058</w:t>
            </w:r>
          </w:p>
        </w:tc>
        <w:tc>
          <w:tcPr>
            <w:tcW w:w="1600" w:type="dxa"/>
            <w:tcBorders>
              <w:top w:val="nil"/>
              <w:left w:val="nil"/>
              <w:bottom w:val="nil"/>
              <w:right w:val="nil"/>
            </w:tcBorders>
            <w:shd w:val="clear" w:color="auto" w:fill="auto"/>
            <w:noWrap/>
            <w:vAlign w:val="bottom"/>
            <w:hideMark/>
          </w:tcPr>
          <w:p w14:paraId="5903E813"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2.193.590,03 </w:t>
            </w:r>
          </w:p>
        </w:tc>
      </w:tr>
      <w:tr w:rsidR="008D06D5" w:rsidRPr="008A5E40" w14:paraId="3113516C"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32376E1"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22944F23"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1057</w:t>
            </w:r>
          </w:p>
        </w:tc>
        <w:tc>
          <w:tcPr>
            <w:tcW w:w="1600" w:type="dxa"/>
            <w:tcBorders>
              <w:top w:val="nil"/>
              <w:left w:val="nil"/>
              <w:bottom w:val="nil"/>
              <w:right w:val="nil"/>
            </w:tcBorders>
            <w:shd w:val="clear" w:color="auto" w:fill="auto"/>
            <w:noWrap/>
            <w:vAlign w:val="bottom"/>
            <w:hideMark/>
          </w:tcPr>
          <w:p w14:paraId="2EACAA70"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2.562.963,35 </w:t>
            </w:r>
          </w:p>
        </w:tc>
      </w:tr>
      <w:tr w:rsidR="008D06D5" w:rsidRPr="008A5E40" w14:paraId="60C52AE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D2761B1"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7ADBABBF"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1180</w:t>
            </w:r>
          </w:p>
        </w:tc>
        <w:tc>
          <w:tcPr>
            <w:tcW w:w="1600" w:type="dxa"/>
            <w:tcBorders>
              <w:top w:val="nil"/>
              <w:left w:val="nil"/>
              <w:bottom w:val="nil"/>
              <w:right w:val="nil"/>
            </w:tcBorders>
            <w:shd w:val="clear" w:color="auto" w:fill="auto"/>
            <w:noWrap/>
            <w:vAlign w:val="bottom"/>
            <w:hideMark/>
          </w:tcPr>
          <w:p w14:paraId="5858C68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499.289,31 </w:t>
            </w:r>
          </w:p>
        </w:tc>
      </w:tr>
      <w:tr w:rsidR="008D06D5" w:rsidRPr="008A5E40" w14:paraId="3615D640"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70B64B8"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5B238BEF"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1180</w:t>
            </w:r>
          </w:p>
        </w:tc>
        <w:tc>
          <w:tcPr>
            <w:tcW w:w="1600" w:type="dxa"/>
            <w:tcBorders>
              <w:top w:val="nil"/>
              <w:left w:val="nil"/>
              <w:bottom w:val="nil"/>
              <w:right w:val="nil"/>
            </w:tcBorders>
            <w:shd w:val="clear" w:color="auto" w:fill="auto"/>
            <w:noWrap/>
            <w:vAlign w:val="bottom"/>
            <w:hideMark/>
          </w:tcPr>
          <w:p w14:paraId="7DBC264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499.289,30 </w:t>
            </w:r>
          </w:p>
        </w:tc>
      </w:tr>
      <w:tr w:rsidR="008D06D5" w:rsidRPr="008A5E40" w14:paraId="3805ECCD"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EC92858" w14:textId="77777777" w:rsidR="008D06D5" w:rsidRPr="008A5E40" w:rsidRDefault="008D06D5">
            <w:pPr>
              <w:spacing w:line="280" w:lineRule="exact"/>
              <w:rPr>
                <w:rFonts w:ascii="Verdana" w:hAnsi="Verdana" w:cs="Calibri"/>
                <w:color w:val="000000"/>
                <w:sz w:val="20"/>
                <w:szCs w:val="20"/>
                <w:lang w:val="pt-BR"/>
              </w:rPr>
            </w:pPr>
            <w:r w:rsidRPr="008A5E40">
              <w:rPr>
                <w:rFonts w:ascii="Verdana" w:hAnsi="Verdana" w:cs="Calibri"/>
                <w:color w:val="000000"/>
                <w:sz w:val="20"/>
                <w:szCs w:val="20"/>
                <w:lang w:val="pt-BR"/>
              </w:rPr>
              <w:t>CONSTRUCIONE ENGENHARIA E CONSTRUCOES LTDA</w:t>
            </w:r>
          </w:p>
        </w:tc>
        <w:tc>
          <w:tcPr>
            <w:tcW w:w="1300" w:type="dxa"/>
            <w:tcBorders>
              <w:top w:val="nil"/>
              <w:left w:val="nil"/>
              <w:bottom w:val="nil"/>
              <w:right w:val="nil"/>
            </w:tcBorders>
            <w:shd w:val="clear" w:color="auto" w:fill="auto"/>
            <w:noWrap/>
            <w:vAlign w:val="bottom"/>
            <w:hideMark/>
          </w:tcPr>
          <w:p w14:paraId="061DA2AC"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1109</w:t>
            </w:r>
          </w:p>
        </w:tc>
        <w:tc>
          <w:tcPr>
            <w:tcW w:w="1600" w:type="dxa"/>
            <w:tcBorders>
              <w:top w:val="nil"/>
              <w:left w:val="nil"/>
              <w:bottom w:val="nil"/>
              <w:right w:val="nil"/>
            </w:tcBorders>
            <w:shd w:val="clear" w:color="auto" w:fill="auto"/>
            <w:noWrap/>
            <w:vAlign w:val="bottom"/>
            <w:hideMark/>
          </w:tcPr>
          <w:p w14:paraId="39F646C6"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674.263,65 </w:t>
            </w:r>
          </w:p>
        </w:tc>
      </w:tr>
      <w:tr w:rsidR="008D06D5" w:rsidRPr="008A5E40" w14:paraId="2CF65837"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65A4A4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14:paraId="60DFEBB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75</w:t>
            </w:r>
          </w:p>
        </w:tc>
        <w:tc>
          <w:tcPr>
            <w:tcW w:w="1600" w:type="dxa"/>
            <w:tcBorders>
              <w:top w:val="nil"/>
              <w:left w:val="nil"/>
              <w:bottom w:val="nil"/>
              <w:right w:val="nil"/>
            </w:tcBorders>
            <w:shd w:val="clear" w:color="auto" w:fill="auto"/>
            <w:noWrap/>
            <w:vAlign w:val="bottom"/>
            <w:hideMark/>
          </w:tcPr>
          <w:p w14:paraId="0962C39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1.182.187,70 </w:t>
            </w:r>
          </w:p>
        </w:tc>
      </w:tr>
      <w:tr w:rsidR="008D06D5" w:rsidRPr="008A5E40" w14:paraId="7034DB9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1A3001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14:paraId="6547181E"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62</w:t>
            </w:r>
          </w:p>
        </w:tc>
        <w:tc>
          <w:tcPr>
            <w:tcW w:w="1600" w:type="dxa"/>
            <w:tcBorders>
              <w:top w:val="nil"/>
              <w:left w:val="nil"/>
              <w:bottom w:val="nil"/>
              <w:right w:val="nil"/>
            </w:tcBorders>
            <w:shd w:val="clear" w:color="auto" w:fill="auto"/>
            <w:noWrap/>
            <w:vAlign w:val="bottom"/>
            <w:hideMark/>
          </w:tcPr>
          <w:p w14:paraId="737525B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104.000,00 </w:t>
            </w:r>
          </w:p>
        </w:tc>
      </w:tr>
      <w:tr w:rsidR="008D06D5" w:rsidRPr="008A5E40" w14:paraId="2E09DF5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6D8D7F1"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14:paraId="37E11949"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81</w:t>
            </w:r>
          </w:p>
        </w:tc>
        <w:tc>
          <w:tcPr>
            <w:tcW w:w="1600" w:type="dxa"/>
            <w:tcBorders>
              <w:top w:val="nil"/>
              <w:left w:val="nil"/>
              <w:bottom w:val="nil"/>
              <w:right w:val="nil"/>
            </w:tcBorders>
            <w:shd w:val="clear" w:color="auto" w:fill="auto"/>
            <w:noWrap/>
            <w:vAlign w:val="bottom"/>
            <w:hideMark/>
          </w:tcPr>
          <w:p w14:paraId="5193CC1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213.000,00 </w:t>
            </w:r>
          </w:p>
        </w:tc>
      </w:tr>
      <w:tr w:rsidR="008D06D5" w:rsidRPr="008A5E40" w14:paraId="7928223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BC98A35"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14:paraId="0DC7F44A"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76</w:t>
            </w:r>
          </w:p>
        </w:tc>
        <w:tc>
          <w:tcPr>
            <w:tcW w:w="1600" w:type="dxa"/>
            <w:tcBorders>
              <w:top w:val="nil"/>
              <w:left w:val="nil"/>
              <w:bottom w:val="nil"/>
              <w:right w:val="nil"/>
            </w:tcBorders>
            <w:shd w:val="clear" w:color="auto" w:fill="auto"/>
            <w:noWrap/>
            <w:vAlign w:val="bottom"/>
            <w:hideMark/>
          </w:tcPr>
          <w:p w14:paraId="4AF376F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560.000,00 </w:t>
            </w:r>
          </w:p>
        </w:tc>
      </w:tr>
      <w:tr w:rsidR="008D06D5" w:rsidRPr="008A5E40" w14:paraId="6A3CBE6A"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3B5B08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14:paraId="3C424AB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72</w:t>
            </w:r>
          </w:p>
        </w:tc>
        <w:tc>
          <w:tcPr>
            <w:tcW w:w="1600" w:type="dxa"/>
            <w:tcBorders>
              <w:top w:val="nil"/>
              <w:left w:val="nil"/>
              <w:bottom w:val="nil"/>
              <w:right w:val="nil"/>
            </w:tcBorders>
            <w:shd w:val="clear" w:color="auto" w:fill="auto"/>
            <w:noWrap/>
            <w:vAlign w:val="bottom"/>
            <w:hideMark/>
          </w:tcPr>
          <w:p w14:paraId="56392B3E"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958.500,00 </w:t>
            </w:r>
          </w:p>
        </w:tc>
      </w:tr>
      <w:tr w:rsidR="008D06D5" w:rsidRPr="008A5E40" w14:paraId="6B32B24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3761E0FE"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14:paraId="41014D1C"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73</w:t>
            </w:r>
          </w:p>
        </w:tc>
        <w:tc>
          <w:tcPr>
            <w:tcW w:w="1600" w:type="dxa"/>
            <w:tcBorders>
              <w:top w:val="nil"/>
              <w:left w:val="nil"/>
              <w:bottom w:val="nil"/>
              <w:right w:val="nil"/>
            </w:tcBorders>
            <w:shd w:val="clear" w:color="auto" w:fill="auto"/>
            <w:noWrap/>
            <w:vAlign w:val="bottom"/>
            <w:hideMark/>
          </w:tcPr>
          <w:p w14:paraId="69F8070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830.700,00 </w:t>
            </w:r>
          </w:p>
        </w:tc>
      </w:tr>
      <w:tr w:rsidR="008D06D5" w:rsidRPr="008A5E40" w14:paraId="6979DB4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2EDDE4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lastRenderedPageBreak/>
              <w:t>ENGCLIMA ENGENHARIA TERMICA LTDA</w:t>
            </w:r>
          </w:p>
        </w:tc>
        <w:tc>
          <w:tcPr>
            <w:tcW w:w="1300" w:type="dxa"/>
            <w:tcBorders>
              <w:top w:val="nil"/>
              <w:left w:val="nil"/>
              <w:bottom w:val="nil"/>
              <w:right w:val="nil"/>
            </w:tcBorders>
            <w:shd w:val="clear" w:color="auto" w:fill="auto"/>
            <w:noWrap/>
            <w:vAlign w:val="bottom"/>
            <w:hideMark/>
          </w:tcPr>
          <w:p w14:paraId="4A752222"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69</w:t>
            </w:r>
          </w:p>
        </w:tc>
        <w:tc>
          <w:tcPr>
            <w:tcW w:w="1600" w:type="dxa"/>
            <w:tcBorders>
              <w:top w:val="nil"/>
              <w:left w:val="nil"/>
              <w:bottom w:val="nil"/>
              <w:right w:val="nil"/>
            </w:tcBorders>
            <w:shd w:val="clear" w:color="auto" w:fill="auto"/>
            <w:noWrap/>
            <w:vAlign w:val="bottom"/>
            <w:hideMark/>
          </w:tcPr>
          <w:p w14:paraId="0AAB521D"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790.000,00 </w:t>
            </w:r>
          </w:p>
        </w:tc>
      </w:tr>
      <w:tr w:rsidR="008D06D5" w:rsidRPr="008A5E40" w14:paraId="1BC2370F"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2DD39B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ENGCLIMA ENGENHARIA TERMICA LTDA</w:t>
            </w:r>
          </w:p>
        </w:tc>
        <w:tc>
          <w:tcPr>
            <w:tcW w:w="1300" w:type="dxa"/>
            <w:tcBorders>
              <w:top w:val="nil"/>
              <w:left w:val="nil"/>
              <w:bottom w:val="nil"/>
              <w:right w:val="nil"/>
            </w:tcBorders>
            <w:shd w:val="clear" w:color="auto" w:fill="auto"/>
            <w:noWrap/>
            <w:vAlign w:val="bottom"/>
            <w:hideMark/>
          </w:tcPr>
          <w:p w14:paraId="7BFBC093"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68</w:t>
            </w:r>
          </w:p>
        </w:tc>
        <w:tc>
          <w:tcPr>
            <w:tcW w:w="1600" w:type="dxa"/>
            <w:tcBorders>
              <w:top w:val="nil"/>
              <w:left w:val="nil"/>
              <w:bottom w:val="nil"/>
              <w:right w:val="nil"/>
            </w:tcBorders>
            <w:shd w:val="clear" w:color="auto" w:fill="auto"/>
            <w:noWrap/>
            <w:vAlign w:val="bottom"/>
            <w:hideMark/>
          </w:tcPr>
          <w:p w14:paraId="0417AFDC"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710.290,50 </w:t>
            </w:r>
          </w:p>
        </w:tc>
      </w:tr>
      <w:tr w:rsidR="008D06D5" w:rsidRPr="008A5E40" w14:paraId="7731D7CE"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4C6ED6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14:paraId="5E8E4FAC"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3594</w:t>
            </w:r>
          </w:p>
        </w:tc>
        <w:tc>
          <w:tcPr>
            <w:tcW w:w="1600" w:type="dxa"/>
            <w:tcBorders>
              <w:top w:val="nil"/>
              <w:left w:val="nil"/>
              <w:bottom w:val="nil"/>
              <w:right w:val="nil"/>
            </w:tcBorders>
            <w:shd w:val="clear" w:color="auto" w:fill="auto"/>
            <w:noWrap/>
            <w:vAlign w:val="bottom"/>
            <w:hideMark/>
          </w:tcPr>
          <w:p w14:paraId="14936FB9"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1.165.740,80 </w:t>
            </w:r>
          </w:p>
        </w:tc>
      </w:tr>
      <w:tr w:rsidR="008D06D5" w:rsidRPr="008A5E40" w14:paraId="7FC01A62"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E31049A"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14:paraId="498A7112"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3623</w:t>
            </w:r>
          </w:p>
        </w:tc>
        <w:tc>
          <w:tcPr>
            <w:tcW w:w="1600" w:type="dxa"/>
            <w:tcBorders>
              <w:top w:val="nil"/>
              <w:left w:val="nil"/>
              <w:bottom w:val="nil"/>
              <w:right w:val="nil"/>
            </w:tcBorders>
            <w:shd w:val="clear" w:color="auto" w:fill="auto"/>
            <w:noWrap/>
            <w:vAlign w:val="bottom"/>
            <w:hideMark/>
          </w:tcPr>
          <w:p w14:paraId="5F20934F"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1.783.127,08 </w:t>
            </w:r>
          </w:p>
        </w:tc>
      </w:tr>
      <w:tr w:rsidR="008D06D5" w:rsidRPr="008A5E40" w14:paraId="57C00462"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07C115E5"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14:paraId="1571A213"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3653</w:t>
            </w:r>
          </w:p>
        </w:tc>
        <w:tc>
          <w:tcPr>
            <w:tcW w:w="1600" w:type="dxa"/>
            <w:tcBorders>
              <w:top w:val="nil"/>
              <w:left w:val="nil"/>
              <w:bottom w:val="nil"/>
              <w:right w:val="nil"/>
            </w:tcBorders>
            <w:shd w:val="clear" w:color="auto" w:fill="auto"/>
            <w:noWrap/>
            <w:vAlign w:val="bottom"/>
            <w:hideMark/>
          </w:tcPr>
          <w:p w14:paraId="43636900"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474.937,96 </w:t>
            </w:r>
          </w:p>
        </w:tc>
      </w:tr>
      <w:tr w:rsidR="008D06D5" w:rsidRPr="008A5E40" w14:paraId="5C7CFE66"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7C75063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14:paraId="307BFA98"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3654</w:t>
            </w:r>
          </w:p>
        </w:tc>
        <w:tc>
          <w:tcPr>
            <w:tcW w:w="1600" w:type="dxa"/>
            <w:tcBorders>
              <w:top w:val="nil"/>
              <w:left w:val="nil"/>
              <w:bottom w:val="nil"/>
              <w:right w:val="nil"/>
            </w:tcBorders>
            <w:shd w:val="clear" w:color="auto" w:fill="auto"/>
            <w:noWrap/>
            <w:vAlign w:val="bottom"/>
            <w:hideMark/>
          </w:tcPr>
          <w:p w14:paraId="1F495CE2"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896.357,38 </w:t>
            </w:r>
          </w:p>
        </w:tc>
      </w:tr>
      <w:tr w:rsidR="008D06D5" w:rsidRPr="008A5E40" w14:paraId="11CF2197"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238870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14:paraId="0DA076E1"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3780</w:t>
            </w:r>
          </w:p>
        </w:tc>
        <w:tc>
          <w:tcPr>
            <w:tcW w:w="1600" w:type="dxa"/>
            <w:tcBorders>
              <w:top w:val="nil"/>
              <w:left w:val="nil"/>
              <w:bottom w:val="nil"/>
              <w:right w:val="nil"/>
            </w:tcBorders>
            <w:shd w:val="clear" w:color="auto" w:fill="auto"/>
            <w:noWrap/>
            <w:vAlign w:val="bottom"/>
            <w:hideMark/>
          </w:tcPr>
          <w:p w14:paraId="5FFD41B8"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286.704,27 </w:t>
            </w:r>
          </w:p>
        </w:tc>
      </w:tr>
      <w:tr w:rsidR="008D06D5" w:rsidRPr="008A5E40" w14:paraId="2F0CFE48"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524846FE"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14:paraId="39D84D66"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3740</w:t>
            </w:r>
          </w:p>
        </w:tc>
        <w:tc>
          <w:tcPr>
            <w:tcW w:w="1600" w:type="dxa"/>
            <w:tcBorders>
              <w:top w:val="nil"/>
              <w:left w:val="nil"/>
              <w:bottom w:val="nil"/>
              <w:right w:val="nil"/>
            </w:tcBorders>
            <w:shd w:val="clear" w:color="auto" w:fill="auto"/>
            <w:noWrap/>
            <w:vAlign w:val="bottom"/>
            <w:hideMark/>
          </w:tcPr>
          <w:p w14:paraId="3A1E14B4"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302.752,45 </w:t>
            </w:r>
          </w:p>
        </w:tc>
      </w:tr>
      <w:tr w:rsidR="008D06D5" w:rsidRPr="008A5E40" w14:paraId="3C04DD11"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083CF2C"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LUZVILLE ENGENHARIA LTDA</w:t>
            </w:r>
          </w:p>
        </w:tc>
        <w:tc>
          <w:tcPr>
            <w:tcW w:w="1300" w:type="dxa"/>
            <w:tcBorders>
              <w:top w:val="nil"/>
              <w:left w:val="nil"/>
              <w:bottom w:val="nil"/>
              <w:right w:val="nil"/>
            </w:tcBorders>
            <w:shd w:val="clear" w:color="auto" w:fill="auto"/>
            <w:noWrap/>
            <w:vAlign w:val="bottom"/>
            <w:hideMark/>
          </w:tcPr>
          <w:p w14:paraId="7BAF9B9B"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3675</w:t>
            </w:r>
          </w:p>
        </w:tc>
        <w:tc>
          <w:tcPr>
            <w:tcW w:w="1600" w:type="dxa"/>
            <w:tcBorders>
              <w:top w:val="nil"/>
              <w:left w:val="nil"/>
              <w:bottom w:val="nil"/>
              <w:right w:val="nil"/>
            </w:tcBorders>
            <w:shd w:val="clear" w:color="auto" w:fill="auto"/>
            <w:noWrap/>
            <w:vAlign w:val="bottom"/>
            <w:hideMark/>
          </w:tcPr>
          <w:p w14:paraId="1AF1743C"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409.252,46 </w:t>
            </w:r>
          </w:p>
        </w:tc>
      </w:tr>
      <w:tr w:rsidR="008D06D5" w:rsidRPr="008A5E40" w14:paraId="1F2D1539"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1A1A2A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50E9B377"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1</w:t>
            </w:r>
          </w:p>
        </w:tc>
        <w:tc>
          <w:tcPr>
            <w:tcW w:w="1600" w:type="dxa"/>
            <w:tcBorders>
              <w:top w:val="nil"/>
              <w:left w:val="nil"/>
              <w:bottom w:val="nil"/>
              <w:right w:val="nil"/>
            </w:tcBorders>
            <w:shd w:val="clear" w:color="auto" w:fill="auto"/>
            <w:noWrap/>
            <w:vAlign w:val="bottom"/>
            <w:hideMark/>
          </w:tcPr>
          <w:p w14:paraId="3096AB0E"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1.066.710,03 </w:t>
            </w:r>
          </w:p>
        </w:tc>
      </w:tr>
      <w:tr w:rsidR="008D06D5" w:rsidRPr="008A5E40" w14:paraId="461B506C"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F93FD15"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0B60CC26"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80</w:t>
            </w:r>
          </w:p>
        </w:tc>
        <w:tc>
          <w:tcPr>
            <w:tcW w:w="1600" w:type="dxa"/>
            <w:tcBorders>
              <w:top w:val="nil"/>
              <w:left w:val="nil"/>
              <w:bottom w:val="nil"/>
              <w:right w:val="nil"/>
            </w:tcBorders>
            <w:shd w:val="clear" w:color="auto" w:fill="auto"/>
            <w:noWrap/>
            <w:vAlign w:val="bottom"/>
            <w:hideMark/>
          </w:tcPr>
          <w:p w14:paraId="1B84862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641.729,48 </w:t>
            </w:r>
          </w:p>
        </w:tc>
      </w:tr>
      <w:tr w:rsidR="008D06D5" w:rsidRPr="008A5E40" w14:paraId="2EDF819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20E9194D"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297C5F30"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50</w:t>
            </w:r>
          </w:p>
        </w:tc>
        <w:tc>
          <w:tcPr>
            <w:tcW w:w="1600" w:type="dxa"/>
            <w:tcBorders>
              <w:top w:val="nil"/>
              <w:left w:val="nil"/>
              <w:bottom w:val="nil"/>
              <w:right w:val="nil"/>
            </w:tcBorders>
            <w:shd w:val="clear" w:color="auto" w:fill="auto"/>
            <w:noWrap/>
            <w:vAlign w:val="bottom"/>
            <w:hideMark/>
          </w:tcPr>
          <w:p w14:paraId="235C8177"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2.549.183,47 </w:t>
            </w:r>
          </w:p>
        </w:tc>
      </w:tr>
      <w:tr w:rsidR="008D06D5" w:rsidRPr="008A5E40" w14:paraId="717B1FBB"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F7AF251"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3AAEE850"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33</w:t>
            </w:r>
          </w:p>
        </w:tc>
        <w:tc>
          <w:tcPr>
            <w:tcW w:w="1600" w:type="dxa"/>
            <w:tcBorders>
              <w:top w:val="nil"/>
              <w:left w:val="nil"/>
              <w:bottom w:val="nil"/>
              <w:right w:val="nil"/>
            </w:tcBorders>
            <w:shd w:val="clear" w:color="auto" w:fill="auto"/>
            <w:noWrap/>
            <w:vAlign w:val="bottom"/>
            <w:hideMark/>
          </w:tcPr>
          <w:p w14:paraId="63132B90"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1.590.583,14 </w:t>
            </w:r>
          </w:p>
        </w:tc>
      </w:tr>
      <w:tr w:rsidR="008D06D5" w:rsidRPr="008A5E40" w14:paraId="70D233D4"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1B7D42C5"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2F774088"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22</w:t>
            </w:r>
          </w:p>
        </w:tc>
        <w:tc>
          <w:tcPr>
            <w:tcW w:w="1600" w:type="dxa"/>
            <w:tcBorders>
              <w:top w:val="nil"/>
              <w:left w:val="nil"/>
              <w:bottom w:val="nil"/>
              <w:right w:val="nil"/>
            </w:tcBorders>
            <w:shd w:val="clear" w:color="auto" w:fill="auto"/>
            <w:noWrap/>
            <w:vAlign w:val="bottom"/>
            <w:hideMark/>
          </w:tcPr>
          <w:p w14:paraId="0CF36765"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709.932,48 </w:t>
            </w:r>
          </w:p>
        </w:tc>
      </w:tr>
      <w:tr w:rsidR="008D06D5" w:rsidRPr="008A5E40" w14:paraId="7B3E1045" w14:textId="77777777" w:rsidTr="00E01C21">
        <w:trPr>
          <w:trHeight w:val="300"/>
          <w:jc w:val="center"/>
        </w:trPr>
        <w:tc>
          <w:tcPr>
            <w:tcW w:w="5060" w:type="dxa"/>
            <w:tcBorders>
              <w:top w:val="nil"/>
              <w:left w:val="nil"/>
              <w:bottom w:val="nil"/>
              <w:right w:val="nil"/>
            </w:tcBorders>
            <w:shd w:val="clear" w:color="auto" w:fill="auto"/>
            <w:noWrap/>
            <w:vAlign w:val="bottom"/>
            <w:hideMark/>
          </w:tcPr>
          <w:p w14:paraId="4B1B3750"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PEDRISA PAVIMENTACOES LTDA</w:t>
            </w:r>
          </w:p>
        </w:tc>
        <w:tc>
          <w:tcPr>
            <w:tcW w:w="1300" w:type="dxa"/>
            <w:tcBorders>
              <w:top w:val="nil"/>
              <w:left w:val="nil"/>
              <w:bottom w:val="nil"/>
              <w:right w:val="nil"/>
            </w:tcBorders>
            <w:shd w:val="clear" w:color="auto" w:fill="auto"/>
            <w:noWrap/>
            <w:vAlign w:val="bottom"/>
            <w:hideMark/>
          </w:tcPr>
          <w:p w14:paraId="6E25D618" w14:textId="77777777" w:rsidR="008D06D5" w:rsidRPr="008A5E40" w:rsidRDefault="008D06D5">
            <w:pPr>
              <w:spacing w:line="280" w:lineRule="exact"/>
              <w:jc w:val="right"/>
              <w:rPr>
                <w:rFonts w:ascii="Verdana" w:hAnsi="Verdana" w:cs="Calibri"/>
                <w:color w:val="000000"/>
                <w:sz w:val="20"/>
                <w:szCs w:val="20"/>
              </w:rPr>
            </w:pPr>
            <w:r w:rsidRPr="008A5E40">
              <w:rPr>
                <w:rFonts w:ascii="Verdana" w:hAnsi="Verdana" w:cs="Calibri"/>
                <w:color w:val="000000"/>
                <w:sz w:val="20"/>
                <w:szCs w:val="20"/>
              </w:rPr>
              <w:t>7</w:t>
            </w:r>
          </w:p>
        </w:tc>
        <w:tc>
          <w:tcPr>
            <w:tcW w:w="1600" w:type="dxa"/>
            <w:tcBorders>
              <w:top w:val="nil"/>
              <w:left w:val="nil"/>
              <w:bottom w:val="nil"/>
              <w:right w:val="nil"/>
            </w:tcBorders>
            <w:shd w:val="clear" w:color="auto" w:fill="auto"/>
            <w:noWrap/>
            <w:vAlign w:val="bottom"/>
            <w:hideMark/>
          </w:tcPr>
          <w:p w14:paraId="3C935559" w14:textId="77777777" w:rsidR="008D06D5" w:rsidRPr="008A5E40" w:rsidRDefault="008D06D5">
            <w:pPr>
              <w:spacing w:line="280" w:lineRule="exact"/>
              <w:rPr>
                <w:rFonts w:ascii="Verdana" w:hAnsi="Verdana" w:cs="Calibri"/>
                <w:color w:val="000000"/>
                <w:sz w:val="20"/>
                <w:szCs w:val="20"/>
              </w:rPr>
            </w:pPr>
            <w:r w:rsidRPr="008A5E40">
              <w:rPr>
                <w:rFonts w:ascii="Verdana" w:hAnsi="Verdana" w:cs="Calibri"/>
                <w:color w:val="000000"/>
                <w:sz w:val="20"/>
                <w:szCs w:val="20"/>
              </w:rPr>
              <w:t xml:space="preserve">           962.622,03 </w:t>
            </w:r>
          </w:p>
        </w:tc>
      </w:tr>
      <w:tr w:rsidR="008D06D5" w:rsidRPr="008A5E40" w14:paraId="1F6BC320" w14:textId="77777777" w:rsidTr="00E01C21">
        <w:trPr>
          <w:trHeight w:val="300"/>
          <w:jc w:val="center"/>
        </w:trPr>
        <w:tc>
          <w:tcPr>
            <w:tcW w:w="5060" w:type="dxa"/>
            <w:tcBorders>
              <w:top w:val="nil"/>
              <w:left w:val="nil"/>
              <w:bottom w:val="nil"/>
              <w:right w:val="nil"/>
            </w:tcBorders>
            <w:shd w:val="clear" w:color="000000" w:fill="808080"/>
            <w:noWrap/>
            <w:vAlign w:val="bottom"/>
            <w:hideMark/>
          </w:tcPr>
          <w:p w14:paraId="17031836" w14:textId="77777777" w:rsidR="008D06D5" w:rsidRPr="008A5E40" w:rsidRDefault="008D06D5">
            <w:pPr>
              <w:spacing w:line="280" w:lineRule="exact"/>
              <w:rPr>
                <w:rFonts w:ascii="Verdana" w:hAnsi="Verdana" w:cs="Calibri"/>
                <w:b/>
                <w:bCs/>
                <w:color w:val="FFFFFF"/>
                <w:sz w:val="20"/>
                <w:szCs w:val="20"/>
              </w:rPr>
            </w:pPr>
            <w:r w:rsidRPr="008A5E40">
              <w:rPr>
                <w:rFonts w:ascii="Verdana" w:hAnsi="Verdana" w:cs="Calibri"/>
                <w:b/>
                <w:bCs/>
                <w:color w:val="FFFFFF"/>
                <w:sz w:val="20"/>
                <w:szCs w:val="20"/>
              </w:rPr>
              <w:t xml:space="preserve">Total </w:t>
            </w:r>
            <w:proofErr w:type="spellStart"/>
            <w:r w:rsidRPr="008A5E40">
              <w:rPr>
                <w:rFonts w:ascii="Verdana" w:hAnsi="Verdana" w:cs="Calibri"/>
                <w:b/>
                <w:bCs/>
                <w:color w:val="FFFFFF"/>
                <w:sz w:val="20"/>
                <w:szCs w:val="20"/>
              </w:rPr>
              <w:t>Geral</w:t>
            </w:r>
            <w:proofErr w:type="spellEnd"/>
          </w:p>
        </w:tc>
        <w:tc>
          <w:tcPr>
            <w:tcW w:w="1300" w:type="dxa"/>
            <w:tcBorders>
              <w:top w:val="nil"/>
              <w:left w:val="nil"/>
              <w:bottom w:val="nil"/>
              <w:right w:val="nil"/>
            </w:tcBorders>
            <w:shd w:val="clear" w:color="000000" w:fill="808080"/>
            <w:noWrap/>
            <w:vAlign w:val="bottom"/>
            <w:hideMark/>
          </w:tcPr>
          <w:p w14:paraId="6CC48DE1" w14:textId="77777777" w:rsidR="008D06D5" w:rsidRPr="008A5E40" w:rsidRDefault="008D06D5">
            <w:pPr>
              <w:spacing w:line="280" w:lineRule="exact"/>
              <w:rPr>
                <w:rFonts w:ascii="Verdana" w:hAnsi="Verdana" w:cs="Calibri"/>
                <w:b/>
                <w:bCs/>
                <w:color w:val="FFFFFF"/>
                <w:sz w:val="20"/>
                <w:szCs w:val="20"/>
              </w:rPr>
            </w:pPr>
            <w:r w:rsidRPr="008A5E40">
              <w:rPr>
                <w:rFonts w:ascii="Verdana" w:hAnsi="Verdana" w:cs="Calibri"/>
                <w:b/>
                <w:bCs/>
                <w:color w:val="FFFFFF"/>
                <w:sz w:val="20"/>
                <w:szCs w:val="20"/>
              </w:rPr>
              <w:t> </w:t>
            </w:r>
          </w:p>
        </w:tc>
        <w:tc>
          <w:tcPr>
            <w:tcW w:w="1600" w:type="dxa"/>
            <w:tcBorders>
              <w:top w:val="nil"/>
              <w:left w:val="nil"/>
              <w:bottom w:val="nil"/>
              <w:right w:val="nil"/>
            </w:tcBorders>
            <w:shd w:val="clear" w:color="000000" w:fill="808080"/>
            <w:noWrap/>
            <w:vAlign w:val="bottom"/>
            <w:hideMark/>
          </w:tcPr>
          <w:p w14:paraId="4B83EEC4" w14:textId="77777777" w:rsidR="008D06D5" w:rsidRPr="008A5E40" w:rsidRDefault="008D06D5">
            <w:pPr>
              <w:spacing w:line="280" w:lineRule="exact"/>
              <w:rPr>
                <w:rFonts w:ascii="Verdana" w:hAnsi="Verdana" w:cs="Calibri"/>
                <w:b/>
                <w:bCs/>
                <w:color w:val="FFFFFF"/>
                <w:sz w:val="20"/>
                <w:szCs w:val="20"/>
              </w:rPr>
            </w:pPr>
            <w:r w:rsidRPr="008A5E40">
              <w:rPr>
                <w:rFonts w:ascii="Verdana" w:hAnsi="Verdana" w:cs="Calibri"/>
                <w:b/>
                <w:bCs/>
                <w:color w:val="FFFFFF"/>
                <w:sz w:val="20"/>
                <w:szCs w:val="20"/>
              </w:rPr>
              <w:t xml:space="preserve">   120.001.981,84 </w:t>
            </w:r>
          </w:p>
        </w:tc>
      </w:tr>
    </w:tbl>
    <w:p w14:paraId="04296803" w14:textId="77777777" w:rsidR="008D06D5" w:rsidRPr="008A5E40" w:rsidRDefault="008D06D5">
      <w:pPr>
        <w:spacing w:line="280" w:lineRule="exact"/>
        <w:jc w:val="center"/>
        <w:rPr>
          <w:rFonts w:ascii="Verdana" w:eastAsia="Calibri" w:hAnsi="Verdana"/>
          <w:b/>
          <w:sz w:val="20"/>
          <w:szCs w:val="20"/>
          <w:lang w:val="pt-BR" w:bidi="ks-Deva"/>
        </w:rPr>
      </w:pPr>
    </w:p>
    <w:sectPr w:rsidR="008D06D5" w:rsidRPr="008A5E40" w:rsidSect="00B677F9">
      <w:footerReference w:type="even" r:id="rId12"/>
      <w:footerReference w:type="default" r:id="rId13"/>
      <w:headerReference w:type="first" r:id="rId14"/>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AC6AB" w14:textId="77777777" w:rsidR="001F1F42" w:rsidRDefault="001F1F42">
      <w:r>
        <w:separator/>
      </w:r>
    </w:p>
  </w:endnote>
  <w:endnote w:type="continuationSeparator" w:id="0">
    <w:p w14:paraId="07B8617D" w14:textId="77777777" w:rsidR="001F1F42" w:rsidRDefault="001F1F42">
      <w:r>
        <w:continuationSeparator/>
      </w:r>
    </w:p>
  </w:endnote>
  <w:endnote w:type="continuationNotice" w:id="1">
    <w:p w14:paraId="2CE1E590" w14:textId="77777777" w:rsidR="001F1F42" w:rsidRDefault="001F1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8613" w14:textId="77777777" w:rsidR="00E01C21" w:rsidRDefault="00E01C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FB44B8" w14:textId="77777777" w:rsidR="00E01C21" w:rsidRDefault="00E01C2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314F2" w14:textId="77777777" w:rsidR="00E01C21" w:rsidRPr="00D911EB" w:rsidRDefault="00E01C21" w:rsidP="00E01C21">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sidR="002B5A2B">
      <w:rPr>
        <w:rFonts w:ascii="Verdana" w:hAnsi="Verdana"/>
        <w:noProof/>
        <w:sz w:val="20"/>
        <w:szCs w:val="20"/>
      </w:rPr>
      <w:t>8</w:t>
    </w:r>
    <w:r w:rsidRPr="00D911EB">
      <w:rP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2109" w14:textId="77777777" w:rsidR="00E01C21" w:rsidRDefault="00E01C21" w:rsidP="00E01C21">
    <w:pPr>
      <w:pStyle w:val="Rodap"/>
      <w:jc w:val="right"/>
      <w:rPr>
        <w:sz w:val="16"/>
      </w:rPr>
    </w:pPr>
  </w:p>
  <w:p w14:paraId="2C831DC1" w14:textId="77777777" w:rsidR="00E01C21" w:rsidRPr="00065721" w:rsidRDefault="00E01C21" w:rsidP="00E01C21">
    <w:pPr>
      <w:pStyle w:val="Rodap"/>
      <w:jc w:val="right"/>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A7A6" w14:textId="77777777" w:rsidR="00E01C21" w:rsidRDefault="00E01C21">
    <w:pPr>
      <w:pStyle w:val="Rodap"/>
    </w:pPr>
    <w:r>
      <w:rPr>
        <w:sz w:val="16"/>
      </w:rPr>
      <w:fldChar w:fldCharType="begin"/>
    </w:r>
    <w:r>
      <w:rPr>
        <w:sz w:val="16"/>
      </w:rPr>
      <w:instrText xml:space="preserve"> DOCVARIABLE #DNDocID \* MERGEFORMAT </w:instrTex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BBC28" w14:textId="77777777" w:rsidR="00E01C21" w:rsidRPr="00495E8F" w:rsidRDefault="00E01C21"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2B5A2B">
      <w:rPr>
        <w:rFonts w:ascii="Verdana" w:hAnsi="Verdana"/>
        <w:noProof/>
        <w:sz w:val="20"/>
        <w:szCs w:val="20"/>
      </w:rPr>
      <w:t>11</w:t>
    </w:r>
    <w:r w:rsidRPr="00495E8F">
      <w:rPr>
        <w:rFonts w:ascii="Verdana" w:hAnsi="Verdana"/>
        <w:sz w:val="20"/>
        <w:szCs w:val="20"/>
      </w:rPr>
      <w:fldChar w:fldCharType="end"/>
    </w:r>
  </w:p>
  <w:p w14:paraId="6F4E06D9" w14:textId="77777777" w:rsidR="00E01C21" w:rsidRPr="00441BC8" w:rsidRDefault="00E01C21">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B95E" w14:textId="77777777" w:rsidR="001F1F42" w:rsidRDefault="001F1F42">
      <w:r>
        <w:separator/>
      </w:r>
    </w:p>
  </w:footnote>
  <w:footnote w:type="continuationSeparator" w:id="0">
    <w:p w14:paraId="36EDA771" w14:textId="77777777" w:rsidR="001F1F42" w:rsidRDefault="001F1F42">
      <w:r>
        <w:continuationSeparator/>
      </w:r>
    </w:p>
  </w:footnote>
  <w:footnote w:type="continuationNotice" w:id="1">
    <w:p w14:paraId="0A9191AC" w14:textId="77777777" w:rsidR="001F1F42" w:rsidRDefault="001F1F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3B80" w14:textId="77777777" w:rsidR="00E01C21" w:rsidRPr="00EA5431" w:rsidRDefault="00E01C21" w:rsidP="00E01C21">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81BB" w14:textId="77777777" w:rsidR="00E01C21" w:rsidRDefault="00E01C21" w:rsidP="00032298">
    <w:pPr>
      <w:pStyle w:val="Cabealho"/>
      <w:spacing w:line="295" w:lineRule="auto"/>
      <w:rPr>
        <w:rFonts w:ascii="Cambria" w:hAnsi="Cambria"/>
        <w:lang w:val="pt-BR"/>
      </w:rPr>
    </w:pPr>
  </w:p>
  <w:p w14:paraId="0931A7B9" w14:textId="77777777" w:rsidR="00E01C21" w:rsidRDefault="00E01C21" w:rsidP="00032298">
    <w:pPr>
      <w:pStyle w:val="Cabealho"/>
      <w:spacing w:line="295" w:lineRule="auto"/>
      <w:rPr>
        <w:rFonts w:ascii="Cambria" w:hAnsi="Cambria"/>
        <w:lang w:val="pt-BR"/>
      </w:rPr>
    </w:pPr>
    <w:r>
      <w:rPr>
        <w:rFonts w:ascii="Cambria" w:hAnsi="Cambria"/>
        <w:lang w:val="pt-BR"/>
      </w:rPr>
      <w:t>Minuta Vieira Rezende</w:t>
    </w:r>
  </w:p>
  <w:p w14:paraId="50FC0DF1" w14:textId="77777777" w:rsidR="00E01C21" w:rsidRDefault="00E01C21" w:rsidP="00032298">
    <w:pPr>
      <w:pStyle w:val="Cabealho"/>
      <w:spacing w:line="295" w:lineRule="auto"/>
      <w:rPr>
        <w:rFonts w:ascii="Cambria" w:hAnsi="Cambria"/>
        <w:lang w:val="pt-BR"/>
      </w:rPr>
    </w:pPr>
    <w:r>
      <w:rPr>
        <w:rFonts w:ascii="Cambria" w:hAnsi="Cambria"/>
        <w:lang w:val="pt-BR"/>
      </w:rPr>
      <w:t>16.06.14</w:t>
    </w:r>
  </w:p>
  <w:p w14:paraId="70AFB70E" w14:textId="77777777" w:rsidR="00E01C21" w:rsidRPr="00032298" w:rsidRDefault="00E01C21"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7"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8"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4"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95B47"/>
    <w:multiLevelType w:val="multilevel"/>
    <w:tmpl w:val="C9486F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16"/>
  </w:num>
  <w:num w:numId="2">
    <w:abstractNumId w:val="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0"/>
  </w:num>
  <w:num w:numId="8">
    <w:abstractNumId w:val="3"/>
  </w:num>
  <w:num w:numId="9">
    <w:abstractNumId w:val="7"/>
  </w:num>
  <w:num w:numId="10">
    <w:abstractNumId w:val="6"/>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5"/>
  </w:num>
  <w:num w:numId="20">
    <w:abstractNumId w:val="14"/>
  </w:num>
  <w:num w:numId="21">
    <w:abstractNumId w:val="15"/>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5204"/>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6E9F"/>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A75A1"/>
    <w:rsid w:val="000B06C9"/>
    <w:rsid w:val="000B2611"/>
    <w:rsid w:val="000B7A8C"/>
    <w:rsid w:val="000C0F17"/>
    <w:rsid w:val="000C16AD"/>
    <w:rsid w:val="000C1721"/>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2326"/>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069"/>
    <w:rsid w:val="001922A9"/>
    <w:rsid w:val="00193931"/>
    <w:rsid w:val="00193B0D"/>
    <w:rsid w:val="00193F3C"/>
    <w:rsid w:val="001944BA"/>
    <w:rsid w:val="001944BB"/>
    <w:rsid w:val="00194E55"/>
    <w:rsid w:val="00194ED7"/>
    <w:rsid w:val="00196B66"/>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1F42"/>
    <w:rsid w:val="001F3556"/>
    <w:rsid w:val="002003E1"/>
    <w:rsid w:val="00201402"/>
    <w:rsid w:val="00202D88"/>
    <w:rsid w:val="00204475"/>
    <w:rsid w:val="002047D6"/>
    <w:rsid w:val="00204E1C"/>
    <w:rsid w:val="00205DCC"/>
    <w:rsid w:val="00205F36"/>
    <w:rsid w:val="002068BB"/>
    <w:rsid w:val="00206D5C"/>
    <w:rsid w:val="00207102"/>
    <w:rsid w:val="00207530"/>
    <w:rsid w:val="0021017A"/>
    <w:rsid w:val="00210746"/>
    <w:rsid w:val="0021163A"/>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77F"/>
    <w:rsid w:val="002278A4"/>
    <w:rsid w:val="00230FAE"/>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810"/>
    <w:rsid w:val="002B3EB1"/>
    <w:rsid w:val="002B5A2B"/>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244A"/>
    <w:rsid w:val="003237C6"/>
    <w:rsid w:val="00325245"/>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3E79"/>
    <w:rsid w:val="00385CB8"/>
    <w:rsid w:val="003912E4"/>
    <w:rsid w:val="0039327E"/>
    <w:rsid w:val="00394BB7"/>
    <w:rsid w:val="00395C80"/>
    <w:rsid w:val="00396B30"/>
    <w:rsid w:val="003A2517"/>
    <w:rsid w:val="003A27E4"/>
    <w:rsid w:val="003A27F4"/>
    <w:rsid w:val="003A3AF6"/>
    <w:rsid w:val="003A4E9D"/>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60CA"/>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02F"/>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47DB"/>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502405"/>
    <w:rsid w:val="005072B6"/>
    <w:rsid w:val="00507872"/>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1CC"/>
    <w:rsid w:val="00536588"/>
    <w:rsid w:val="0053699D"/>
    <w:rsid w:val="00537868"/>
    <w:rsid w:val="005420CB"/>
    <w:rsid w:val="00542C98"/>
    <w:rsid w:val="00546EE6"/>
    <w:rsid w:val="00547735"/>
    <w:rsid w:val="00547E22"/>
    <w:rsid w:val="00551714"/>
    <w:rsid w:val="0055293B"/>
    <w:rsid w:val="0055310E"/>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5C9"/>
    <w:rsid w:val="005906BF"/>
    <w:rsid w:val="005906F3"/>
    <w:rsid w:val="005916E2"/>
    <w:rsid w:val="005917EA"/>
    <w:rsid w:val="00591F1D"/>
    <w:rsid w:val="00593656"/>
    <w:rsid w:val="0059380D"/>
    <w:rsid w:val="00593FA2"/>
    <w:rsid w:val="0059403B"/>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0120A"/>
    <w:rsid w:val="00605511"/>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12B0"/>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057"/>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30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3734"/>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2EC"/>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45E"/>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5E40"/>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41"/>
    <w:rsid w:val="008C516F"/>
    <w:rsid w:val="008C55F8"/>
    <w:rsid w:val="008C649A"/>
    <w:rsid w:val="008C6639"/>
    <w:rsid w:val="008C6B39"/>
    <w:rsid w:val="008D0138"/>
    <w:rsid w:val="008D0552"/>
    <w:rsid w:val="008D06D5"/>
    <w:rsid w:val="008D117D"/>
    <w:rsid w:val="008D2F98"/>
    <w:rsid w:val="008D3117"/>
    <w:rsid w:val="008D4F95"/>
    <w:rsid w:val="008D72DA"/>
    <w:rsid w:val="008D7A57"/>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0D"/>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0F73"/>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024"/>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1E2E"/>
    <w:rsid w:val="00A44B34"/>
    <w:rsid w:val="00A46ED9"/>
    <w:rsid w:val="00A506C2"/>
    <w:rsid w:val="00A5102A"/>
    <w:rsid w:val="00A51327"/>
    <w:rsid w:val="00A5380A"/>
    <w:rsid w:val="00A53955"/>
    <w:rsid w:val="00A5633A"/>
    <w:rsid w:val="00A56657"/>
    <w:rsid w:val="00A61765"/>
    <w:rsid w:val="00A6327B"/>
    <w:rsid w:val="00A64767"/>
    <w:rsid w:val="00A64A5B"/>
    <w:rsid w:val="00A658B2"/>
    <w:rsid w:val="00A7035F"/>
    <w:rsid w:val="00A71305"/>
    <w:rsid w:val="00A71B09"/>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22AA"/>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B49"/>
    <w:rsid w:val="00B60FCB"/>
    <w:rsid w:val="00B6179F"/>
    <w:rsid w:val="00B61932"/>
    <w:rsid w:val="00B62835"/>
    <w:rsid w:val="00B62E62"/>
    <w:rsid w:val="00B64621"/>
    <w:rsid w:val="00B66F40"/>
    <w:rsid w:val="00B677F9"/>
    <w:rsid w:val="00B706C4"/>
    <w:rsid w:val="00B70CCD"/>
    <w:rsid w:val="00B718B8"/>
    <w:rsid w:val="00B71A6F"/>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5C9"/>
    <w:rsid w:val="00BA4DFE"/>
    <w:rsid w:val="00BA5F01"/>
    <w:rsid w:val="00BA6FBC"/>
    <w:rsid w:val="00BA7FAF"/>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4F9"/>
    <w:rsid w:val="00C45A84"/>
    <w:rsid w:val="00C47E5B"/>
    <w:rsid w:val="00C47F42"/>
    <w:rsid w:val="00C50172"/>
    <w:rsid w:val="00C5062C"/>
    <w:rsid w:val="00C55AB8"/>
    <w:rsid w:val="00C569F5"/>
    <w:rsid w:val="00C604D1"/>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4984"/>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0B92"/>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17247"/>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063B"/>
    <w:rsid w:val="00D6081F"/>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4402"/>
    <w:rsid w:val="00DF598A"/>
    <w:rsid w:val="00DF5E56"/>
    <w:rsid w:val="00DF6101"/>
    <w:rsid w:val="00E0137E"/>
    <w:rsid w:val="00E01C21"/>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44F"/>
    <w:rsid w:val="00EA2DAA"/>
    <w:rsid w:val="00EA34B2"/>
    <w:rsid w:val="00EA3E4F"/>
    <w:rsid w:val="00EA5AD1"/>
    <w:rsid w:val="00EA5C0F"/>
    <w:rsid w:val="00EA5CDA"/>
    <w:rsid w:val="00EA7F9F"/>
    <w:rsid w:val="00EB0F12"/>
    <w:rsid w:val="00EB31D2"/>
    <w:rsid w:val="00EB3AE6"/>
    <w:rsid w:val="00EB6E40"/>
    <w:rsid w:val="00EB7C34"/>
    <w:rsid w:val="00EC12B8"/>
    <w:rsid w:val="00EC1897"/>
    <w:rsid w:val="00EC1968"/>
    <w:rsid w:val="00EC3077"/>
    <w:rsid w:val="00EC4E70"/>
    <w:rsid w:val="00EC5E1F"/>
    <w:rsid w:val="00EC621C"/>
    <w:rsid w:val="00EC741D"/>
    <w:rsid w:val="00ED0272"/>
    <w:rsid w:val="00ED1101"/>
    <w:rsid w:val="00ED400F"/>
    <w:rsid w:val="00ED45F3"/>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089"/>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473"/>
    <w:rsid w:val="00F40CFC"/>
    <w:rsid w:val="00F40E61"/>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D763E"/>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CD612"/>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aliases w:val="Tulo1,encabezado,Guideline"/>
    <w:basedOn w:val="Normal"/>
    <w:link w:val="CabealhoChar"/>
    <w:rsid w:val="009271B2"/>
    <w:pPr>
      <w:jc w:val="right"/>
    </w:pPr>
  </w:style>
  <w:style w:type="character" w:customStyle="1" w:styleId="CabealhoChar">
    <w:name w:val="Cabeçalho Char"/>
    <w:aliases w:val="Tulo1 Char,encabezado Char,Guideline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Normal numerado,Meu"/>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4"/>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4"/>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4"/>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4"/>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4"/>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4"/>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4"/>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4"/>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4"/>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uiPriority w:val="99"/>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5"/>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5"/>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5"/>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5"/>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Normal numerado Char,Meu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5062C"/>
    <w:pPr>
      <w:spacing w:after="160" w:line="240" w:lineRule="exact"/>
      <w:jc w:val="both"/>
    </w:pPr>
    <w:rPr>
      <w:rFonts w:ascii="Verdana" w:eastAsia="MS Mincho" w:hAnsi="Verdana"/>
      <w:sz w:val="20"/>
      <w:szCs w:val="20"/>
      <w:lang w:val="en-US"/>
    </w:rPr>
  </w:style>
  <w:style w:type="paragraph" w:customStyle="1" w:styleId="GradeClara-nfase32">
    <w:name w:val="Grade Clara - Ênfase 32"/>
    <w:basedOn w:val="Normal"/>
    <w:uiPriority w:val="99"/>
    <w:qFormat/>
    <w:rsid w:val="00C5062C"/>
    <w:pPr>
      <w:ind w:left="720"/>
      <w:contextualSpacing/>
    </w:pPr>
    <w:rPr>
      <w:sz w:val="24"/>
      <w:szCs w:val="24"/>
      <w:lang w:val="pt-BR" w:eastAsia="pt-BR"/>
    </w:rPr>
  </w:style>
  <w:style w:type="paragraph" w:customStyle="1" w:styleId="BodyText21">
    <w:name w:val="Body Text 21"/>
    <w:basedOn w:val="Normal"/>
    <w:rsid w:val="00193F3C"/>
    <w:pPr>
      <w:spacing w:line="360" w:lineRule="auto"/>
      <w:jc w:val="both"/>
    </w:pPr>
    <w:rPr>
      <w:rFonts w:ascii="Trebuchet MS" w:hAnsi="Trebuchet MS"/>
      <w:szCs w:val="24"/>
      <w:lang w:val="pt-BR" w:eastAsia="pt-BR"/>
    </w:rPr>
  </w:style>
  <w:style w:type="character" w:customStyle="1" w:styleId="element-invisible">
    <w:name w:val="element-invisible"/>
    <w:basedOn w:val="Fontepargpadro"/>
    <w:rsid w:val="0060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3373">
      <w:bodyDiv w:val="1"/>
      <w:marLeft w:val="0"/>
      <w:marRight w:val="0"/>
      <w:marTop w:val="0"/>
      <w:marBottom w:val="0"/>
      <w:divBdr>
        <w:top w:val="none" w:sz="0" w:space="0" w:color="auto"/>
        <w:left w:val="none" w:sz="0" w:space="0" w:color="auto"/>
        <w:bottom w:val="none" w:sz="0" w:space="0" w:color="auto"/>
        <w:right w:val="none" w:sz="0" w:space="0" w:color="auto"/>
      </w:divBdr>
    </w:div>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652180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945429811">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DC73-4B46-4B64-8636-B6462F8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2043</Words>
  <Characters>12940</Characters>
  <Application>Microsoft Office Word</Application>
  <DocSecurity>0</DocSecurity>
  <Lines>539</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3</cp:revision>
  <cp:lastPrinted>2020-06-30T01:02:00Z</cp:lastPrinted>
  <dcterms:created xsi:type="dcterms:W3CDTF">2020-06-30T00:58:00Z</dcterms:created>
  <dcterms:modified xsi:type="dcterms:W3CDTF">2020-06-30T01:04:00Z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20200629220102711</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