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SemEspaamento"/>
      </w:pPr>
    </w:p>
    <w:p w14:paraId="68911140" w14:textId="22C67AE9" w:rsidR="006532A3" w:rsidRPr="00DA1BE2" w:rsidRDefault="006532A3" w:rsidP="00435AA8">
      <w:pPr>
        <w:spacing w:line="360" w:lineRule="auto"/>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SemEspaamento"/>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SemEspaamento"/>
      </w:pPr>
    </w:p>
    <w:p w14:paraId="2BE90D94" w14:textId="53865C9D" w:rsidR="006532A3" w:rsidRPr="00DA1BE2" w:rsidRDefault="006532A3" w:rsidP="00435AA8">
      <w:pPr>
        <w:spacing w:line="360" w:lineRule="auto"/>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D858E9">
      <w:pPr>
        <w:pStyle w:val="SemEspaamento"/>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SemEspaamento"/>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SemEspaamento"/>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xml:space="preserve">”) e a </w:t>
      </w:r>
      <w:proofErr w:type="spellStart"/>
      <w:r w:rsidRPr="00D858E9">
        <w:rPr>
          <w:rFonts w:ascii="Verdana" w:hAnsi="Verdana" w:cs="Leelawadee"/>
          <w:color w:val="auto"/>
          <w:sz w:val="20"/>
          <w:szCs w:val="20"/>
        </w:rPr>
        <w:t>Pilkington</w:t>
      </w:r>
      <w:proofErr w:type="spellEnd"/>
      <w:r w:rsidRPr="00D858E9">
        <w:rPr>
          <w:rFonts w:ascii="Verdana" w:hAnsi="Verdana" w:cs="Leelawadee"/>
          <w:color w:val="auto"/>
          <w:sz w:val="20"/>
          <w:szCs w:val="20"/>
        </w:rPr>
        <w:t xml:space="preserve">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SemEspaamento"/>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Securitizadora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 xml:space="preserve">Instrumento Particular Atípico de Desenvolvimento de Edificação, Construção sob Encomenda e Locação Atípica, na Modalidade de </w:t>
      </w:r>
      <w:proofErr w:type="spellStart"/>
      <w:r w:rsidRPr="00606FE2">
        <w:rPr>
          <w:rFonts w:ascii="Verdana" w:hAnsi="Verdana" w:cs="Leelawadee"/>
          <w:i/>
          <w:color w:val="auto"/>
          <w:sz w:val="20"/>
          <w:szCs w:val="20"/>
        </w:rPr>
        <w:t>Built</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to</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Suit</w:t>
      </w:r>
      <w:proofErr w:type="spellEnd"/>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SemEspaamento"/>
      </w:pPr>
    </w:p>
    <w:p w14:paraId="0FF78444" w14:textId="0FE727E6"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r w:rsidR="00117273">
        <w:rPr>
          <w:rFonts w:ascii="Verdana" w:hAnsi="Verdana" w:cs="Leelawadee"/>
          <w:color w:val="auto"/>
          <w:sz w:val="20"/>
          <w:szCs w:val="20"/>
        </w:rPr>
        <w:t xml:space="preserve"> </w:t>
      </w:r>
      <w:r w:rsidR="00117273" w:rsidRPr="002C3F9C">
        <w:rPr>
          <w:rFonts w:ascii="Verdana" w:hAnsi="Verdana" w:cs="Leelawadee"/>
          <w:color w:val="auto"/>
          <w:sz w:val="20"/>
          <w:szCs w:val="20"/>
          <w:highlight w:val="yellow"/>
        </w:rPr>
        <w:t>[Comentário Gaia: favor esclarecer o motivo da separação da definição de Créditos Imobiliários. Me pareceu que a redação original estava adequada, e de mais simples entendimento.</w:t>
      </w:r>
      <w:r w:rsidR="00B503AC">
        <w:rPr>
          <w:rStyle w:val="Refdenotaderodap"/>
          <w:rFonts w:ascii="Verdana" w:hAnsi="Verdana" w:cs="Leelawadee"/>
          <w:color w:val="auto"/>
          <w:sz w:val="20"/>
          <w:szCs w:val="20"/>
          <w:highlight w:val="yellow"/>
        </w:rPr>
        <w:footnoteReference w:id="2"/>
      </w:r>
      <w:r w:rsidR="00117273" w:rsidRPr="002C3F9C">
        <w:rPr>
          <w:rFonts w:ascii="Verdana" w:hAnsi="Verdana" w:cs="Leelawadee"/>
          <w:color w:val="auto"/>
          <w:sz w:val="20"/>
          <w:szCs w:val="20"/>
          <w:highlight w:val="yellow"/>
        </w:rPr>
        <w:t>]</w:t>
      </w:r>
    </w:p>
    <w:p w14:paraId="11D3B0D0" w14:textId="77777777" w:rsidR="004E5DC4" w:rsidRDefault="004E5DC4" w:rsidP="004E5DC4">
      <w:pPr>
        <w:pStyle w:val="PargrafodaLista"/>
        <w:rPr>
          <w:rFonts w:ascii="Verdana" w:hAnsi="Verdana" w:cs="Leelawadee"/>
          <w:sz w:val="20"/>
          <w:szCs w:val="20"/>
        </w:rPr>
      </w:pPr>
    </w:p>
    <w:p w14:paraId="17B64887" w14:textId="77777777" w:rsidR="00B503AC" w:rsidRPr="002C3F9C"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2C3F9C">
      <w:pPr>
        <w:pStyle w:val="PargrafodaLista"/>
        <w:rPr>
          <w:rFonts w:ascii="Verdana" w:hAnsi="Verdana"/>
          <w:sz w:val="20"/>
          <w:szCs w:val="20"/>
        </w:rPr>
      </w:pPr>
    </w:p>
    <w:p w14:paraId="3D9A613A" w14:textId="4C872530" w:rsidR="00791309" w:rsidRPr="00251E2E" w:rsidRDefault="00B503AC"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791309">
      <w:pPr>
        <w:pStyle w:val="PargrafodaLista"/>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SemEspaamento"/>
      </w:pPr>
    </w:p>
    <w:p w14:paraId="327B76A8" w14:textId="14DCABB2" w:rsidR="00FB21DF" w:rsidRPr="00B87C06" w:rsidRDefault="00FB21DF" w:rsidP="002C3F9C">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 xml:space="preserve">Contrato BTS </w:t>
      </w:r>
      <w:r w:rsidRPr="00B87C06">
        <w:rPr>
          <w:rFonts w:ascii="Verdana" w:hAnsi="Verdana"/>
          <w:sz w:val="20"/>
          <w:szCs w:val="20"/>
          <w:u w:val="single"/>
        </w:rPr>
        <w:lastRenderedPageBreak/>
        <w:t>Aditado</w:t>
      </w:r>
      <w:r w:rsidRPr="00B87C06">
        <w:rPr>
          <w:rFonts w:ascii="Verdana" w:hAnsi="Verdana"/>
          <w:sz w:val="20"/>
          <w:szCs w:val="20"/>
        </w:rPr>
        <w:t>”);</w:t>
      </w:r>
    </w:p>
    <w:p w14:paraId="6D217103" w14:textId="77777777" w:rsidR="00FB21DF" w:rsidRDefault="00FB21DF" w:rsidP="00FB21DF">
      <w:pPr>
        <w:pStyle w:val="PargrafodaLista"/>
        <w:rPr>
          <w:rFonts w:ascii="Verdana" w:hAnsi="Verdana"/>
          <w:sz w:val="20"/>
          <w:szCs w:val="20"/>
        </w:rPr>
      </w:pPr>
    </w:p>
    <w:p w14:paraId="2599D34F" w14:textId="5A90225B"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PargrafodaLista"/>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SemEspaamento"/>
      </w:pPr>
    </w:p>
    <w:p w14:paraId="5BC5DC7E" w14:textId="694400D6"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436EB8" w:rsidRPr="00436EB8">
        <w:rPr>
          <w:rFonts w:ascii="Verdana" w:hAnsi="Verdana" w:cs="Leelawadee"/>
          <w:i/>
          <w:iCs/>
          <w:color w:val="auto"/>
          <w:sz w:val="20"/>
          <w:szCs w:val="20"/>
        </w:rPr>
        <w:t xml:space="preserve">153ª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de Recebíveis Imobiliários da Gaia Securitizadora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4B5ADF62"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Pr="0063627A">
        <w:rPr>
          <w:rFonts w:ascii="Verdana" w:hAnsi="Verdana" w:cs="Leelawadee"/>
          <w:i/>
          <w:iCs/>
          <w:color w:val="auto"/>
          <w:sz w:val="20"/>
          <w:szCs w:val="20"/>
        </w:rPr>
        <w:t xml:space="preserve">153ª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1FE9EEC9"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w:t>
      </w:r>
      <w:proofErr w:type="spellStart"/>
      <w:r w:rsidR="00C8283A" w:rsidRPr="00DA1BE2">
        <w:rPr>
          <w:rFonts w:ascii="Verdana" w:hAnsi="Verdana" w:cs="Leelawadee"/>
          <w:b/>
          <w:bCs/>
          <w:color w:val="auto"/>
          <w:sz w:val="20"/>
          <w:szCs w:val="20"/>
        </w:rPr>
        <w:t>ii</w:t>
      </w:r>
      <w:proofErr w:type="spellEnd"/>
      <w:r w:rsidR="00C8283A" w:rsidRPr="00DA1BE2">
        <w:rPr>
          <w:rFonts w:ascii="Verdana" w:hAnsi="Verdana" w:cs="Leelawadee"/>
          <w:b/>
          <w:bCs/>
          <w:color w:val="auto"/>
          <w:sz w:val="20"/>
          <w:szCs w:val="20"/>
        </w:rPr>
        <w:t>)</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w:t>
      </w:r>
      <w:proofErr w:type="spellStart"/>
      <w:r w:rsidR="00C8283A">
        <w:rPr>
          <w:rFonts w:ascii="Verdana" w:hAnsi="Verdana" w:cs="Leelawadee"/>
          <w:b/>
          <w:color w:val="auto"/>
          <w:sz w:val="20"/>
          <w:szCs w:val="20"/>
        </w:rPr>
        <w:t>i</w:t>
      </w:r>
      <w:r w:rsidR="00DA32C7">
        <w:rPr>
          <w:rFonts w:ascii="Verdana" w:hAnsi="Verdana" w:cs="Leelawadee"/>
          <w:b/>
          <w:color w:val="auto"/>
          <w:sz w:val="20"/>
          <w:szCs w:val="20"/>
        </w:rPr>
        <w:t>ii</w:t>
      </w:r>
      <w:proofErr w:type="spellEnd"/>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proofErr w:type="spellStart"/>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proofErr w:type="spellEnd"/>
      <w:r w:rsidR="00F66C99" w:rsidRPr="00DA1BE2">
        <w:rPr>
          <w:rFonts w:ascii="Verdana" w:hAnsi="Verdana" w:cs="Leelawadee"/>
          <w:b/>
          <w:bCs/>
          <w:color w:val="auto"/>
          <w:sz w:val="20"/>
          <w:szCs w:val="20"/>
        </w:rPr>
        <w:t>)</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w:t>
      </w:r>
      <w:proofErr w:type="spellStart"/>
      <w:r w:rsidR="00C8283A" w:rsidRPr="00F374A9">
        <w:rPr>
          <w:rFonts w:ascii="Verdana" w:hAnsi="Verdana" w:cs="Leelawadee"/>
          <w:b/>
          <w:bCs/>
          <w:color w:val="auto"/>
          <w:sz w:val="20"/>
          <w:szCs w:val="20"/>
        </w:rPr>
        <w:t>vii</w:t>
      </w:r>
      <w:proofErr w:type="spellEnd"/>
      <w:r w:rsidR="00C8283A" w:rsidRPr="00F374A9">
        <w:rPr>
          <w:rFonts w:ascii="Verdana" w:hAnsi="Verdana" w:cs="Leelawadee"/>
          <w:b/>
          <w:bCs/>
          <w:color w:val="auto"/>
          <w:sz w:val="20"/>
          <w:szCs w:val="20"/>
        </w:rPr>
        <w:t>)</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6"/>
    <w:bookmarkEnd w:id="7"/>
    <w:p w14:paraId="7334172A" w14:textId="2F9D1907" w:rsidR="00021A62"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lastRenderedPageBreak/>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Todos os termos constantes desse Instrumento que não estejam aqui definidos tem a sua definição feita nos Documentos da 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D57607">
      <w:pPr>
        <w:pStyle w:val="SemEspaamento"/>
      </w:pPr>
    </w:p>
    <w:p w14:paraId="7962E19C" w14:textId="41916562" w:rsidR="00021A62" w:rsidRPr="00DA1BE2" w:rsidRDefault="00543AC2" w:rsidP="00D20AC7">
      <w:pPr>
        <w:pStyle w:val="Ttulo2"/>
        <w:keepNext/>
        <w:spacing w:line="360" w:lineRule="auto"/>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D57607">
      <w:pPr>
        <w:pStyle w:val="SemEspaamento"/>
      </w:pPr>
    </w:p>
    <w:p w14:paraId="0B22CF06" w14:textId="68F2DEEA" w:rsidR="00021A62" w:rsidRPr="00DA1BE2" w:rsidRDefault="00543AC2" w:rsidP="00523B2D">
      <w:pPr>
        <w:pStyle w:val="PargrafodaLista"/>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SemEspaamento"/>
      </w:pPr>
    </w:p>
    <w:p w14:paraId="4B547916" w14:textId="444A351F" w:rsidR="00021A62" w:rsidRPr="00DA1BE2" w:rsidRDefault="00543AC2" w:rsidP="00312A55">
      <w:pPr>
        <w:pStyle w:val="PargrafodaLista"/>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PargrafodaLista"/>
        <w:spacing w:line="360" w:lineRule="auto"/>
        <w:rPr>
          <w:rFonts w:ascii="Verdana" w:hAnsi="Verdana" w:cs="Leelawadee"/>
          <w:sz w:val="20"/>
          <w:szCs w:val="20"/>
        </w:rPr>
      </w:pPr>
    </w:p>
    <w:p w14:paraId="41DB046A" w14:textId="3422D391" w:rsidR="00021A62" w:rsidRDefault="00543AC2"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Na data de assinatura deste Contrato de Cessão, 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SemEspaamento"/>
      </w:pPr>
    </w:p>
    <w:p w14:paraId="67C96ECF" w14:textId="478A3F58" w:rsidR="00EF19ED" w:rsidRPr="00EF19ED" w:rsidRDefault="00EF19ED" w:rsidP="00EF19ED">
      <w:pPr>
        <w:pStyle w:val="PargrafodaLista"/>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w:t>
      </w:r>
      <w:proofErr w:type="spellStart"/>
      <w:r w:rsidRPr="00EF19ED">
        <w:rPr>
          <w:rFonts w:ascii="Verdana" w:hAnsi="Verdana" w:cs="Leelawadee"/>
          <w:sz w:val="20"/>
          <w:szCs w:val="20"/>
        </w:rPr>
        <w:t>ii</w:t>
      </w:r>
      <w:proofErr w:type="spellEnd"/>
      <w:r w:rsidRPr="00EF19ED">
        <w:rPr>
          <w:rFonts w:ascii="Verdana" w:hAnsi="Verdana" w:cs="Leelawadee"/>
          <w:sz w:val="20"/>
          <w:szCs w:val="20"/>
        </w:rPr>
        <w:t>) a identificação do Imóvel; e (</w:t>
      </w:r>
      <w:proofErr w:type="spellStart"/>
      <w:r w:rsidRPr="00EF19ED">
        <w:rPr>
          <w:rFonts w:ascii="Verdana" w:hAnsi="Verdana" w:cs="Leelawadee"/>
          <w:sz w:val="20"/>
          <w:szCs w:val="20"/>
        </w:rPr>
        <w:t>iii</w:t>
      </w:r>
      <w:proofErr w:type="spellEnd"/>
      <w:r w:rsidRPr="00EF19ED">
        <w:rPr>
          <w:rFonts w:ascii="Verdana" w:hAnsi="Verdana" w:cs="Leelawadee"/>
          <w:sz w:val="20"/>
          <w:szCs w:val="20"/>
        </w:rPr>
        <w:t xml:space="preserve">)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SemEspaamento"/>
      </w:pPr>
    </w:p>
    <w:p w14:paraId="27968463" w14:textId="5279562C" w:rsid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lastRenderedPageBreak/>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utilizando recursos do patrimônio separado.</w:t>
      </w:r>
    </w:p>
    <w:p w14:paraId="3E8B81E4" w14:textId="77777777" w:rsidR="002542B9" w:rsidRDefault="002542B9" w:rsidP="002542B9">
      <w:pPr>
        <w:pStyle w:val="SemEspaamento"/>
      </w:pPr>
    </w:p>
    <w:p w14:paraId="371B4209" w14:textId="54619484" w:rsidR="00EF19ED" w:rsidRP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Caso os Créditos Imobiliários venham a ter suas características alteradas, por qualquer razão, anteriormente à emissão do CRI, as Partes comprometem-se a realizar o devido aditamento ao presente Contrato de Cessão, de modo que este passe a refletir as referidas alterações</w:t>
      </w:r>
    </w:p>
    <w:p w14:paraId="0A452902" w14:textId="77777777" w:rsidR="00021A62" w:rsidRPr="00DA1BE2" w:rsidRDefault="00021A62" w:rsidP="008E6D8D">
      <w:pPr>
        <w:pStyle w:val="SemEspaamento"/>
      </w:pPr>
    </w:p>
    <w:p w14:paraId="5F522432" w14:textId="567E3E1B" w:rsidR="00021A62" w:rsidRDefault="00543AC2" w:rsidP="00D161A6">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SemEspaamento"/>
      </w:pPr>
    </w:p>
    <w:p w14:paraId="6D437691" w14:textId="42192EF7" w:rsidR="00021A62" w:rsidRPr="00DA1BE2" w:rsidRDefault="00543AC2"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SemEspaamento"/>
      </w:pPr>
    </w:p>
    <w:p w14:paraId="24E8410F" w14:textId="1DAD005E" w:rsidR="00C5502E" w:rsidRPr="008A6E9E" w:rsidRDefault="00C5502E" w:rsidP="00C5502E">
      <w:pPr>
        <w:pStyle w:val="PargrafodaLista"/>
        <w:numPr>
          <w:ilvl w:val="1"/>
          <w:numId w:val="11"/>
        </w:numPr>
        <w:tabs>
          <w:tab w:val="left" w:pos="709"/>
        </w:tabs>
        <w:spacing w:line="360" w:lineRule="auto"/>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 Data Base da Cessão,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C5502E">
      <w:pPr>
        <w:pStyle w:val="PargrafodaLista"/>
        <w:rPr>
          <w:rFonts w:ascii="Verdana" w:hAnsi="Verdana" w:cs="Arial"/>
          <w:sz w:val="20"/>
          <w:szCs w:val="20"/>
          <w:u w:val="single"/>
        </w:rPr>
      </w:pPr>
    </w:p>
    <w:p w14:paraId="2329BECB" w14:textId="1A826BE2" w:rsidR="008340DD" w:rsidRPr="00DA1BE2" w:rsidRDefault="008340DD" w:rsidP="005D3B9C">
      <w:pPr>
        <w:pStyle w:val="PargrafodaLista"/>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SemEspaamento"/>
      </w:pPr>
    </w:p>
    <w:p w14:paraId="2D8138F3" w14:textId="568B4563" w:rsidR="00D7175B" w:rsidRPr="00DA1BE2" w:rsidRDefault="00D7175B"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SemEspaamento"/>
      </w:pPr>
    </w:p>
    <w:p w14:paraId="2250EB6F" w14:textId="32644317" w:rsidR="00021A62" w:rsidRPr="00DA1BE2" w:rsidRDefault="00543AC2" w:rsidP="00D161A6">
      <w:pPr>
        <w:pStyle w:val="Ttulo2"/>
        <w:keepNext/>
        <w:spacing w:line="360" w:lineRule="auto"/>
        <w:jc w:val="both"/>
        <w:rPr>
          <w:rFonts w:ascii="Verdana" w:hAnsi="Verdana" w:cs="Leelawadee"/>
          <w:b/>
        </w:rPr>
      </w:pPr>
      <w:bookmarkStart w:id="15" w:name="_Toc497474964"/>
      <w:r w:rsidRPr="00DA1BE2">
        <w:rPr>
          <w:rFonts w:ascii="Verdana" w:hAnsi="Verdana" w:cs="Leelawadee"/>
          <w:b/>
        </w:rPr>
        <w:lastRenderedPageBreak/>
        <w:t>CLÁUSULA SEGUNDA – CRÉDITOS IMOBILIÁRIOS</w:t>
      </w:r>
      <w:bookmarkEnd w:id="15"/>
    </w:p>
    <w:p w14:paraId="1564D7F2" w14:textId="77777777" w:rsidR="00021A62" w:rsidRPr="00DA1BE2" w:rsidRDefault="00021A62" w:rsidP="00384756">
      <w:pPr>
        <w:pStyle w:val="SemEspaamento"/>
      </w:pPr>
    </w:p>
    <w:p w14:paraId="58BD117D" w14:textId="64507D3E"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Valor Nominal</w:t>
      </w:r>
      <w:bookmarkStart w:id="16" w:name="_Hlk19528401"/>
      <w:r w:rsidR="00C35666" w:rsidRPr="00DA1BE2">
        <w:rPr>
          <w:rFonts w:ascii="Verdana" w:hAnsi="Verdana" w:cs="Leelawadee"/>
          <w:sz w:val="20"/>
          <w:szCs w:val="20"/>
        </w:rPr>
        <w:t>:</w:t>
      </w:r>
      <w:r w:rsidRPr="00DA1BE2">
        <w:rPr>
          <w:rFonts w:ascii="Verdana" w:hAnsi="Verdana" w:cs="Leelawadee"/>
          <w:sz w:val="20"/>
          <w:szCs w:val="20"/>
        </w:rPr>
        <w:t xml:space="preserve"> </w:t>
      </w:r>
      <w:r w:rsidR="00DE652B" w:rsidRPr="00DA1BE2">
        <w:rPr>
          <w:rFonts w:ascii="Verdana" w:hAnsi="Verdana" w:cs="Leelawadee"/>
          <w:sz w:val="20"/>
          <w:szCs w:val="20"/>
        </w:rPr>
        <w:t>Os Créditos Imobiliários possuem</w:t>
      </w:r>
      <w:r w:rsidR="009A3617" w:rsidRPr="00DA1BE2">
        <w:rPr>
          <w:rFonts w:ascii="Verdana" w:hAnsi="Verdana" w:cs="Leelawadee"/>
          <w:sz w:val="20"/>
          <w:szCs w:val="20"/>
        </w:rPr>
        <w:t>, n</w:t>
      </w:r>
      <w:r w:rsidR="00323875" w:rsidRPr="00DA1BE2">
        <w:rPr>
          <w:rFonts w:ascii="Verdana" w:hAnsi="Verdana" w:cs="Leelawadee"/>
          <w:sz w:val="20"/>
          <w:szCs w:val="20"/>
        </w:rPr>
        <w:t>esta data</w:t>
      </w:r>
      <w:r w:rsidR="00D7175B" w:rsidRPr="00DA1BE2">
        <w:rPr>
          <w:rFonts w:ascii="Verdana" w:hAnsi="Verdana" w:cs="Leelawadee"/>
          <w:sz w:val="20"/>
          <w:szCs w:val="20"/>
        </w:rPr>
        <w:t xml:space="preserve"> (“</w:t>
      </w:r>
      <w:r w:rsidR="00D7175B" w:rsidRPr="00DA1BE2">
        <w:rPr>
          <w:rFonts w:ascii="Verdana" w:hAnsi="Verdana" w:cs="Leelawadee"/>
          <w:sz w:val="20"/>
          <w:szCs w:val="20"/>
          <w:u w:val="single"/>
        </w:rPr>
        <w:t>Data Base d</w:t>
      </w:r>
      <w:r w:rsidR="00B53F25" w:rsidRPr="00DA1BE2">
        <w:rPr>
          <w:rFonts w:ascii="Verdana" w:hAnsi="Verdana" w:cs="Leelawadee"/>
          <w:sz w:val="20"/>
          <w:szCs w:val="20"/>
          <w:u w:val="single"/>
        </w:rPr>
        <w:t>a</w:t>
      </w:r>
      <w:r w:rsidR="00D7175B" w:rsidRPr="00DA1BE2">
        <w:rPr>
          <w:rFonts w:ascii="Verdana" w:hAnsi="Verdana" w:cs="Leelawadee"/>
          <w:sz w:val="20"/>
          <w:szCs w:val="20"/>
          <w:u w:val="single"/>
        </w:rPr>
        <w:t xml:space="preserve"> Cessão</w:t>
      </w:r>
      <w:r w:rsidR="00D7175B" w:rsidRPr="00DA1BE2">
        <w:rPr>
          <w:rFonts w:ascii="Verdana" w:hAnsi="Verdana" w:cs="Leelawadee"/>
          <w:sz w:val="20"/>
          <w:szCs w:val="20"/>
        </w:rPr>
        <w:t>”)</w:t>
      </w:r>
      <w:r w:rsidR="00323875" w:rsidRPr="00DA1BE2">
        <w:rPr>
          <w:rFonts w:ascii="Verdana" w:hAnsi="Verdana" w:cs="Leelawadee"/>
          <w:sz w:val="20"/>
          <w:szCs w:val="20"/>
        </w:rPr>
        <w:t>,</w:t>
      </w:r>
      <w:r w:rsidR="00DE652B" w:rsidRPr="00DA1BE2">
        <w:rPr>
          <w:rFonts w:ascii="Verdana" w:hAnsi="Verdana" w:cs="Leelawadee"/>
          <w:sz w:val="20"/>
          <w:szCs w:val="20"/>
        </w:rPr>
        <w:t xml:space="preserve"> o valor nominal </w:t>
      </w:r>
      <w:bookmarkEnd w:id="16"/>
      <w:r w:rsidR="009A3617" w:rsidRPr="00DA1BE2">
        <w:rPr>
          <w:rFonts w:ascii="Verdana" w:hAnsi="Verdana" w:cs="Leelawadee"/>
          <w:sz w:val="20"/>
          <w:szCs w:val="20"/>
        </w:rPr>
        <w:t xml:space="preserve">total </w:t>
      </w:r>
      <w:r w:rsidR="009A3617" w:rsidRPr="00DA1BE2">
        <w:rPr>
          <w:rFonts w:ascii="Verdana" w:hAnsi="Verdana" w:cs="Tahoma"/>
          <w:sz w:val="20"/>
          <w:szCs w:val="20"/>
        </w:rPr>
        <w:t xml:space="preserve">de </w:t>
      </w:r>
      <w:bookmarkStart w:id="17" w:name="_DV_C169"/>
      <w:r w:rsidR="00D20AC7" w:rsidRPr="00DA1BE2">
        <w:rPr>
          <w:rFonts w:ascii="Verdana" w:hAnsi="Verdana" w:cs="Leelawadee"/>
          <w:b/>
          <w:sz w:val="20"/>
          <w:szCs w:val="20"/>
        </w:rPr>
        <w:t>R$</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 xml:space="preserve"> (</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w:t>
      </w:r>
      <w:bookmarkStart w:id="18" w:name="_DV_M323"/>
      <w:bookmarkStart w:id="19" w:name="_DV_M322"/>
      <w:bookmarkStart w:id="20" w:name="_DV_M321"/>
      <w:bookmarkStart w:id="21" w:name="_DV_M320"/>
      <w:bookmarkEnd w:id="17"/>
      <w:bookmarkEnd w:id="18"/>
      <w:bookmarkEnd w:id="19"/>
      <w:bookmarkEnd w:id="20"/>
      <w:bookmarkEnd w:id="21"/>
      <w:r w:rsidR="009A3617" w:rsidRPr="00DA1BE2">
        <w:rPr>
          <w:rFonts w:ascii="Verdana" w:hAnsi="Verdana"/>
          <w:sz w:val="20"/>
          <w:szCs w:val="20"/>
        </w:rPr>
        <w:t xml:space="preserve"> </w:t>
      </w:r>
      <w:r w:rsidR="009A3617" w:rsidRPr="00DA1BE2">
        <w:rPr>
          <w:rFonts w:ascii="Verdana" w:hAnsi="Verdana" w:cs="Tahoma"/>
          <w:sz w:val="20"/>
          <w:szCs w:val="20"/>
        </w:rPr>
        <w:t>(“</w:t>
      </w:r>
      <w:r w:rsidR="009A3617" w:rsidRPr="00DA1BE2">
        <w:rPr>
          <w:rFonts w:ascii="Verdana" w:hAnsi="Verdana" w:cs="Tahoma"/>
          <w:sz w:val="20"/>
          <w:szCs w:val="20"/>
          <w:u w:val="single"/>
        </w:rPr>
        <w:t>Valor Nominal dos Créditos Imobiliários</w:t>
      </w:r>
      <w:r w:rsidR="009A3617" w:rsidRPr="00DA1BE2">
        <w:rPr>
          <w:rFonts w:ascii="Verdana" w:hAnsi="Verdana" w:cs="Tahoma"/>
          <w:sz w:val="20"/>
          <w:szCs w:val="20"/>
        </w:rPr>
        <w:t>”).</w:t>
      </w:r>
    </w:p>
    <w:p w14:paraId="6854D98D" w14:textId="77777777" w:rsidR="00021A62" w:rsidRPr="00DA1BE2" w:rsidRDefault="00021A62" w:rsidP="00AA42F3">
      <w:pPr>
        <w:pStyle w:val="SemEspaamento"/>
      </w:pPr>
    </w:p>
    <w:p w14:paraId="6197DBF4" w14:textId="77777777" w:rsidR="00581D80" w:rsidRPr="00581D80"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PargrafodaLista"/>
        <w:rPr>
          <w:rFonts w:ascii="Verdana" w:hAnsi="Verdana" w:cs="Tahoma"/>
          <w:sz w:val="20"/>
          <w:szCs w:val="20"/>
        </w:rPr>
      </w:pPr>
    </w:p>
    <w:p w14:paraId="0CCC53B5" w14:textId="65491E15" w:rsidR="006052FD" w:rsidRPr="00AA42F3" w:rsidRDefault="00AA42F3" w:rsidP="00AA42F3">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SemEspaamento"/>
      </w:pPr>
    </w:p>
    <w:p w14:paraId="5136F857" w14:textId="74F8AAE5" w:rsidR="00AA42F3" w:rsidRPr="00B22F63" w:rsidRDefault="00AA42F3" w:rsidP="00633E46">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2C3F9C">
      <w:pPr>
        <w:pStyle w:val="PargrafodaLista"/>
        <w:rPr>
          <w:rFonts w:ascii="Verdana" w:hAnsi="Verdana" w:cs="Leelawadee"/>
          <w:sz w:val="20"/>
          <w:szCs w:val="20"/>
        </w:rPr>
      </w:pPr>
    </w:p>
    <w:p w14:paraId="02C0F6ED" w14:textId="1C1654E9" w:rsidR="00B22F63" w:rsidRPr="002C3F9C" w:rsidRDefault="00B22F63" w:rsidP="002C3F9C">
      <w:pPr>
        <w:pStyle w:val="PargrafodaLista"/>
        <w:numPr>
          <w:ilvl w:val="2"/>
          <w:numId w:val="12"/>
        </w:numPr>
        <w:tabs>
          <w:tab w:val="left" w:pos="709"/>
        </w:tabs>
        <w:spacing w:line="360" w:lineRule="auto"/>
        <w:ind w:left="709" w:firstLine="0"/>
        <w:jc w:val="both"/>
        <w:rPr>
          <w:rFonts w:ascii="Verdana" w:hAnsi="Verdana" w:cs="Leelawadee"/>
          <w:sz w:val="20"/>
          <w:szCs w:val="20"/>
        </w:rPr>
      </w:pPr>
      <w:r w:rsidRPr="002C3F9C">
        <w:rPr>
          <w:rFonts w:ascii="Verdana" w:hAnsi="Verdana" w:cs="Tahoma"/>
          <w:sz w:val="20"/>
          <w:szCs w:val="20"/>
        </w:rPr>
        <w:t xml:space="preserve">O Preço de Cessão deverá ser atualizado monetariamente e remunerado pela </w:t>
      </w:r>
      <w:r w:rsidR="0063627A">
        <w:rPr>
          <w:rFonts w:ascii="Verdana" w:hAnsi="Verdana" w:cs="Tahoma"/>
          <w:sz w:val="20"/>
          <w:szCs w:val="20"/>
        </w:rPr>
        <w:t xml:space="preserve">mesma </w:t>
      </w:r>
      <w:r w:rsidRPr="002C3F9C">
        <w:rPr>
          <w:rFonts w:ascii="Verdana" w:hAnsi="Verdana" w:cs="Tahoma"/>
          <w:sz w:val="20"/>
          <w:szCs w:val="20"/>
        </w:rPr>
        <w:t xml:space="preserve">taxa de juros </w:t>
      </w:r>
      <w:r w:rsidR="0063627A">
        <w:rPr>
          <w:rFonts w:ascii="Verdana" w:hAnsi="Verdana" w:cs="Tahoma"/>
          <w:sz w:val="20"/>
          <w:szCs w:val="20"/>
        </w:rPr>
        <w:t xml:space="preserve">que remunera </w:t>
      </w:r>
      <w:r w:rsidRPr="002C3F9C">
        <w:rPr>
          <w:rFonts w:ascii="Verdana" w:hAnsi="Verdana" w:cs="Tahoma"/>
          <w:sz w:val="20"/>
          <w:szCs w:val="20"/>
        </w:rPr>
        <w:t xml:space="preserve">os CRI, de forma </w:t>
      </w:r>
      <w:r w:rsidRPr="002C3F9C">
        <w:rPr>
          <w:rFonts w:ascii="Verdana" w:hAnsi="Verdana" w:cs="Tahoma"/>
          <w:i/>
          <w:sz w:val="20"/>
          <w:szCs w:val="20"/>
        </w:rPr>
        <w:t>pro-rata-</w:t>
      </w:r>
      <w:proofErr w:type="spellStart"/>
      <w:r w:rsidRPr="002C3F9C">
        <w:rPr>
          <w:rFonts w:ascii="Verdana" w:hAnsi="Verdana" w:cs="Tahoma"/>
          <w:i/>
          <w:sz w:val="20"/>
          <w:szCs w:val="20"/>
        </w:rPr>
        <w:t>temporis</w:t>
      </w:r>
      <w:proofErr w:type="spellEnd"/>
      <w:r w:rsidRPr="002C3F9C">
        <w:rPr>
          <w:rFonts w:ascii="Verdana" w:hAnsi="Verdana" w:cs="Tahoma"/>
          <w:sz w:val="20"/>
          <w:szCs w:val="20"/>
        </w:rPr>
        <w:t xml:space="preserve">, desde a </w:t>
      </w:r>
      <w:r w:rsidR="00347955" w:rsidRPr="002C3F9C">
        <w:rPr>
          <w:rFonts w:ascii="Verdana" w:hAnsi="Verdana" w:cs="Tahoma"/>
          <w:sz w:val="20"/>
          <w:szCs w:val="20"/>
        </w:rPr>
        <w:t xml:space="preserve">Data de Emissão </w:t>
      </w:r>
      <w:r w:rsidRPr="002C3F9C">
        <w:rPr>
          <w:rFonts w:ascii="Verdana" w:hAnsi="Verdana" w:cs="Tahoma"/>
          <w:sz w:val="20"/>
          <w:szCs w:val="20"/>
        </w:rPr>
        <w:t>do C</w:t>
      </w:r>
      <w:r w:rsidR="00347955" w:rsidRPr="002C3F9C">
        <w:rPr>
          <w:rFonts w:ascii="Verdana" w:hAnsi="Verdana" w:cs="Tahoma"/>
          <w:sz w:val="20"/>
          <w:szCs w:val="20"/>
        </w:rPr>
        <w:t>RI</w:t>
      </w:r>
      <w:r w:rsidRPr="002C3F9C">
        <w:rPr>
          <w:rFonts w:ascii="Verdana" w:hAnsi="Verdana" w:cs="Tahoma"/>
          <w:sz w:val="20"/>
          <w:szCs w:val="20"/>
        </w:rPr>
        <w:t>, até a data d</w:t>
      </w:r>
      <w:r w:rsidR="0063627A">
        <w:rPr>
          <w:rFonts w:ascii="Verdana" w:hAnsi="Verdana" w:cs="Tahoma"/>
          <w:sz w:val="20"/>
          <w:szCs w:val="20"/>
        </w:rPr>
        <w:t>o</w:t>
      </w:r>
      <w:r w:rsidRPr="002C3F9C">
        <w:rPr>
          <w:rFonts w:ascii="Verdana" w:hAnsi="Verdana" w:cs="Tahoma"/>
          <w:sz w:val="20"/>
          <w:szCs w:val="20"/>
        </w:rPr>
        <w:t xml:space="preserve"> efetivo pagamento</w:t>
      </w:r>
      <w:r w:rsidR="0063627A">
        <w:rPr>
          <w:rFonts w:ascii="Verdana" w:hAnsi="Verdana" w:cs="Tahoma"/>
          <w:sz w:val="20"/>
          <w:szCs w:val="20"/>
        </w:rPr>
        <w:t xml:space="preserve"> pela Cessionária às Cedentes</w:t>
      </w:r>
      <w:r w:rsidRPr="002C3F9C">
        <w:rPr>
          <w:rFonts w:ascii="Verdana" w:hAnsi="Verdana" w:cs="Tahoma"/>
          <w:sz w:val="20"/>
          <w:szCs w:val="20"/>
        </w:rPr>
        <w:t xml:space="preserve">, </w:t>
      </w:r>
      <w:r w:rsidR="00A83453">
        <w:rPr>
          <w:rFonts w:ascii="Verdana" w:hAnsi="Verdana" w:cs="Tahoma"/>
          <w:sz w:val="20"/>
          <w:szCs w:val="20"/>
        </w:rPr>
        <w:t xml:space="preserve">a cada data de integralização dos </w:t>
      </w:r>
      <w:r w:rsidRPr="002C3F9C">
        <w:rPr>
          <w:rFonts w:ascii="Verdana" w:hAnsi="Verdana" w:cs="Tahoma"/>
          <w:sz w:val="20"/>
          <w:szCs w:val="20"/>
        </w:rPr>
        <w:t>CRI.</w:t>
      </w:r>
      <w:r w:rsidR="00A37D92">
        <w:rPr>
          <w:rFonts w:ascii="Verdana" w:hAnsi="Verdana" w:cs="Tahoma"/>
          <w:sz w:val="20"/>
          <w:szCs w:val="20"/>
        </w:rPr>
        <w:t xml:space="preserve"> [</w:t>
      </w:r>
      <w:r w:rsidR="00A37D92" w:rsidRPr="002C3F9C">
        <w:rPr>
          <w:rFonts w:ascii="Verdana" w:hAnsi="Verdana" w:cs="Tahoma"/>
          <w:sz w:val="20"/>
          <w:szCs w:val="20"/>
          <w:highlight w:val="yellow"/>
        </w:rPr>
        <w:t>Comentário Gaia: favor confirmar mecanismo de atualização. Caso a transferência ocorra 1 dia útil após o recebimento pela Gaia, transferiremos o valor recebido sem atualização</w:t>
      </w:r>
      <w:r w:rsidR="00A37D92">
        <w:rPr>
          <w:rFonts w:ascii="Verdana" w:hAnsi="Verdana" w:cs="Tahoma"/>
          <w:sz w:val="20"/>
          <w:szCs w:val="20"/>
        </w:rPr>
        <w:t>]</w:t>
      </w:r>
      <w:r w:rsidR="00FD18B0">
        <w:rPr>
          <w:rStyle w:val="Refdenotaderodap"/>
          <w:rFonts w:ascii="Verdana" w:hAnsi="Verdana" w:cs="Tahoma"/>
          <w:sz w:val="20"/>
          <w:szCs w:val="20"/>
        </w:rPr>
        <w:footnoteReference w:id="3"/>
      </w:r>
    </w:p>
    <w:p w14:paraId="25C2B92B" w14:textId="77777777" w:rsidR="006941F6" w:rsidRPr="00DA1BE2" w:rsidRDefault="006941F6" w:rsidP="00633E46">
      <w:pPr>
        <w:pStyle w:val="SemEspaamento"/>
      </w:pPr>
    </w:p>
    <w:p w14:paraId="30183B22" w14:textId="218B993C" w:rsidR="00476F96"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bookmarkStart w:id="22"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em até 1 (um) Dia Útil, diretamente nas seguintes contas correntes: </w:t>
      </w:r>
    </w:p>
    <w:p w14:paraId="7DD84F49" w14:textId="77777777" w:rsidR="002747B6" w:rsidRDefault="002747B6" w:rsidP="002747B6">
      <w:pPr>
        <w:pStyle w:val="SemEspaamento"/>
      </w:pPr>
    </w:p>
    <w:p w14:paraId="340C75E9" w14:textId="1CFBCE35" w:rsidR="00021A62" w:rsidRDefault="00476F9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513065"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Banco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SemEspaamento"/>
      </w:pPr>
    </w:p>
    <w:p w14:paraId="328D5584" w14:textId="032280E1" w:rsidR="002747B6" w:rsidRPr="00DA1BE2" w:rsidRDefault="002747B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RB Capital </w:t>
      </w:r>
      <w:r w:rsidRPr="00DA1BE2">
        <w:rPr>
          <w:rFonts w:ascii="Verdana" w:hAnsi="Verdana" w:cs="Leelawadee"/>
          <w:sz w:val="20"/>
          <w:szCs w:val="20"/>
        </w:rPr>
        <w:t xml:space="preserve">na conta corrente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agência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Banco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SemEspaamento"/>
      </w:pPr>
    </w:p>
    <w:p w14:paraId="7BC4D42E" w14:textId="07AFDC4A" w:rsidR="00AA11CD" w:rsidRPr="00DA1BE2" w:rsidRDefault="00AA11CD" w:rsidP="001F3AB7">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 com base, exclusivamente, nos recursos provenientes da integralização dos CRI, pelos investidores</w:t>
      </w:r>
      <w:r w:rsidR="00C20AE4" w:rsidRPr="00DA1BE2">
        <w:rPr>
          <w:rFonts w:ascii="Verdana" w:hAnsi="Verdana" w:cs="Leelawadee"/>
          <w:sz w:val="20"/>
          <w:szCs w:val="20"/>
        </w:rPr>
        <w:t>, sendo</w:t>
      </w:r>
      <w:r w:rsidR="00C960B5">
        <w:rPr>
          <w:rFonts w:ascii="Verdana" w:hAnsi="Verdana" w:cs="Leelawadee"/>
          <w:sz w:val="20"/>
          <w:szCs w:val="20"/>
        </w:rPr>
        <w:t>,</w:t>
      </w:r>
      <w:r w:rsidR="00C20AE4" w:rsidRPr="00DA1BE2">
        <w:rPr>
          <w:rFonts w:ascii="Verdana" w:hAnsi="Verdana" w:cs="Leelawadee"/>
          <w:sz w:val="20"/>
          <w:szCs w:val="20"/>
        </w:rPr>
        <w:t xml:space="preserve"> inclusive, a data de integralização, ou as respectivas datas de integralização, caso ocorram integralizações em datas diversas, o termo inicial da contagem do prazo de 1 (um) Dia Útil</w:t>
      </w:r>
      <w:r w:rsidR="001F3AB7" w:rsidRPr="00DA1BE2">
        <w:rPr>
          <w:rFonts w:ascii="Verdana" w:hAnsi="Verdana" w:cs="Leelawadee"/>
          <w:sz w:val="20"/>
          <w:szCs w:val="20"/>
        </w:rPr>
        <w:t>, acima previsto.</w:t>
      </w:r>
    </w:p>
    <w:p w14:paraId="0C64CC62" w14:textId="77777777" w:rsidR="00AA11CD" w:rsidRPr="00DA1BE2" w:rsidRDefault="00AA11CD" w:rsidP="00AE0D13">
      <w:pPr>
        <w:pStyle w:val="SemEspaamento"/>
      </w:pPr>
    </w:p>
    <w:p w14:paraId="4903E832" w14:textId="7CD72459"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22"/>
    <w:p w14:paraId="35EFA22D" w14:textId="77777777" w:rsidR="00021A62" w:rsidRPr="00DA1BE2" w:rsidRDefault="00021A62" w:rsidP="00330D06">
      <w:pPr>
        <w:pStyle w:val="SemEspaamento"/>
      </w:pPr>
    </w:p>
    <w:p w14:paraId="452D7449" w14:textId="3869C501"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SemEspaamento"/>
      </w:pPr>
      <w:bookmarkStart w:id="23" w:name="_Hlk23181601"/>
    </w:p>
    <w:p w14:paraId="75101563" w14:textId="43E79F37" w:rsidR="00794936" w:rsidRDefault="007A1025"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Pr>
          <w:rFonts w:ascii="Verdana" w:hAnsi="Verdana" w:cs="Leelawadee"/>
          <w:sz w:val="20"/>
          <w:szCs w:val="20"/>
        </w:rPr>
        <w:t>em circulação,</w:t>
      </w:r>
      <w:r w:rsidR="00D00D80">
        <w:rPr>
          <w:rFonts w:ascii="Verdana" w:hAnsi="Verdana" w:cs="Leelawadee"/>
          <w:sz w:val="20"/>
          <w:szCs w:val="20"/>
        </w:rPr>
        <w:t xml:space="preserve"> pela RB SEC</w:t>
      </w:r>
      <w:r>
        <w:rPr>
          <w:rFonts w:ascii="Verdana" w:hAnsi="Verdana" w:cs="Leelawadee"/>
          <w:sz w:val="20"/>
          <w:szCs w:val="20"/>
        </w:rPr>
        <w:t>, com a consequente liberação das CCI Primeiro Aditamento junto à Instituição Custodiante</w:t>
      </w:r>
      <w:r w:rsidR="00794936" w:rsidRPr="00DA1BE2">
        <w:rPr>
          <w:rFonts w:ascii="Verdana" w:hAnsi="Verdana" w:cs="Leelawadee"/>
          <w:sz w:val="20"/>
          <w:szCs w:val="20"/>
        </w:rPr>
        <w:t>;</w:t>
      </w:r>
    </w:p>
    <w:p w14:paraId="36AF6791" w14:textId="0224FC12" w:rsidR="00A83453" w:rsidRDefault="00A83453" w:rsidP="00A83453">
      <w:pPr>
        <w:tabs>
          <w:tab w:val="left" w:pos="1418"/>
        </w:tabs>
        <w:spacing w:line="360" w:lineRule="auto"/>
        <w:jc w:val="both"/>
        <w:rPr>
          <w:rFonts w:ascii="Verdana" w:hAnsi="Verdana" w:cs="Leelawadee"/>
          <w:sz w:val="20"/>
          <w:szCs w:val="20"/>
        </w:rPr>
      </w:pPr>
    </w:p>
    <w:p w14:paraId="5FE70293" w14:textId="50D12A82" w:rsidR="00A83453" w:rsidRDefault="00A83453" w:rsidP="00A83453">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vinculação das CCI Primeiro Aditamento aos CRI pela Cessionária;</w:t>
      </w:r>
    </w:p>
    <w:p w14:paraId="7AAFA3FF" w14:textId="77777777" w:rsidR="00A83453" w:rsidRDefault="00A83453" w:rsidP="002C3F9C">
      <w:pPr>
        <w:pStyle w:val="PargrafodaLista"/>
        <w:rPr>
          <w:rFonts w:ascii="Verdana" w:hAnsi="Verdana" w:cs="Leelawadee"/>
          <w:sz w:val="20"/>
          <w:szCs w:val="20"/>
        </w:rPr>
      </w:pPr>
    </w:p>
    <w:p w14:paraId="08889458" w14:textId="3F002D24" w:rsidR="00A83453" w:rsidRDefault="00A83453" w:rsidP="002C3F9C">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início do procedimento de distribuição pública dos CRI no mercado pelo Coordenador Líder;</w:t>
      </w:r>
    </w:p>
    <w:p w14:paraId="649BE3CD" w14:textId="77777777" w:rsidR="00990213" w:rsidRDefault="00990213" w:rsidP="002C3F9C">
      <w:pPr>
        <w:tabs>
          <w:tab w:val="left" w:pos="1418"/>
        </w:tabs>
        <w:spacing w:line="360" w:lineRule="auto"/>
        <w:ind w:left="709"/>
        <w:jc w:val="both"/>
        <w:rPr>
          <w:rFonts w:ascii="Verdana" w:hAnsi="Verdana" w:cs="Leelawadee"/>
          <w:sz w:val="20"/>
          <w:szCs w:val="20"/>
        </w:rPr>
      </w:pPr>
    </w:p>
    <w:p w14:paraId="62FA17AD" w14:textId="40A1E48F" w:rsidR="00221383" w:rsidRPr="00DA1BE2" w:rsidRDefault="001F786B"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w:t>
      </w:r>
      <w:r w:rsidR="00221383">
        <w:rPr>
          <w:rFonts w:ascii="Verdana" w:hAnsi="Verdana" w:cs="Leelawadee"/>
          <w:sz w:val="20"/>
          <w:szCs w:val="20"/>
        </w:rPr>
        <w:t>ntegralização 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38F49EF1" w14:textId="77777777" w:rsidR="009B4B09" w:rsidRPr="00DA1BE2" w:rsidRDefault="009B4B09" w:rsidP="00330D06">
      <w:pPr>
        <w:pStyle w:val="SemEspaamento"/>
      </w:pPr>
    </w:p>
    <w:p w14:paraId="03616D3F" w14:textId="1DCA1DE3" w:rsidR="00794936" w:rsidRPr="00DA1BE2" w:rsidRDefault="00794936" w:rsidP="00D74FD8">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comprovação d</w:t>
      </w:r>
      <w:r w:rsidR="00E34EF8" w:rsidRPr="00DA1BE2">
        <w:rPr>
          <w:rFonts w:ascii="Verdana" w:hAnsi="Verdana" w:cs="Leelawadee"/>
          <w:sz w:val="20"/>
          <w:szCs w:val="20"/>
        </w:rPr>
        <w:t>e envio de</w:t>
      </w:r>
      <w:r w:rsidRPr="00DA1BE2">
        <w:rPr>
          <w:rFonts w:ascii="Verdana" w:hAnsi="Verdana" w:cs="Leelawadee"/>
          <w:sz w:val="20"/>
          <w:szCs w:val="20"/>
        </w:rPr>
        <w:t xml:space="preserve"> notificação da Devedora,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da formalização deste </w:t>
      </w:r>
      <w:r w:rsidR="00C64C88" w:rsidRPr="00DA1BE2">
        <w:rPr>
          <w:rFonts w:ascii="Verdana" w:hAnsi="Verdana" w:cs="Leelawadee"/>
          <w:sz w:val="20"/>
          <w:szCs w:val="20"/>
        </w:rPr>
        <w:t>Contrato</w:t>
      </w:r>
      <w:r w:rsidRPr="00DA1BE2">
        <w:rPr>
          <w:rFonts w:ascii="Verdana" w:hAnsi="Verdana" w:cs="Leelawadee"/>
          <w:sz w:val="20"/>
          <w:szCs w:val="20"/>
        </w:rPr>
        <w:t xml:space="preserve">, para que todos e quaisquer pagamentos referentes aos Créditos Imobiliários sejam realizados diretamente à </w:t>
      </w:r>
      <w:r w:rsidR="00C23E4A">
        <w:rPr>
          <w:rFonts w:ascii="Verdana" w:hAnsi="Verdana" w:cs="Leelawadee"/>
          <w:sz w:val="20"/>
          <w:szCs w:val="20"/>
        </w:rPr>
        <w:t>Cessionária</w:t>
      </w:r>
      <w:r w:rsidR="001F786B">
        <w:rPr>
          <w:rFonts w:ascii="Verdana" w:hAnsi="Verdana" w:cs="Leelawadee"/>
          <w:sz w:val="20"/>
          <w:szCs w:val="20"/>
        </w:rPr>
        <w:t xml:space="preserve"> a partir desta data</w:t>
      </w:r>
      <w:r w:rsidRPr="00DA1BE2">
        <w:rPr>
          <w:rFonts w:ascii="Verdana" w:hAnsi="Verdana" w:cs="Leelawadee"/>
          <w:sz w:val="20"/>
          <w:szCs w:val="20"/>
        </w:rPr>
        <w:t>;</w:t>
      </w:r>
    </w:p>
    <w:p w14:paraId="74F499BD" w14:textId="77777777" w:rsidR="009B4B09" w:rsidRPr="00DA1BE2" w:rsidRDefault="009B4B09" w:rsidP="00AE262A">
      <w:pPr>
        <w:pStyle w:val="SemEspaamento"/>
      </w:pPr>
    </w:p>
    <w:p w14:paraId="54636F25" w14:textId="249AF3C7" w:rsidR="00794BF8" w:rsidRPr="00DA1BE2" w:rsidRDefault="00221383" w:rsidP="00794BF8">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protocolo</w:t>
      </w:r>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1F786B">
        <w:rPr>
          <w:rFonts w:ascii="Verdana" w:hAnsi="Verdana" w:cs="Leelawadee"/>
          <w:sz w:val="20"/>
          <w:szCs w:val="20"/>
        </w:rPr>
        <w:t xml:space="preserve">em até [5] dias úteis contados da sua assinatura </w:t>
      </w:r>
      <w:r w:rsidR="00794BF8" w:rsidRPr="00DA1BE2">
        <w:rPr>
          <w:rFonts w:ascii="Verdana" w:hAnsi="Verdana" w:cs="Leelawadee"/>
          <w:sz w:val="20"/>
          <w:szCs w:val="20"/>
        </w:rPr>
        <w:t>perante o Cartório de Registro de Títulos e Documentos da sede das Partes</w:t>
      </w:r>
      <w:r w:rsidR="000B0547" w:rsidRPr="00DA1BE2">
        <w:rPr>
          <w:rFonts w:ascii="Verdana" w:hAnsi="Verdana" w:cs="Leelawadee"/>
          <w:sz w:val="20"/>
          <w:szCs w:val="20"/>
        </w:rPr>
        <w:t>;</w:t>
      </w:r>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conclusão, de forma satisfatória, do procedimento de auditoria jurídica (</w:t>
      </w:r>
      <w:proofErr w:type="spellStart"/>
      <w:r w:rsidRPr="00DA1BE2">
        <w:rPr>
          <w:rFonts w:ascii="Verdana" w:hAnsi="Verdana" w:cs="Leelawadee"/>
          <w:i/>
          <w:iCs/>
          <w:sz w:val="20"/>
          <w:szCs w:val="20"/>
        </w:rPr>
        <w:t>due</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diligence</w:t>
      </w:r>
      <w:proofErr w:type="spellEnd"/>
      <w:r w:rsidRPr="00DA1BE2">
        <w:rPr>
          <w:rFonts w:ascii="Verdana" w:hAnsi="Verdana" w:cs="Leelawadee"/>
          <w:sz w:val="20"/>
          <w:szCs w:val="20"/>
        </w:rPr>
        <w:t>); e</w:t>
      </w:r>
    </w:p>
    <w:p w14:paraId="108DA64C" w14:textId="5FC11516" w:rsidR="00FD1A80" w:rsidRPr="00DA1BE2" w:rsidRDefault="00FD1A80" w:rsidP="00330D06">
      <w:pPr>
        <w:pStyle w:val="SemEspaamento"/>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SemEspaamento"/>
      </w:pPr>
    </w:p>
    <w:p w14:paraId="7AFA4616" w14:textId="3CF21DA3" w:rsidR="00021A62" w:rsidRPr="00DA1BE2" w:rsidRDefault="00E57DEF"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ou dispensadas expressamente de cumprimento pela 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BDE9D4D" w14:textId="77777777" w:rsidR="00EE2570" w:rsidRPr="00DA1BE2" w:rsidRDefault="00EE2570" w:rsidP="00AE262A">
      <w:pPr>
        <w:pStyle w:val="SemEspaamento"/>
      </w:pPr>
    </w:p>
    <w:bookmarkEnd w:id="23"/>
    <w:p w14:paraId="668B8389" w14:textId="5854178E"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 </w:t>
      </w:r>
      <w:r w:rsidR="00790A47" w:rsidRPr="00DA1BE2">
        <w:rPr>
          <w:rFonts w:ascii="Verdana" w:hAnsi="Verdana" w:cs="Leelawadee"/>
          <w:sz w:val="20"/>
          <w:szCs w:val="20"/>
          <w:lang w:bidi="pa-IN"/>
        </w:rPr>
        <w:t>Data Base da Cessão</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8317-8</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AE262A">
      <w:pPr>
        <w:pStyle w:val="SemEspaamento"/>
        <w:rPr>
          <w:lang w:bidi="pa-IN"/>
        </w:rPr>
      </w:pPr>
    </w:p>
    <w:p w14:paraId="2B80C39F" w14:textId="7D6B741E" w:rsidR="00021A62" w:rsidRPr="00DA1BE2" w:rsidRDefault="00543AC2" w:rsidP="00621703">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w:t>
      </w:r>
      <w:proofErr w:type="spellStart"/>
      <w:r w:rsidRPr="00DA1BE2">
        <w:rPr>
          <w:rFonts w:ascii="Verdana" w:hAnsi="Verdana" w:cs="Leelawadee"/>
          <w:b/>
          <w:bCs/>
          <w:sz w:val="20"/>
          <w:szCs w:val="20"/>
        </w:rPr>
        <w:t>ii</w:t>
      </w:r>
      <w:proofErr w:type="spellEnd"/>
      <w:r w:rsidRPr="00DA1BE2">
        <w:rPr>
          <w:rFonts w:ascii="Verdana" w:hAnsi="Verdana" w:cs="Leelawadee"/>
          <w:b/>
          <w:bCs/>
          <w:sz w:val="20"/>
          <w:szCs w:val="20"/>
        </w:rPr>
        <w:t>)</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w:t>
      </w:r>
      <w:proofErr w:type="spellStart"/>
      <w:r w:rsidRPr="00DA1BE2">
        <w:rPr>
          <w:rFonts w:ascii="Verdana" w:hAnsi="Verdana" w:cs="Leelawadee"/>
          <w:b/>
          <w:bCs/>
          <w:sz w:val="20"/>
          <w:szCs w:val="20"/>
        </w:rPr>
        <w:t>iii</w:t>
      </w:r>
      <w:proofErr w:type="spellEnd"/>
      <w:r w:rsidRPr="00DA1BE2">
        <w:rPr>
          <w:rFonts w:ascii="Verdana" w:hAnsi="Verdana" w:cs="Leelawadee"/>
          <w:b/>
          <w:bCs/>
          <w:sz w:val="20"/>
          <w:szCs w:val="20"/>
        </w:rPr>
        <w:t>)</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SemEspaamento"/>
        <w:rPr>
          <w:lang w:bidi="pa-IN"/>
        </w:rPr>
      </w:pPr>
    </w:p>
    <w:p w14:paraId="1AC54132" w14:textId="30E212B7" w:rsidR="00021A62" w:rsidRPr="00DA1BE2" w:rsidRDefault="00543AC2" w:rsidP="0063357F">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SemEspaamento"/>
        <w:rPr>
          <w:lang w:bidi="pa-IN"/>
        </w:rPr>
      </w:pPr>
    </w:p>
    <w:p w14:paraId="2940D635" w14:textId="77777777" w:rsidR="00021A62" w:rsidRPr="00DA1BE2" w:rsidRDefault="00543AC2" w:rsidP="00D701E1">
      <w:pPr>
        <w:pStyle w:val="Ttulo2"/>
        <w:keepNext/>
        <w:spacing w:line="360" w:lineRule="auto"/>
        <w:jc w:val="both"/>
        <w:rPr>
          <w:rFonts w:ascii="Verdana" w:hAnsi="Verdana" w:cs="Leelawadee"/>
          <w:b/>
        </w:rPr>
      </w:pPr>
      <w:bookmarkStart w:id="24"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24"/>
    </w:p>
    <w:p w14:paraId="37666C06" w14:textId="1AD2C269" w:rsidR="00021A62" w:rsidRPr="00DA1BE2" w:rsidRDefault="00021A62" w:rsidP="00330D06">
      <w:pPr>
        <w:pStyle w:val="SemEspaamento"/>
      </w:pPr>
    </w:p>
    <w:p w14:paraId="0BC3C302" w14:textId="17B5E7E3"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neste ato, 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na </w:t>
      </w:r>
      <w:r w:rsidR="00CA3529" w:rsidRPr="00DA1BE2">
        <w:rPr>
          <w:rFonts w:ascii="Verdana" w:hAnsi="Verdana"/>
          <w:sz w:val="20"/>
          <w:szCs w:val="20"/>
        </w:rPr>
        <w:t>Data Base da Cessão</w:t>
      </w:r>
      <w:r w:rsidR="00D161A6" w:rsidRPr="00DA1BE2">
        <w:rPr>
          <w:rFonts w:ascii="Verdana" w:hAnsi="Verdana"/>
          <w:sz w:val="20"/>
          <w:szCs w:val="20"/>
        </w:rPr>
        <w:t>, que:</w:t>
      </w:r>
    </w:p>
    <w:p w14:paraId="701CE789" w14:textId="77777777" w:rsidR="00D161A6" w:rsidRPr="00DA1BE2" w:rsidRDefault="00D161A6" w:rsidP="00330D06">
      <w:pPr>
        <w:pStyle w:val="SemEspaamento"/>
        <w:rPr>
          <w:lang w:bidi="pa-IN"/>
        </w:rPr>
      </w:pPr>
    </w:p>
    <w:p w14:paraId="1FEB5B5F" w14:textId="0A6BF390"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os Créditos Imobiliários </w:t>
      </w:r>
      <w:r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Pr="00DA1BE2">
        <w:rPr>
          <w:rFonts w:ascii="Verdana" w:hAnsi="Verdana"/>
          <w:spacing w:val="4"/>
          <w:sz w:val="20"/>
          <w:szCs w:val="20"/>
        </w:rPr>
        <w:t>legítima</w:t>
      </w:r>
      <w:r w:rsidR="004409B9">
        <w:rPr>
          <w:rFonts w:ascii="Verdana" w:hAnsi="Verdana"/>
          <w:spacing w:val="4"/>
          <w:sz w:val="20"/>
          <w:szCs w:val="20"/>
        </w:rPr>
        <w:t>s</w:t>
      </w:r>
      <w:r w:rsidRPr="00DA1BE2">
        <w:rPr>
          <w:rFonts w:ascii="Verdana" w:hAnsi="Verdana"/>
          <w:spacing w:val="4"/>
          <w:sz w:val="20"/>
          <w:szCs w:val="20"/>
        </w:rPr>
        <w:t xml:space="preserve"> e exclusiva</w:t>
      </w:r>
      <w:r w:rsidR="004409B9">
        <w:rPr>
          <w:rFonts w:ascii="Verdana" w:hAnsi="Verdana"/>
          <w:spacing w:val="4"/>
          <w:sz w:val="20"/>
          <w:szCs w:val="20"/>
        </w:rPr>
        <w:t>s</w:t>
      </w:r>
      <w:r w:rsidRPr="00DA1BE2">
        <w:rPr>
          <w:rFonts w:ascii="Verdana" w:hAnsi="Verdana"/>
          <w:spacing w:val="4"/>
          <w:sz w:val="20"/>
          <w:szCs w:val="20"/>
        </w:rPr>
        <w:t xml:space="preserve"> titularidade</w:t>
      </w:r>
      <w:r w:rsidR="004409B9">
        <w:rPr>
          <w:rFonts w:ascii="Verdana" w:hAnsi="Verdana"/>
          <w:spacing w:val="4"/>
          <w:sz w:val="20"/>
          <w:szCs w:val="20"/>
        </w:rPr>
        <w:t>, em especial,</w:t>
      </w:r>
      <w:r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Pr="00DA1BE2">
        <w:rPr>
          <w:rFonts w:ascii="Verdana" w:hAnsi="Verdana"/>
          <w:sz w:val="20"/>
          <w:szCs w:val="20"/>
        </w:rPr>
        <w:t>,</w:t>
      </w:r>
      <w:r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Pr="00DA1BE2">
        <w:rPr>
          <w:rFonts w:ascii="Verdana" w:hAnsi="Verdana"/>
          <w:sz w:val="20"/>
          <w:szCs w:val="20"/>
        </w:rPr>
        <w:t>;</w:t>
      </w:r>
      <w:r w:rsidR="00100347">
        <w:rPr>
          <w:rFonts w:ascii="Verdana" w:hAnsi="Verdana"/>
          <w:sz w:val="20"/>
          <w:szCs w:val="20"/>
        </w:rPr>
        <w:t xml:space="preserve"> </w:t>
      </w:r>
      <w:r w:rsidR="00100347" w:rsidRPr="002C3F9C">
        <w:rPr>
          <w:rFonts w:ascii="Verdana" w:hAnsi="Verdana"/>
          <w:sz w:val="20"/>
          <w:szCs w:val="20"/>
          <w:highlight w:val="yellow"/>
        </w:rPr>
        <w:t xml:space="preserve">[Comentário Gaia: favor avaliar se é possível prestar essa declaração já que uma das </w:t>
      </w:r>
      <w:proofErr w:type="spellStart"/>
      <w:r w:rsidR="00100347" w:rsidRPr="002C3F9C">
        <w:rPr>
          <w:rFonts w:ascii="Verdana" w:hAnsi="Verdana"/>
          <w:sz w:val="20"/>
          <w:szCs w:val="20"/>
          <w:highlight w:val="yellow"/>
        </w:rPr>
        <w:t>CCIs</w:t>
      </w:r>
      <w:proofErr w:type="spellEnd"/>
      <w:r w:rsidR="00100347" w:rsidRPr="002C3F9C">
        <w:rPr>
          <w:rFonts w:ascii="Verdana" w:hAnsi="Verdana"/>
          <w:sz w:val="20"/>
          <w:szCs w:val="20"/>
          <w:highlight w:val="yellow"/>
        </w:rPr>
        <w:t xml:space="preserve"> encontra-se vinculada ao CRI RB]</w:t>
      </w:r>
      <w:r w:rsidR="00120112">
        <w:rPr>
          <w:rStyle w:val="Refdenotaderodap"/>
          <w:rFonts w:ascii="Verdana" w:hAnsi="Verdana"/>
          <w:sz w:val="20"/>
          <w:szCs w:val="20"/>
          <w:highlight w:val="yellow"/>
        </w:rPr>
        <w:footnoteReference w:id="4"/>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lastRenderedPageBreak/>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SemEspaamento"/>
      </w:pPr>
    </w:p>
    <w:p w14:paraId="768659BF" w14:textId="33C06FAD" w:rsidR="00D161A6" w:rsidRPr="00DA1BE2" w:rsidRDefault="00B7429C"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no</w:t>
      </w:r>
      <w:r w:rsidR="00D161A6" w:rsidRPr="00DA1BE2">
        <w:rPr>
          <w:rFonts w:ascii="Verdana" w:hAnsi="Verdana"/>
          <w:sz w:val="20"/>
          <w:szCs w:val="20"/>
        </w:rPr>
        <w:t xml:space="preserve"> seu melhor conhecimento inexiste,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SemEspaamento"/>
        <w:rPr>
          <w:lang w:bidi="pa-IN"/>
        </w:rPr>
      </w:pPr>
    </w:p>
    <w:p w14:paraId="655255D3" w14:textId="65AFA53A" w:rsidR="00AB743F" w:rsidRPr="00DA1BE2" w:rsidRDefault="00AB743F" w:rsidP="009325A9">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SemEspaamento"/>
        <w:rPr>
          <w:lang w:bidi="pa-IN"/>
        </w:rPr>
      </w:pPr>
    </w:p>
    <w:p w14:paraId="4C1021FC" w14:textId="1F95D8BF"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SemEspaamento"/>
      </w:pPr>
    </w:p>
    <w:p w14:paraId="476D97D7" w14:textId="5F37D019" w:rsidR="00AB743F" w:rsidRPr="00DA1BE2" w:rsidRDefault="00AB743F" w:rsidP="0045192D">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SemEspaamento"/>
      </w:pPr>
    </w:p>
    <w:p w14:paraId="7FA22065" w14:textId="2BE5A881"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SemEspaamento"/>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842D6">
      <w:pPr>
        <w:pStyle w:val="SemEspaamento"/>
        <w:rPr>
          <w:lang w:bidi="pa-IN"/>
        </w:rPr>
      </w:pPr>
    </w:p>
    <w:p w14:paraId="70E87962" w14:textId="5C1E2D24"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na </w:t>
      </w:r>
      <w:r w:rsidR="00483CB4" w:rsidRPr="00DA1BE2">
        <w:rPr>
          <w:rFonts w:ascii="Verdana" w:hAnsi="Verdana" w:cs="Leelawadee"/>
          <w:sz w:val="20"/>
          <w:szCs w:val="20"/>
        </w:rPr>
        <w:t>Data Base da Cessão</w:t>
      </w:r>
      <w:r w:rsidRPr="00DA1BE2">
        <w:rPr>
          <w:rFonts w:ascii="Verdana" w:hAnsi="Verdana" w:cs="Leelawadee"/>
          <w:sz w:val="20"/>
          <w:szCs w:val="20"/>
        </w:rPr>
        <w:t>, que:</w:t>
      </w:r>
    </w:p>
    <w:p w14:paraId="2185961F" w14:textId="77777777" w:rsidR="00021A62" w:rsidRPr="00DA1BE2" w:rsidRDefault="00021A62" w:rsidP="004842D6">
      <w:pPr>
        <w:pStyle w:val="SemEspaamento"/>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w:t>
      </w:r>
      <w:r w:rsidR="00543AC2" w:rsidRPr="00DA1BE2">
        <w:rPr>
          <w:rFonts w:ascii="Verdana" w:hAnsi="Verdana" w:cs="Leelawadee"/>
          <w:sz w:val="20"/>
          <w:szCs w:val="20"/>
        </w:rPr>
        <w:lastRenderedPageBreak/>
        <w:t>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SemEspaamento"/>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este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SemEspaamento"/>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SemEspaamento"/>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SemEspaamento"/>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5" w:name="_DV_M206"/>
      <w:bookmarkEnd w:id="25"/>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SemEspaamento"/>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6" w:name="_DV_M207"/>
      <w:bookmarkEnd w:id="26"/>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SemEspaamento"/>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7" w:name="_DV_M208"/>
      <w:bookmarkEnd w:id="27"/>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conforme em vigor, o </w:t>
      </w:r>
      <w:r w:rsidRPr="00DA1BE2">
        <w:rPr>
          <w:rFonts w:ascii="Verdana" w:hAnsi="Verdana" w:cs="Leelawadee"/>
          <w:i/>
          <w:iCs/>
          <w:sz w:val="20"/>
          <w:szCs w:val="20"/>
        </w:rPr>
        <w:t xml:space="preserve">UK </w:t>
      </w:r>
      <w:proofErr w:type="spellStart"/>
      <w:r w:rsidRPr="00DA1BE2">
        <w:rPr>
          <w:rFonts w:ascii="Verdana" w:hAnsi="Verdana" w:cs="Leelawadee"/>
          <w:i/>
          <w:iCs/>
          <w:sz w:val="20"/>
          <w:szCs w:val="20"/>
        </w:rPr>
        <w:t>Bribery</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sz w:val="20"/>
          <w:szCs w:val="20"/>
        </w:rPr>
        <w:t xml:space="preserve"> de 2010 e a </w:t>
      </w:r>
      <w:r w:rsidRPr="00DA1BE2">
        <w:rPr>
          <w:rFonts w:ascii="Verdana" w:hAnsi="Verdana" w:cs="Leelawadee"/>
          <w:i/>
          <w:iCs/>
          <w:sz w:val="20"/>
          <w:szCs w:val="20"/>
        </w:rPr>
        <w:t xml:space="preserve">U.S. </w:t>
      </w:r>
      <w:proofErr w:type="spellStart"/>
      <w:r w:rsidRPr="00DA1BE2">
        <w:rPr>
          <w:rFonts w:ascii="Verdana" w:hAnsi="Verdana" w:cs="Leelawadee"/>
          <w:i/>
          <w:iCs/>
          <w:sz w:val="20"/>
          <w:szCs w:val="20"/>
        </w:rPr>
        <w:t>Foreign</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Corrupt</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Practices</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i/>
          <w:iCs/>
          <w:sz w:val="20"/>
          <w:szCs w:val="20"/>
        </w:rPr>
        <w:t xml:space="preserve">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w:t>
      </w:r>
      <w:r w:rsidR="00C10113" w:rsidRPr="00DA1BE2">
        <w:rPr>
          <w:rFonts w:ascii="Verdana" w:hAnsi="Verdana" w:cs="Leelawadee"/>
          <w:sz w:val="20"/>
          <w:szCs w:val="20"/>
        </w:rPr>
        <w:lastRenderedPageBreak/>
        <w:t xml:space="preserve">prática dos atos ilícitos previstos nas Leis Anticorrupção e/ou organizações antissociais e crime organizado;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iv</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SemEspaamento"/>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8" w:name="_DV_M209"/>
      <w:bookmarkEnd w:id="28"/>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SemEspaamento"/>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SemEspaamento"/>
        <w:rPr>
          <w:lang w:bidi="pa-IN"/>
        </w:rPr>
      </w:pPr>
      <w:bookmarkStart w:id="29" w:name="_Toc497474967"/>
    </w:p>
    <w:p w14:paraId="050A3506" w14:textId="77777777" w:rsidR="00021A62" w:rsidRPr="00DA1BE2" w:rsidRDefault="00543AC2" w:rsidP="003025F9">
      <w:pPr>
        <w:pStyle w:val="Ttulo2"/>
        <w:keepNext/>
        <w:spacing w:line="360" w:lineRule="auto"/>
        <w:jc w:val="both"/>
        <w:rPr>
          <w:rFonts w:ascii="Verdana" w:hAnsi="Verdana" w:cs="Leelawadee"/>
          <w:b/>
        </w:rPr>
      </w:pPr>
      <w:bookmarkStart w:id="30" w:name="_Toc497474968"/>
      <w:bookmarkEnd w:id="29"/>
      <w:r w:rsidRPr="00DA1BE2">
        <w:rPr>
          <w:rFonts w:ascii="Verdana" w:hAnsi="Verdana" w:cs="Leelawadee"/>
          <w:b/>
        </w:rPr>
        <w:t>CLÁUSULA QUINTA – ARRECADAÇÃO, ADMINISTRAÇÃO E COBRANÇA DOS CRÉDITOS IMOBILIÁRIOS</w:t>
      </w:r>
      <w:bookmarkEnd w:id="30"/>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PargrafodaLista"/>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SemEspaamento"/>
        <w:rPr>
          <w:lang w:bidi="pa-IN"/>
        </w:rPr>
      </w:pPr>
    </w:p>
    <w:p w14:paraId="10368B8A" w14:textId="0CC31831" w:rsidR="00021A62" w:rsidRPr="00DA1BE2" w:rsidRDefault="0003021F"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SemEspaamento"/>
        <w:rPr>
          <w:lang w:bidi="pa-IN"/>
        </w:rPr>
      </w:pPr>
    </w:p>
    <w:p w14:paraId="22330EC8" w14:textId="2ADE1F24" w:rsidR="00021A62" w:rsidRPr="00DA1BE2" w:rsidRDefault="00543AC2"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PargrafodaLista"/>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31" w:name="_DV_M224"/>
      <w:bookmarkStart w:id="32" w:name="_DV_M259"/>
      <w:bookmarkStart w:id="33" w:name="_DV_M260"/>
      <w:bookmarkEnd w:id="31"/>
      <w:bookmarkEnd w:id="32"/>
      <w:bookmarkEnd w:id="33"/>
      <w:r w:rsidRPr="00DA1BE2">
        <w:rPr>
          <w:rFonts w:ascii="Verdana" w:eastAsia="Times New Roman" w:hAnsi="Verdana" w:cs="Leelawadee"/>
          <w:sz w:val="20"/>
          <w:szCs w:val="20"/>
        </w:rPr>
        <w:lastRenderedPageBreak/>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SemEspaamento"/>
      </w:pPr>
    </w:p>
    <w:p w14:paraId="299EDAC3" w14:textId="3590BBE9" w:rsidR="00021A62" w:rsidRPr="00DA1BE2" w:rsidRDefault="00543AC2" w:rsidP="00596846">
      <w:pPr>
        <w:pStyle w:val="Ttulo2"/>
        <w:keepNext/>
        <w:spacing w:line="360" w:lineRule="auto"/>
        <w:rPr>
          <w:rFonts w:ascii="Verdana" w:hAnsi="Verdana" w:cs="Leelawadee"/>
          <w:b/>
        </w:rPr>
      </w:pPr>
      <w:bookmarkStart w:id="34"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34"/>
    </w:p>
    <w:p w14:paraId="4E3B2FD9" w14:textId="77777777" w:rsidR="00021A62" w:rsidRPr="00DA1BE2" w:rsidRDefault="00021A62" w:rsidP="003C24DE">
      <w:pPr>
        <w:pStyle w:val="SemEspaamento"/>
        <w:rPr>
          <w:lang w:bidi="pa-IN"/>
        </w:rPr>
      </w:pPr>
    </w:p>
    <w:p w14:paraId="4FA77CD6" w14:textId="265D7FBF" w:rsidR="00021A62" w:rsidRPr="00DA1BE2" w:rsidRDefault="00543AC2" w:rsidP="00596846">
      <w:pPr>
        <w:pStyle w:val="PargrafodaLista"/>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r w:rsidR="000E0513">
        <w:rPr>
          <w:rStyle w:val="Refdenotaderodap"/>
          <w:rFonts w:ascii="Verdana" w:hAnsi="Verdana" w:cs="Leelawadee"/>
          <w:sz w:val="20"/>
          <w:szCs w:val="20"/>
          <w:lang w:bidi="pa-IN"/>
        </w:rPr>
        <w:footnoteReference w:id="5"/>
      </w:r>
      <w:r w:rsidRPr="00DA1BE2">
        <w:rPr>
          <w:rFonts w:ascii="Verdana" w:hAnsi="Verdana" w:cs="Leelawadee"/>
          <w:sz w:val="20"/>
          <w:szCs w:val="20"/>
          <w:lang w:bidi="pa-IN"/>
        </w:rPr>
        <w:t>:</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3C24DE">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At.: </w:t>
      </w:r>
      <w:r w:rsidRPr="00B2001E">
        <w:rPr>
          <w:rFonts w:ascii="Verdana" w:eastAsia="Arial Unicode MS" w:hAnsi="Verdana" w:cs="Leelawadee"/>
          <w:highlight w:val="yellow"/>
          <w:lang w:bidi="pa-IN"/>
        </w:rPr>
        <w:t>Flavia Palacios</w:t>
      </w:r>
    </w:p>
    <w:p w14:paraId="717B8488"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Telefone: </w:t>
      </w:r>
      <w:r w:rsidRPr="00B2001E">
        <w:rPr>
          <w:rFonts w:ascii="Verdana" w:eastAsia="Arial Unicode MS" w:hAnsi="Verdana" w:cs="Leelawadee"/>
          <w:highlight w:val="yellow"/>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E-mail: </w:t>
      </w:r>
      <w:r w:rsidRPr="00B2001E">
        <w:rPr>
          <w:rFonts w:ascii="Verdana" w:hAnsi="Verdana"/>
          <w:highlight w:val="yellow"/>
        </w:rPr>
        <w:t>servicing@rbsec.com</w:t>
      </w:r>
    </w:p>
    <w:p w14:paraId="51F6F4EF" w14:textId="77777777" w:rsidR="003C24DE" w:rsidRDefault="003C24DE" w:rsidP="00B2001E">
      <w:pPr>
        <w:pStyle w:val="SemEspaamento"/>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35"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2C3F9C"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w:t>
      </w:r>
      <w:r w:rsidR="00F9757E" w:rsidRPr="002C3F9C">
        <w:rPr>
          <w:rFonts w:ascii="Verdana" w:eastAsia="Arial Unicode MS" w:hAnsi="Verdana" w:cs="Leelawadee"/>
          <w:lang w:bidi="pa-IN"/>
        </w:rPr>
        <w:t>.</w:t>
      </w:r>
      <w:r w:rsidRPr="002C3F9C">
        <w:rPr>
          <w:rFonts w:ascii="Verdana" w:eastAsia="Arial Unicode MS" w:hAnsi="Verdana" w:cs="Leelawadee"/>
          <w:lang w:bidi="pa-IN"/>
        </w:rPr>
        <w:t>538-132</w:t>
      </w:r>
    </w:p>
    <w:p w14:paraId="7E355B18" w14:textId="58FA3FB2" w:rsidR="00FC6097" w:rsidRPr="00B2001E"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 xml:space="preserve">At.: </w:t>
      </w:r>
      <w:r w:rsidR="00B2001E" w:rsidRPr="002C3F9C">
        <w:rPr>
          <w:rFonts w:ascii="Verdana" w:eastAsia="Arial Unicode MS" w:hAnsi="Verdana" w:cs="Leelawadee"/>
          <w:highlight w:val="yellow"/>
          <w:lang w:bidi="pa-IN"/>
        </w:rPr>
        <w:t>Juridico</w:t>
      </w:r>
    </w:p>
    <w:p w14:paraId="5FF4A393" w14:textId="5CACD272" w:rsidR="00FC6097" w:rsidRPr="00DA1BE2" w:rsidRDefault="00B2001E" w:rsidP="00D701E1">
      <w:pPr>
        <w:pStyle w:val="NormalJustified"/>
        <w:spacing w:line="360" w:lineRule="auto"/>
        <w:rPr>
          <w:rFonts w:ascii="Verdana" w:eastAsia="Arial Unicode MS" w:hAnsi="Verdana" w:cs="Leelawadee"/>
          <w:lang w:bidi="pa-IN"/>
        </w:rPr>
      </w:pPr>
      <w:r>
        <w:rPr>
          <w:rFonts w:ascii="Verdana" w:eastAsia="Arial Unicode MS" w:hAnsi="Verdana" w:cs="Leelawadee"/>
          <w:lang w:bidi="pa-IN"/>
        </w:rPr>
        <w:t xml:space="preserve">Telefone: </w:t>
      </w:r>
      <w:r w:rsidRPr="00B2001E">
        <w:rPr>
          <w:rFonts w:ascii="Verdana" w:eastAsia="Arial Unicode MS" w:hAnsi="Verdana" w:cs="Leelawadee"/>
          <w:highlight w:val="yellow"/>
          <w:lang w:bidi="pa-IN"/>
        </w:rPr>
        <w:t>(11) 3127-28</w:t>
      </w:r>
      <w:r w:rsidR="00FC6097" w:rsidRPr="00B2001E">
        <w:rPr>
          <w:rFonts w:ascii="Verdana" w:eastAsia="Arial Unicode MS" w:hAnsi="Verdana" w:cs="Leelawadee"/>
          <w:highlight w:val="yellow"/>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E-mail: </w:t>
      </w:r>
      <w:r w:rsidR="00B2001E" w:rsidRPr="00B2001E">
        <w:rPr>
          <w:rFonts w:ascii="Verdana" w:hAnsi="Verdana"/>
          <w:highlight w:val="yellow"/>
        </w:rPr>
        <w:t>juridico</w:t>
      </w:r>
      <w:r w:rsidR="00956E57" w:rsidRPr="00B2001E">
        <w:rPr>
          <w:rFonts w:ascii="Verdana" w:hAnsi="Verdana"/>
          <w:highlight w:val="yellow"/>
        </w:rPr>
        <w:t>@rbcapital.com</w:t>
      </w:r>
    </w:p>
    <w:bookmarkEnd w:id="35"/>
    <w:p w14:paraId="43BE2565" w14:textId="77777777" w:rsidR="006253A8" w:rsidRPr="00DA1BE2" w:rsidRDefault="006253A8" w:rsidP="00B2001E">
      <w:pPr>
        <w:pStyle w:val="SemEspaamento"/>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36"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37" w:name="_Hlk23183800"/>
      <w:bookmarkStart w:id="38"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At.: </w:t>
      </w:r>
      <w:r w:rsidR="00FE3EBC" w:rsidRPr="00DA1BE2">
        <w:rPr>
          <w:rFonts w:ascii="Verdana" w:hAnsi="Verdana" w:cs="Leelawadee"/>
          <w:sz w:val="20"/>
          <w:szCs w:val="20"/>
        </w:rPr>
        <w:t>João Paulo Pacífico</w:t>
      </w:r>
    </w:p>
    <w:bookmarkEnd w:id="37"/>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36"/>
    <w:bookmarkEnd w:id="38"/>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PargrafodaLista"/>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do envio, com confirmação de entrega, se transmitida via e-mail; </w:t>
      </w:r>
      <w:r w:rsidRPr="00DA1BE2">
        <w:rPr>
          <w:rFonts w:ascii="Verdana" w:hAnsi="Verdana" w:cs="Leelawadee"/>
          <w:sz w:val="20"/>
          <w:szCs w:val="20"/>
          <w:lang w:bidi="pa-IN"/>
        </w:rPr>
        <w:lastRenderedPageBreak/>
        <w:t xml:space="preserve">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iv</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C34CFA">
      <w:pPr>
        <w:pStyle w:val="SemEspaamento"/>
        <w:rPr>
          <w:lang w:bidi="pa-IN"/>
        </w:rPr>
      </w:pPr>
    </w:p>
    <w:p w14:paraId="2F34BC55" w14:textId="5850F586"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SemEspaamento"/>
        <w:rPr>
          <w:lang w:bidi="pa-IN"/>
        </w:rPr>
      </w:pPr>
    </w:p>
    <w:p w14:paraId="247DCCCB" w14:textId="460FD17A" w:rsidR="00021A62" w:rsidRPr="00DA1BE2" w:rsidRDefault="00543AC2" w:rsidP="00D701E1">
      <w:pPr>
        <w:pStyle w:val="Ttulo2"/>
        <w:keepNext/>
        <w:spacing w:line="360" w:lineRule="auto"/>
        <w:jc w:val="both"/>
        <w:rPr>
          <w:rFonts w:ascii="Verdana" w:hAnsi="Verdana" w:cs="Leelawadee"/>
          <w:b/>
        </w:rPr>
      </w:pPr>
      <w:bookmarkStart w:id="39"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39"/>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SemEspaamento"/>
        <w:rPr>
          <w:lang w:bidi="pa-IN"/>
        </w:rPr>
      </w:pPr>
    </w:p>
    <w:p w14:paraId="3A2D5917" w14:textId="6488EFD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SemEspaamento"/>
        <w:rPr>
          <w:lang w:bidi="pa-IN"/>
        </w:rPr>
      </w:pPr>
    </w:p>
    <w:p w14:paraId="6AF3C8B2" w14:textId="08EAEF24"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C34CFA">
      <w:pPr>
        <w:pStyle w:val="SemEspaamento"/>
        <w:rPr>
          <w:lang w:bidi="pa-IN"/>
        </w:rPr>
      </w:pPr>
    </w:p>
    <w:p w14:paraId="05A037E3" w14:textId="14956E9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w:t>
      </w:r>
      <w:r w:rsidRPr="00DA1BE2">
        <w:rPr>
          <w:rFonts w:ascii="Verdana" w:hAnsi="Verdana" w:cs="Leelawadee"/>
          <w:sz w:val="20"/>
          <w:szCs w:val="20"/>
          <w:lang w:bidi="pa-IN"/>
        </w:rPr>
        <w:lastRenderedPageBreak/>
        <w:t>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7D63D1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973E12" w:rsidRPr="00DA1BE2">
        <w:rPr>
          <w:rFonts w:ascii="Verdana" w:hAnsi="Verdana" w:cs="Leelawadee"/>
          <w:sz w:val="20"/>
          <w:szCs w:val="20"/>
          <w:lang w:bidi="pa-IN"/>
        </w:rPr>
        <w:t>Data Base da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SemEspaamento"/>
        <w:rPr>
          <w:lang w:bidi="pa-IN"/>
        </w:rPr>
      </w:pPr>
    </w:p>
    <w:p w14:paraId="78CCAF19" w14:textId="09BB7216"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SemEspaamento"/>
        <w:rPr>
          <w:lang w:bidi="pa-IN"/>
        </w:rPr>
      </w:pPr>
    </w:p>
    <w:p w14:paraId="7005B394" w14:textId="2D380100"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SemEspaamento"/>
        <w:rPr>
          <w:lang w:bidi="pa-IN"/>
        </w:rPr>
      </w:pPr>
    </w:p>
    <w:p w14:paraId="65480B6C" w14:textId="63D00369"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w:t>
      </w:r>
      <w:proofErr w:type="spellStart"/>
      <w:r w:rsidRPr="00DA1BE2">
        <w:rPr>
          <w:rFonts w:ascii="Verdana" w:hAnsi="Verdana" w:cs="Leelawadee"/>
          <w:i/>
          <w:sz w:val="20"/>
          <w:szCs w:val="20"/>
          <w:lang w:bidi="pa-IN"/>
        </w:rPr>
        <w:t>temporis</w:t>
      </w:r>
      <w:proofErr w:type="spellEnd"/>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SemEspaamento"/>
        <w:rPr>
          <w:lang w:bidi="pa-IN"/>
        </w:rPr>
      </w:pPr>
    </w:p>
    <w:p w14:paraId="7BF28AA9" w14:textId="61B78025"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 xml:space="preserve">, em até </w:t>
      </w:r>
      <w:r w:rsidR="00D9628E">
        <w:rPr>
          <w:rFonts w:ascii="Verdana" w:hAnsi="Verdana" w:cs="Leelawadee"/>
          <w:sz w:val="20"/>
          <w:szCs w:val="20"/>
        </w:rPr>
        <w:t>20 (vinte</w:t>
      </w:r>
      <w:r w:rsidRPr="00DA1BE2">
        <w:rPr>
          <w:rFonts w:ascii="Verdana" w:hAnsi="Verdana" w:cs="Leelawadee"/>
          <w:sz w:val="20"/>
          <w:szCs w:val="20"/>
        </w:rPr>
        <w:t xml:space="preserve">) dias corridos contados da data de celebração, encaminhando documento 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6BEFC67D" w14:textId="62FDD749" w:rsidR="00347955" w:rsidRDefault="00BF1113" w:rsidP="005D3B9C">
      <w:pPr>
        <w:pStyle w:val="PargrafodaLista"/>
        <w:numPr>
          <w:ilvl w:val="1"/>
          <w:numId w:val="15"/>
        </w:numPr>
        <w:tabs>
          <w:tab w:val="left" w:pos="709"/>
        </w:tabs>
        <w:spacing w:line="360" w:lineRule="auto"/>
        <w:ind w:left="0" w:firstLine="0"/>
        <w:jc w:val="both"/>
        <w:rPr>
          <w:rFonts w:ascii="Verdana" w:hAnsi="Verdana" w:cs="Arial"/>
          <w:sz w:val="20"/>
          <w:szCs w:val="20"/>
        </w:rPr>
      </w:pPr>
      <w:bookmarkStart w:id="40"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B12BEE" w:rsidRPr="00B12BEE">
        <w:rPr>
          <w:rFonts w:ascii="Verdana" w:hAnsi="Verdana" w:cs="Arial"/>
          <w:sz w:val="20"/>
          <w:szCs w:val="20"/>
        </w:rPr>
        <w:t xml:space="preserve"> </w:t>
      </w:r>
      <w:r w:rsidR="00B12BEE" w:rsidRPr="00DA1BE2">
        <w:rPr>
          <w:rFonts w:ascii="Verdana" w:hAnsi="Verdana" w:cs="Arial"/>
          <w:sz w:val="20"/>
          <w:szCs w:val="20"/>
        </w:rPr>
        <w:t>relativos à remuneração de estruturação da Cessionária (“</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 xml:space="preserve">: </w:t>
      </w:r>
      <w:r w:rsidR="00347955">
        <w:rPr>
          <w:rFonts w:ascii="Verdana" w:hAnsi="Verdana" w:cs="Arial"/>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4"/>
        <w:gridCol w:w="1565"/>
      </w:tblGrid>
      <w:tr w:rsidR="00347955" w:rsidRPr="00DA1BE2" w14:paraId="0A03195A" w14:textId="77777777" w:rsidTr="002C3F9C">
        <w:trPr>
          <w:trHeight w:val="315"/>
          <w:jc w:val="center"/>
        </w:trPr>
        <w:tc>
          <w:tcPr>
            <w:tcW w:w="4204" w:type="pct"/>
            <w:shd w:val="clear" w:color="auto" w:fill="auto"/>
            <w:noWrap/>
            <w:vAlign w:val="center"/>
            <w:hideMark/>
          </w:tcPr>
          <w:p w14:paraId="689E96E1" w14:textId="6BCAA0F2" w:rsidR="00347955" w:rsidRPr="002C3F9C" w:rsidRDefault="00347955" w:rsidP="00B87C06">
            <w:pPr>
              <w:autoSpaceDE/>
              <w:autoSpaceDN/>
              <w:adjustRightInd/>
              <w:rPr>
                <w:rFonts w:ascii="Verdana" w:hAnsi="Verdana" w:cs="Arial"/>
                <w:sz w:val="20"/>
                <w:szCs w:val="20"/>
              </w:rPr>
            </w:pPr>
            <w:proofErr w:type="spellStart"/>
            <w:r w:rsidRPr="002C3F9C">
              <w:rPr>
                <w:rFonts w:ascii="Verdana" w:hAnsi="Verdana" w:cs="Arial"/>
                <w:sz w:val="20"/>
                <w:szCs w:val="20"/>
              </w:rPr>
              <w:lastRenderedPageBreak/>
              <w:t>Fee</w:t>
            </w:r>
            <w:proofErr w:type="spellEnd"/>
            <w:r w:rsidRPr="002C3F9C">
              <w:rPr>
                <w:rFonts w:ascii="Verdana" w:hAnsi="Verdana" w:cs="Arial"/>
                <w:sz w:val="20"/>
                <w:szCs w:val="20"/>
              </w:rPr>
              <w:t xml:space="preserve"> de coordenador Líder</w:t>
            </w:r>
          </w:p>
        </w:tc>
        <w:tc>
          <w:tcPr>
            <w:tcW w:w="796" w:type="pct"/>
            <w:shd w:val="clear" w:color="auto" w:fill="auto"/>
            <w:noWrap/>
            <w:vAlign w:val="center"/>
            <w:hideMark/>
          </w:tcPr>
          <w:p w14:paraId="270F1E1E" w14:textId="77777777"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DA1BE2" w14:paraId="3547C81D" w14:textId="77777777" w:rsidTr="002C3F9C">
        <w:trPr>
          <w:trHeight w:val="300"/>
          <w:jc w:val="center"/>
        </w:trPr>
        <w:tc>
          <w:tcPr>
            <w:tcW w:w="4204" w:type="pct"/>
            <w:shd w:val="clear" w:color="auto" w:fill="auto"/>
            <w:noWrap/>
            <w:vAlign w:val="center"/>
          </w:tcPr>
          <w:p w14:paraId="33F04ADE" w14:textId="66FFDCED"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 xml:space="preserve">Rebate, ou </w:t>
            </w:r>
            <w:proofErr w:type="spellStart"/>
            <w:r w:rsidRPr="002C3F9C">
              <w:rPr>
                <w:rFonts w:ascii="Verdana" w:hAnsi="Verdana" w:cs="Arial"/>
                <w:sz w:val="20"/>
                <w:szCs w:val="20"/>
              </w:rPr>
              <w:t>Fee</w:t>
            </w:r>
            <w:proofErr w:type="spellEnd"/>
            <w:r w:rsidRPr="002C3F9C">
              <w:rPr>
                <w:rFonts w:ascii="Verdana" w:hAnsi="Verdana" w:cs="Arial"/>
                <w:sz w:val="20"/>
                <w:szCs w:val="20"/>
              </w:rPr>
              <w:t xml:space="preserve"> do participante especial</w:t>
            </w:r>
          </w:p>
        </w:tc>
        <w:tc>
          <w:tcPr>
            <w:tcW w:w="796" w:type="pct"/>
            <w:shd w:val="clear" w:color="auto" w:fill="auto"/>
            <w:noWrap/>
            <w:vAlign w:val="center"/>
          </w:tcPr>
          <w:p w14:paraId="2474F0D4" w14:textId="05434B38"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2C3F9C" w14:paraId="1422B1F2" w14:textId="77777777" w:rsidTr="002C3F9C">
        <w:trPr>
          <w:trHeight w:val="300"/>
          <w:jc w:val="center"/>
        </w:trPr>
        <w:tc>
          <w:tcPr>
            <w:tcW w:w="4204" w:type="pct"/>
            <w:shd w:val="clear" w:color="auto" w:fill="auto"/>
            <w:noWrap/>
            <w:vAlign w:val="center"/>
            <w:hideMark/>
          </w:tcPr>
          <w:p w14:paraId="29F1218D" w14:textId="00CB5C7C" w:rsidR="00347955" w:rsidRPr="002C3F9C" w:rsidRDefault="00347955" w:rsidP="00B87C06">
            <w:pPr>
              <w:autoSpaceDE/>
              <w:autoSpaceDN/>
              <w:adjustRightInd/>
              <w:rPr>
                <w:rFonts w:ascii="Verdana" w:hAnsi="Verdana" w:cs="Arial"/>
                <w:b/>
                <w:bCs/>
                <w:sz w:val="20"/>
                <w:szCs w:val="20"/>
              </w:rPr>
            </w:pPr>
            <w:bookmarkStart w:id="41" w:name="_GoBack"/>
            <w:bookmarkEnd w:id="41"/>
            <w:r w:rsidRPr="002C3F9C">
              <w:rPr>
                <w:rFonts w:ascii="Verdana" w:hAnsi="Verdana" w:cs="Arial"/>
                <w:b/>
                <w:bCs/>
                <w:sz w:val="20"/>
                <w:szCs w:val="20"/>
              </w:rPr>
              <w:t xml:space="preserve">Total </w:t>
            </w:r>
          </w:p>
        </w:tc>
        <w:tc>
          <w:tcPr>
            <w:tcW w:w="796" w:type="pct"/>
            <w:shd w:val="clear" w:color="auto" w:fill="auto"/>
            <w:noWrap/>
            <w:vAlign w:val="center"/>
            <w:hideMark/>
          </w:tcPr>
          <w:p w14:paraId="22A0F6A4" w14:textId="77777777" w:rsidR="00347955" w:rsidRPr="002C3F9C" w:rsidRDefault="00347955" w:rsidP="00B87C06">
            <w:pPr>
              <w:autoSpaceDE/>
              <w:autoSpaceDN/>
              <w:adjustRightInd/>
              <w:jc w:val="right"/>
              <w:rPr>
                <w:rFonts w:ascii="Verdana" w:hAnsi="Verdana" w:cs="Arial"/>
                <w:b/>
                <w:bCs/>
                <w:sz w:val="20"/>
                <w:szCs w:val="20"/>
              </w:rPr>
            </w:pPr>
            <w:r w:rsidRPr="002C3F9C">
              <w:rPr>
                <w:rFonts w:ascii="Verdana" w:hAnsi="Verdana" w:cs="Arial"/>
                <w:b/>
                <w:bCs/>
                <w:sz w:val="20"/>
                <w:szCs w:val="20"/>
              </w:rPr>
              <w:t>R$[●]</w:t>
            </w:r>
          </w:p>
        </w:tc>
      </w:tr>
    </w:tbl>
    <w:p w14:paraId="7C490A02" w14:textId="49D2A2A9" w:rsidR="001B0F23" w:rsidRPr="00DA1BE2" w:rsidRDefault="00347955" w:rsidP="002C3F9C">
      <w:pPr>
        <w:pStyle w:val="PargrafodaLista"/>
        <w:tabs>
          <w:tab w:val="left" w:pos="709"/>
        </w:tabs>
        <w:spacing w:line="360" w:lineRule="auto"/>
        <w:ind w:left="0"/>
        <w:jc w:val="both"/>
        <w:rPr>
          <w:rFonts w:ascii="Verdana" w:hAnsi="Verdana" w:cs="Leelawadee"/>
          <w:sz w:val="20"/>
          <w:szCs w:val="20"/>
        </w:rPr>
      </w:pPr>
      <w:r>
        <w:rPr>
          <w:rFonts w:ascii="Verdana" w:hAnsi="Verdana" w:cs="Arial"/>
          <w:sz w:val="20"/>
          <w:szCs w:val="20"/>
        </w:rPr>
        <w:br/>
      </w:r>
      <w:r w:rsidR="00C73914" w:rsidRPr="00DA1BE2">
        <w:rPr>
          <w:rFonts w:ascii="Verdana" w:hAnsi="Verdana" w:cs="Arial"/>
          <w:sz w:val="20"/>
          <w:szCs w:val="20"/>
        </w:rPr>
        <w:t>Adicionalmente,</w:t>
      </w:r>
      <w:r w:rsidR="00E90F3D" w:rsidRPr="00DA1BE2">
        <w:rPr>
          <w:rFonts w:ascii="Verdana" w:hAnsi="Verdana" w:cs="Arial"/>
          <w:sz w:val="20"/>
          <w:szCs w:val="20"/>
        </w:rPr>
        <w:t xml:space="preserve"> </w:t>
      </w:r>
      <w:r w:rsidR="00F77321" w:rsidRPr="00DA1BE2">
        <w:rPr>
          <w:rFonts w:ascii="Verdana" w:hAnsi="Verdana" w:cs="Arial"/>
          <w:sz w:val="20"/>
          <w:szCs w:val="20"/>
        </w:rPr>
        <w:t>serão pagos mensalmente pela</w:t>
      </w:r>
      <w:r w:rsidR="00476C69">
        <w:rPr>
          <w:rFonts w:ascii="Verdana" w:hAnsi="Verdana" w:cs="Arial"/>
          <w:sz w:val="20"/>
          <w:szCs w:val="20"/>
        </w:rPr>
        <w:t>s</w:t>
      </w:r>
      <w:r w:rsidR="00F77321" w:rsidRPr="00DA1BE2">
        <w:rPr>
          <w:rFonts w:ascii="Verdana" w:hAnsi="Verdana" w:cs="Arial"/>
          <w:sz w:val="20"/>
          <w:szCs w:val="20"/>
        </w:rPr>
        <w:t xml:space="preserve"> Cedente</w:t>
      </w:r>
      <w:r w:rsidR="00476C69">
        <w:rPr>
          <w:rFonts w:ascii="Verdana" w:hAnsi="Verdana" w:cs="Arial"/>
          <w:sz w:val="20"/>
          <w:szCs w:val="20"/>
        </w:rPr>
        <w:t>s</w:t>
      </w:r>
      <w:r w:rsidR="00F77321" w:rsidRPr="00DA1BE2">
        <w:rPr>
          <w:rFonts w:ascii="Verdana" w:hAnsi="Verdana" w:cs="Arial"/>
          <w:sz w:val="20"/>
          <w:szCs w:val="20"/>
        </w:rPr>
        <w:t>, até o 10º (décimo) dia útil de cada mês, as seguintes despesas recorrentes dos prestadores de serviço da operação, que já contemplam o acréscimo de tributos</w:t>
      </w:r>
      <w:r w:rsidR="00E90F3D" w:rsidRPr="00DA1BE2">
        <w:rPr>
          <w:rFonts w:ascii="Verdana" w:hAnsi="Verdana" w:cs="Arial"/>
          <w:sz w:val="20"/>
          <w:szCs w:val="20"/>
        </w:rPr>
        <w:t xml:space="preserve"> (“</w:t>
      </w:r>
      <w:r w:rsidR="00E90F3D" w:rsidRPr="00DA1BE2">
        <w:rPr>
          <w:rFonts w:ascii="Verdana" w:hAnsi="Verdana" w:cs="Arial"/>
          <w:sz w:val="20"/>
          <w:szCs w:val="20"/>
          <w:u w:val="single"/>
        </w:rPr>
        <w:t>Despesas Recorrentes</w:t>
      </w:r>
      <w:r w:rsidR="00E90F3D" w:rsidRPr="00DA1BE2">
        <w:rPr>
          <w:rFonts w:ascii="Verdana" w:hAnsi="Verdana" w:cs="Arial"/>
          <w:sz w:val="20"/>
          <w:szCs w:val="20"/>
        </w:rPr>
        <w:t>”):</w:t>
      </w:r>
    </w:p>
    <w:p w14:paraId="6DDB286A" w14:textId="0BAA6D09"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0"/>
        <w:gridCol w:w="2359"/>
      </w:tblGrid>
      <w:tr w:rsidR="00F77321" w:rsidRPr="00DA1BE2" w14:paraId="3BDE2C53" w14:textId="77777777" w:rsidTr="002C3F9C">
        <w:trPr>
          <w:trHeight w:val="315"/>
          <w:jc w:val="center"/>
        </w:trPr>
        <w:tc>
          <w:tcPr>
            <w:tcW w:w="3800" w:type="pct"/>
            <w:shd w:val="clear" w:color="auto" w:fill="auto"/>
            <w:noWrap/>
            <w:vAlign w:val="center"/>
            <w:hideMark/>
          </w:tcPr>
          <w:p w14:paraId="7543E458"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Administração CRI</w:t>
            </w:r>
          </w:p>
        </w:tc>
        <w:tc>
          <w:tcPr>
            <w:tcW w:w="1200" w:type="pct"/>
            <w:shd w:val="clear" w:color="auto" w:fill="auto"/>
            <w:noWrap/>
            <w:vAlign w:val="center"/>
            <w:hideMark/>
          </w:tcPr>
          <w:p w14:paraId="2125A2AB" w14:textId="29E9D1D9" w:rsidR="00F77321" w:rsidRPr="00DA1BE2" w:rsidRDefault="00476C69" w:rsidP="00476C69">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C01CA56" w14:textId="77777777" w:rsidTr="002C3F9C">
        <w:trPr>
          <w:trHeight w:val="300"/>
          <w:jc w:val="center"/>
        </w:trPr>
        <w:tc>
          <w:tcPr>
            <w:tcW w:w="3800" w:type="pct"/>
            <w:shd w:val="clear" w:color="auto" w:fill="auto"/>
            <w:noWrap/>
            <w:vAlign w:val="center"/>
            <w:hideMark/>
          </w:tcPr>
          <w:p w14:paraId="55573A7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Agente Fiduciário</w:t>
            </w:r>
          </w:p>
        </w:tc>
        <w:tc>
          <w:tcPr>
            <w:tcW w:w="1200" w:type="pct"/>
            <w:shd w:val="clear" w:color="auto" w:fill="auto"/>
            <w:noWrap/>
            <w:vAlign w:val="center"/>
            <w:hideMark/>
          </w:tcPr>
          <w:p w14:paraId="1E2D5425" w14:textId="0880C271"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E444729" w14:textId="77777777" w:rsidTr="002C3F9C">
        <w:trPr>
          <w:trHeight w:val="300"/>
          <w:jc w:val="center"/>
        </w:trPr>
        <w:tc>
          <w:tcPr>
            <w:tcW w:w="3800" w:type="pct"/>
            <w:shd w:val="clear" w:color="auto" w:fill="auto"/>
            <w:noWrap/>
            <w:vAlign w:val="center"/>
            <w:hideMark/>
          </w:tcPr>
          <w:p w14:paraId="7BBC163D"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Instituição Custodiante</w:t>
            </w:r>
          </w:p>
        </w:tc>
        <w:tc>
          <w:tcPr>
            <w:tcW w:w="1200" w:type="pct"/>
            <w:shd w:val="clear" w:color="auto" w:fill="auto"/>
            <w:noWrap/>
            <w:vAlign w:val="center"/>
            <w:hideMark/>
          </w:tcPr>
          <w:p w14:paraId="24B1A644" w14:textId="566E2B4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62DD5792" w14:textId="77777777" w:rsidTr="002C3F9C">
        <w:trPr>
          <w:trHeight w:val="300"/>
          <w:jc w:val="center"/>
        </w:trPr>
        <w:tc>
          <w:tcPr>
            <w:tcW w:w="3800" w:type="pct"/>
            <w:shd w:val="clear" w:color="auto" w:fill="auto"/>
            <w:noWrap/>
            <w:vAlign w:val="center"/>
            <w:hideMark/>
          </w:tcPr>
          <w:p w14:paraId="2C6ABC2C"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Auditor Independente</w:t>
            </w:r>
          </w:p>
        </w:tc>
        <w:tc>
          <w:tcPr>
            <w:tcW w:w="1200" w:type="pct"/>
            <w:shd w:val="clear" w:color="auto" w:fill="auto"/>
            <w:noWrap/>
            <w:vAlign w:val="center"/>
            <w:hideMark/>
          </w:tcPr>
          <w:p w14:paraId="4417DF46" w14:textId="242CD75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5ADE7ABF" w14:textId="77777777" w:rsidTr="002C3F9C">
        <w:trPr>
          <w:trHeight w:val="300"/>
          <w:jc w:val="center"/>
        </w:trPr>
        <w:tc>
          <w:tcPr>
            <w:tcW w:w="3800" w:type="pct"/>
            <w:shd w:val="clear" w:color="auto" w:fill="auto"/>
            <w:noWrap/>
            <w:vAlign w:val="center"/>
            <w:hideMark/>
          </w:tcPr>
          <w:p w14:paraId="60755F6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Despesas Bancárias</w:t>
            </w:r>
          </w:p>
        </w:tc>
        <w:tc>
          <w:tcPr>
            <w:tcW w:w="1200" w:type="pct"/>
            <w:shd w:val="clear" w:color="auto" w:fill="auto"/>
            <w:noWrap/>
            <w:vAlign w:val="center"/>
            <w:hideMark/>
          </w:tcPr>
          <w:p w14:paraId="5F299FA6" w14:textId="1FA6B042"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2F577119" w14:textId="77777777" w:rsidTr="002C3F9C">
        <w:trPr>
          <w:trHeight w:val="300"/>
          <w:jc w:val="center"/>
        </w:trPr>
        <w:tc>
          <w:tcPr>
            <w:tcW w:w="3800" w:type="pct"/>
            <w:shd w:val="clear" w:color="auto" w:fill="auto"/>
            <w:noWrap/>
            <w:vAlign w:val="center"/>
            <w:hideMark/>
          </w:tcPr>
          <w:p w14:paraId="2417CA41" w14:textId="77777777" w:rsidR="00F77321" w:rsidRPr="00DA1BE2" w:rsidRDefault="00F77321" w:rsidP="00F77321">
            <w:pPr>
              <w:autoSpaceDE/>
              <w:autoSpaceDN/>
              <w:adjustRightInd/>
              <w:rPr>
                <w:rFonts w:ascii="Verdana" w:eastAsia="Times New Roman" w:hAnsi="Verdana"/>
                <w:color w:val="000000"/>
                <w:sz w:val="20"/>
                <w:szCs w:val="20"/>
              </w:rPr>
            </w:pPr>
            <w:proofErr w:type="spellStart"/>
            <w:r w:rsidRPr="00DA1BE2">
              <w:rPr>
                <w:rFonts w:ascii="Verdana" w:eastAsia="Times New Roman" w:hAnsi="Verdana"/>
                <w:color w:val="000000"/>
                <w:sz w:val="20"/>
                <w:szCs w:val="20"/>
              </w:rPr>
              <w:t>Escriturador</w:t>
            </w:r>
            <w:proofErr w:type="spellEnd"/>
          </w:p>
        </w:tc>
        <w:tc>
          <w:tcPr>
            <w:tcW w:w="1200" w:type="pct"/>
            <w:shd w:val="clear" w:color="auto" w:fill="auto"/>
            <w:noWrap/>
            <w:vAlign w:val="center"/>
            <w:hideMark/>
          </w:tcPr>
          <w:p w14:paraId="663F8ED5" w14:textId="080E6D7D"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3ECEF72A" w14:textId="77777777" w:rsidTr="002C3F9C">
        <w:trPr>
          <w:trHeight w:val="300"/>
          <w:jc w:val="center"/>
        </w:trPr>
        <w:tc>
          <w:tcPr>
            <w:tcW w:w="3800" w:type="pct"/>
            <w:shd w:val="clear" w:color="auto" w:fill="auto"/>
            <w:noWrap/>
            <w:vAlign w:val="center"/>
            <w:hideMark/>
          </w:tcPr>
          <w:p w14:paraId="489A9F41" w14:textId="77777777" w:rsidR="00F77321" w:rsidRPr="00DA1BE2" w:rsidRDefault="00F77321" w:rsidP="00F77321">
            <w:pPr>
              <w:autoSpaceDE/>
              <w:autoSpaceDN/>
              <w:adjustRightInd/>
              <w:rPr>
                <w:rFonts w:ascii="Verdana" w:eastAsia="Times New Roman" w:hAnsi="Verdana"/>
                <w:b/>
                <w:bCs/>
                <w:color w:val="000000"/>
                <w:sz w:val="20"/>
                <w:szCs w:val="20"/>
              </w:rPr>
            </w:pPr>
            <w:r w:rsidRPr="00DA1BE2">
              <w:rPr>
                <w:rFonts w:ascii="Verdana" w:eastAsia="Times New Roman" w:hAnsi="Verdana"/>
                <w:b/>
                <w:bCs/>
                <w:color w:val="000000"/>
                <w:sz w:val="20"/>
                <w:szCs w:val="20"/>
              </w:rPr>
              <w:t>Total mensal</w:t>
            </w:r>
          </w:p>
        </w:tc>
        <w:tc>
          <w:tcPr>
            <w:tcW w:w="1200" w:type="pct"/>
            <w:shd w:val="clear" w:color="auto" w:fill="auto"/>
            <w:noWrap/>
            <w:vAlign w:val="center"/>
            <w:hideMark/>
          </w:tcPr>
          <w:p w14:paraId="14593EE8" w14:textId="6A647C09" w:rsidR="00F77321" w:rsidRPr="00476C69" w:rsidRDefault="00476C69" w:rsidP="00F77321">
            <w:pPr>
              <w:autoSpaceDE/>
              <w:autoSpaceDN/>
              <w:adjustRightInd/>
              <w:jc w:val="right"/>
              <w:rPr>
                <w:rFonts w:ascii="Verdana" w:eastAsia="Times New Roman" w:hAnsi="Verdana"/>
                <w:b/>
                <w:bCs/>
                <w:color w:val="000000"/>
                <w:sz w:val="20"/>
                <w:szCs w:val="20"/>
              </w:rPr>
            </w:pPr>
            <w:r w:rsidRPr="00476C69">
              <w:rPr>
                <w:rFonts w:ascii="Verdana" w:eastAsia="Times New Roman" w:hAnsi="Verdana"/>
                <w:b/>
                <w:color w:val="000000"/>
                <w:sz w:val="20"/>
                <w:szCs w:val="20"/>
              </w:rPr>
              <w:t>R$</w:t>
            </w:r>
            <w:r w:rsidRPr="00476C69">
              <w:rPr>
                <w:rFonts w:ascii="Verdana" w:hAnsi="Verdana" w:cs="Arial"/>
                <w:b/>
                <w:sz w:val="20"/>
                <w:szCs w:val="20"/>
              </w:rPr>
              <w:t>[●]</w:t>
            </w:r>
          </w:p>
        </w:tc>
      </w:tr>
    </w:tbl>
    <w:p w14:paraId="72AC0B38" w14:textId="77777777"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bookmarkEnd w:id="40"/>
    <w:p w14:paraId="68B98992" w14:textId="075E49D8" w:rsidR="00621DCD" w:rsidRPr="00DA1BE2" w:rsidRDefault="00621DCD" w:rsidP="002720D5">
      <w:pPr>
        <w:pStyle w:val="PargrafodaLista"/>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p>
    <w:p w14:paraId="0F95410D" w14:textId="77777777" w:rsidR="00C817AE" w:rsidRPr="00DA1BE2" w:rsidRDefault="00C817AE" w:rsidP="00476C69">
      <w:pPr>
        <w:pStyle w:val="SemEspaamento"/>
        <w:rPr>
          <w:lang w:bidi="pa-IN"/>
        </w:rPr>
      </w:pPr>
    </w:p>
    <w:p w14:paraId="365AFAFC" w14:textId="4653B8E1" w:rsidR="00021A62" w:rsidRPr="00DA1BE2" w:rsidRDefault="00543AC2" w:rsidP="001A3B4C">
      <w:pPr>
        <w:pStyle w:val="Ttulo2"/>
        <w:keepNext/>
        <w:spacing w:line="360" w:lineRule="auto"/>
        <w:jc w:val="both"/>
        <w:rPr>
          <w:rFonts w:ascii="Verdana" w:hAnsi="Verdana" w:cs="Leelawadee"/>
          <w:b/>
        </w:rPr>
      </w:pPr>
      <w:bookmarkStart w:id="42" w:name="_Toc510869666"/>
      <w:bookmarkStart w:id="43" w:name="_Toc529870650"/>
      <w:bookmarkStart w:id="44"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SemEspaamento"/>
      </w:pPr>
    </w:p>
    <w:p w14:paraId="5E82127D" w14:textId="0C4E87A4" w:rsidR="00021A62" w:rsidRPr="00DA1BE2" w:rsidRDefault="007D0D88"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45"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45"/>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46"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46"/>
      <w:r w:rsidRPr="00DA1BE2">
        <w:rPr>
          <w:rFonts w:ascii="Verdana" w:hAnsi="Verdana" w:cs="Leelawadee"/>
          <w:sz w:val="20"/>
          <w:szCs w:val="20"/>
        </w:rPr>
        <w:t>.</w:t>
      </w:r>
    </w:p>
    <w:bookmarkEnd w:id="42"/>
    <w:bookmarkEnd w:id="43"/>
    <w:bookmarkEnd w:id="44"/>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PargrafodaLista"/>
        <w:tabs>
          <w:tab w:val="left" w:pos="851"/>
        </w:tabs>
        <w:spacing w:line="360" w:lineRule="auto"/>
        <w:ind w:left="0"/>
        <w:contextualSpacing/>
        <w:jc w:val="both"/>
        <w:rPr>
          <w:rFonts w:ascii="Verdana" w:hAnsi="Verdana" w:cs="Leelawadee"/>
          <w:sz w:val="20"/>
          <w:szCs w:val="20"/>
        </w:rPr>
      </w:pPr>
      <w:bookmarkStart w:id="47"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47"/>
      <w:r w:rsidRPr="00DA1BE2">
        <w:rPr>
          <w:rFonts w:ascii="Verdana" w:hAnsi="Verdana" w:cs="Leelawadee"/>
          <w:sz w:val="20"/>
          <w:szCs w:val="20"/>
        </w:rPr>
        <w:t>.</w:t>
      </w:r>
    </w:p>
    <w:p w14:paraId="59720594"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sz w:val="20"/>
          <w:szCs w:val="20"/>
        </w:rPr>
      </w:pPr>
      <w:bookmarkStart w:id="48"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49"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PargrafodaLista"/>
        <w:tabs>
          <w:tab w:val="left" w:pos="851"/>
        </w:tabs>
        <w:spacing w:line="360" w:lineRule="auto"/>
        <w:ind w:left="0"/>
        <w:contextualSpacing/>
        <w:jc w:val="center"/>
        <w:rPr>
          <w:rFonts w:ascii="Verdana" w:hAnsi="Verdana" w:cs="Leelawadee"/>
          <w:iCs/>
          <w:sz w:val="20"/>
          <w:szCs w:val="20"/>
        </w:rPr>
      </w:pPr>
      <w:bookmarkStart w:id="50" w:name="_Toc458523880"/>
    </w:p>
    <w:p w14:paraId="1CED1C27"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PargrafodaLista"/>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50"/>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PargrafodaLista"/>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48"/>
    <w:bookmarkEnd w:id="49"/>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51"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Gaia Securitizadora S.A.</w:t>
      </w:r>
      <w:r>
        <w:rPr>
          <w:rFonts w:ascii="Verdana" w:hAnsi="Verdana" w:cs="Leelawadee"/>
          <w:i/>
          <w:sz w:val="20"/>
          <w:szCs w:val="20"/>
        </w:rPr>
        <w:t>]</w:t>
      </w:r>
    </w:p>
    <w:bookmarkEnd w:id="51"/>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Corpodetexto"/>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Corpodetexto"/>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Corpodetexto"/>
        <w:tabs>
          <w:tab w:val="left" w:pos="8647"/>
        </w:tabs>
        <w:spacing w:line="360" w:lineRule="auto"/>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Ttulo2"/>
        <w:keepNext/>
        <w:spacing w:line="360" w:lineRule="auto"/>
        <w:jc w:val="center"/>
        <w:rPr>
          <w:rFonts w:ascii="Verdana" w:hAnsi="Verdana" w:cs="Leelawadee"/>
          <w:b/>
        </w:rPr>
      </w:pPr>
      <w:r w:rsidRPr="00DA1BE2">
        <w:rPr>
          <w:rFonts w:ascii="Verdana" w:hAnsi="Verdana"/>
          <w:i/>
          <w:lang w:bidi="pa-IN"/>
        </w:rPr>
        <w:br w:type="page"/>
      </w:r>
      <w:bookmarkStart w:id="52" w:name="_Hlk15060012"/>
      <w:bookmarkStart w:id="53"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52"/>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 xml:space="preserve">1 </w:t>
            </w:r>
            <w:proofErr w:type="gramStart"/>
            <w:r w:rsidRPr="0064111D">
              <w:rPr>
                <w:rFonts w:ascii="Verdana" w:hAnsi="Verdana"/>
                <w:bCs/>
                <w:sz w:val="20"/>
                <w:szCs w:val="20"/>
                <w:lang w:eastAsia="en-US"/>
              </w:rPr>
              <w:t>à</w:t>
            </w:r>
            <w:proofErr w:type="gramEnd"/>
            <w:r w:rsidRPr="0064111D">
              <w:rPr>
                <w:rFonts w:ascii="Verdana" w:hAnsi="Verdana"/>
                <w:bCs/>
                <w:sz w:val="20"/>
                <w:szCs w:val="20"/>
                <w:lang w:eastAsia="en-US"/>
              </w:rPr>
              <w:t xml:space="preserve">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proofErr w:type="spellStart"/>
            <w:r w:rsidRPr="0064111D">
              <w:rPr>
                <w:rFonts w:ascii="Verdana" w:hAnsi="Verdana"/>
                <w:sz w:val="20"/>
                <w:szCs w:val="20"/>
                <w:lang w:eastAsia="en-US"/>
              </w:rPr>
              <w:t>n.a</w:t>
            </w:r>
            <w:proofErr w:type="spellEnd"/>
            <w:r w:rsidRPr="0064111D">
              <w:rPr>
                <w:rFonts w:ascii="Verdana" w:hAnsi="Verdana"/>
                <w:sz w:val="20"/>
                <w:szCs w:val="20"/>
                <w:lang w:eastAsia="en-US"/>
              </w:rPr>
              <w:t>.</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Ttulo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533AAB6A"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r w:rsidR="002864D8" w:rsidRPr="002C3F9C">
              <w:rPr>
                <w:rFonts w:ascii="Verdana" w:hAnsi="Verdana"/>
                <w:bCs/>
                <w:sz w:val="20"/>
                <w:szCs w:val="20"/>
                <w:highlight w:val="yellow"/>
              </w:rPr>
              <w:t>[comentário Gaia: Favor confirmar se é necessário mencionar o valor total.]</w:t>
            </w:r>
            <w:r w:rsidR="00B12BEE">
              <w:rPr>
                <w:rStyle w:val="Refdenotaderodap"/>
                <w:rFonts w:ascii="Verdana" w:hAnsi="Verdana"/>
                <w:bCs/>
                <w:sz w:val="20"/>
                <w:szCs w:val="20"/>
                <w:highlight w:val="yellow"/>
              </w:rPr>
              <w:footnoteReference w:id="6"/>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xml:space="preserve">, inscrita no CNPJ/MF sob nº 59.104.760/0001-91, localizado no Município de Sorocaba, no Bairro do </w:t>
            </w:r>
            <w:proofErr w:type="spellStart"/>
            <w:r w:rsidRPr="0064111D">
              <w:rPr>
                <w:rFonts w:ascii="Verdana" w:hAnsi="Verdana"/>
                <w:sz w:val="20"/>
                <w:szCs w:val="20"/>
              </w:rPr>
              <w:t>Itavuvu</w:t>
            </w:r>
            <w:proofErr w:type="spellEnd"/>
            <w:r w:rsidRPr="0064111D">
              <w:rPr>
                <w:rFonts w:ascii="Verdana" w:hAnsi="Verdana"/>
                <w:sz w:val="20"/>
                <w:szCs w:val="20"/>
              </w:rPr>
              <w:t>,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proofErr w:type="spellStart"/>
            <w:r w:rsidRPr="00D31AD1">
              <w:rPr>
                <w:rFonts w:ascii="Verdana" w:hAnsi="Verdana" w:cs="Calibri"/>
                <w:sz w:val="20"/>
                <w:szCs w:val="20"/>
                <w:lang w:eastAsia="en-US"/>
              </w:rPr>
              <w:t>n.a</w:t>
            </w:r>
            <w:proofErr w:type="spellEnd"/>
            <w:r w:rsidRPr="00D31AD1">
              <w:rPr>
                <w:rFonts w:ascii="Verdana" w:hAnsi="Verdana" w:cs="Calibri"/>
                <w:sz w:val="20"/>
                <w:szCs w:val="20"/>
                <w:lang w:eastAsia="en-US"/>
              </w:rPr>
              <w:t>.</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Ttulo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xml:space="preserve">, inscrita no CNPJ/MF sob nº 59.104.760/0001-91, localizado no Município de Sorocaba, no Bairro do </w:t>
            </w:r>
            <w:proofErr w:type="spellStart"/>
            <w:r w:rsidRPr="00D31AD1">
              <w:rPr>
                <w:rFonts w:ascii="Verdana" w:hAnsi="Verdana" w:cs="Calibri"/>
                <w:sz w:val="20"/>
                <w:szCs w:val="20"/>
              </w:rPr>
              <w:t>Itavuvu</w:t>
            </w:r>
            <w:proofErr w:type="spellEnd"/>
            <w:r w:rsidRPr="00D31AD1">
              <w:rPr>
                <w:rFonts w:ascii="Verdana" w:hAnsi="Verdana" w:cs="Calibri"/>
                <w:sz w:val="20"/>
                <w:szCs w:val="20"/>
              </w:rPr>
              <w:t>,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54" w:name="TOC282167653"/>
      <w:bookmarkEnd w:id="53"/>
      <w:bookmarkEnd w:id="54"/>
    </w:p>
    <w:p w14:paraId="58600BE4" w14:textId="29F8590A" w:rsidR="008D0F99" w:rsidRDefault="008D0F99" w:rsidP="003025F9">
      <w:pPr>
        <w:pStyle w:val="Ttulo2"/>
        <w:keepNext/>
        <w:spacing w:line="360" w:lineRule="auto"/>
        <w:jc w:val="center"/>
        <w:rPr>
          <w:rFonts w:ascii="Verdana" w:hAnsi="Verdana"/>
          <w:b/>
        </w:rPr>
      </w:pPr>
      <w:bookmarkStart w:id="55" w:name="_Toc497474975"/>
      <w:r w:rsidRPr="00DA1BE2">
        <w:rPr>
          <w:rFonts w:ascii="Verdana" w:hAnsi="Verdana"/>
          <w:b/>
        </w:rPr>
        <w:t>ANEXO II - MODELO DA NOTIFICAÇÃO DE CESSÃO</w:t>
      </w:r>
      <w:bookmarkEnd w:id="55"/>
      <w:r w:rsidR="002571AE" w:rsidRPr="00DA1BE2">
        <w:rPr>
          <w:rFonts w:ascii="Verdana" w:hAnsi="Verdana"/>
          <w:b/>
        </w:rPr>
        <w:t xml:space="preserve"> DE CRÉDITOS</w:t>
      </w:r>
    </w:p>
    <w:p w14:paraId="22EAC429" w14:textId="77777777" w:rsidR="006F0828" w:rsidRPr="006F0828" w:rsidRDefault="006F0828" w:rsidP="006F0828">
      <w:pPr>
        <w:pStyle w:val="SemEspaamento"/>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SemEspaamento"/>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proofErr w:type="spellStart"/>
            <w:r w:rsidRPr="001005B5">
              <w:rPr>
                <w:rFonts w:ascii="Verdana" w:hAnsi="Verdana"/>
                <w:b/>
                <w:sz w:val="20"/>
                <w:szCs w:val="20"/>
              </w:rPr>
              <w:t>Pilkington</w:t>
            </w:r>
            <w:proofErr w:type="spellEnd"/>
            <w:r w:rsidRPr="001005B5">
              <w:rPr>
                <w:rFonts w:ascii="Verdana" w:hAnsi="Verdana"/>
                <w:b/>
                <w:sz w:val="20"/>
                <w:szCs w:val="20"/>
              </w:rPr>
              <w:t xml:space="preserve">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CEP 12.286-160</w:t>
            </w:r>
          </w:p>
          <w:p w14:paraId="67D085EC"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 xml:space="preserve">At.: Srs. Leopoldo Carlos Maria </w:t>
            </w:r>
            <w:proofErr w:type="spellStart"/>
            <w:r w:rsidRPr="001005B5">
              <w:rPr>
                <w:rFonts w:ascii="Verdana" w:hAnsi="Verdana"/>
                <w:sz w:val="20"/>
                <w:szCs w:val="20"/>
              </w:rPr>
              <w:t>Garcés</w:t>
            </w:r>
            <w:proofErr w:type="spellEnd"/>
            <w:r w:rsidRPr="001005B5">
              <w:rPr>
                <w:rFonts w:ascii="Verdana" w:hAnsi="Verdana"/>
                <w:sz w:val="20"/>
                <w:szCs w:val="20"/>
              </w:rPr>
              <w:t xml:space="preserve"> </w:t>
            </w:r>
            <w:proofErr w:type="spellStart"/>
            <w:r w:rsidRPr="001005B5">
              <w:rPr>
                <w:rFonts w:ascii="Verdana" w:hAnsi="Verdana"/>
                <w:sz w:val="20"/>
                <w:szCs w:val="20"/>
              </w:rPr>
              <w:t>Castiella</w:t>
            </w:r>
            <w:proofErr w:type="spellEnd"/>
            <w:r w:rsidRPr="001005B5">
              <w:rPr>
                <w:rFonts w:ascii="Verdana" w:hAnsi="Verdana"/>
                <w:sz w:val="20"/>
                <w:szCs w:val="20"/>
              </w:rPr>
              <w:t xml:space="preserve">, José Walter Schmidt Junior, </w:t>
            </w:r>
            <w:proofErr w:type="spellStart"/>
            <w:r w:rsidRPr="001005B5">
              <w:rPr>
                <w:rFonts w:ascii="Verdana" w:hAnsi="Verdana"/>
                <w:sz w:val="20"/>
                <w:szCs w:val="20"/>
              </w:rPr>
              <w:t>Alderlan</w:t>
            </w:r>
            <w:proofErr w:type="spellEnd"/>
            <w:r w:rsidRPr="001005B5">
              <w:rPr>
                <w:rFonts w:ascii="Verdana" w:hAnsi="Verdana"/>
                <w:sz w:val="20"/>
                <w:szCs w:val="20"/>
              </w:rPr>
              <w:t xml:space="preserve"> </w:t>
            </w:r>
            <w:proofErr w:type="spellStart"/>
            <w:r w:rsidRPr="001005B5">
              <w:rPr>
                <w:rFonts w:ascii="Verdana" w:hAnsi="Verdana"/>
                <w:sz w:val="20"/>
                <w:szCs w:val="20"/>
              </w:rPr>
              <w:t>Vitalino</w:t>
            </w:r>
            <w:proofErr w:type="spellEnd"/>
            <w:r w:rsidRPr="001005B5">
              <w:rPr>
                <w:rFonts w:ascii="Verdana" w:hAnsi="Verdana"/>
                <w:sz w:val="20"/>
                <w:szCs w:val="20"/>
              </w:rPr>
              <w:t xml:space="preserve"> e Aguinaldo Balata</w:t>
            </w:r>
          </w:p>
          <w:p w14:paraId="45AEA68B"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Tel.: </w:t>
            </w:r>
            <w:r>
              <w:rPr>
                <w:rFonts w:ascii="Verdana" w:hAnsi="Verdana" w:cs="Arial"/>
                <w:sz w:val="20"/>
                <w:szCs w:val="20"/>
              </w:rPr>
              <w:t>[●]</w:t>
            </w:r>
          </w:p>
          <w:p w14:paraId="58380D58"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E-mail: </w:t>
            </w:r>
            <w:r>
              <w:rPr>
                <w:rFonts w:ascii="Verdana" w:hAnsi="Verdana" w:cs="Arial"/>
                <w:sz w:val="20"/>
                <w:szCs w:val="20"/>
              </w:rPr>
              <w:t>[●]</w:t>
            </w:r>
          </w:p>
          <w:p w14:paraId="2434A46F" w14:textId="77777777" w:rsidR="00AA73D1" w:rsidRPr="00AA73D1" w:rsidRDefault="00AA73D1" w:rsidP="00AA73D1">
            <w:pPr>
              <w:pStyle w:val="SemEspaamento"/>
              <w:spacing w:line="360" w:lineRule="auto"/>
              <w:jc w:val="both"/>
              <w:rPr>
                <w:rFonts w:ascii="Verdana" w:hAnsi="Verdana"/>
                <w:sz w:val="20"/>
                <w:szCs w:val="20"/>
              </w:rPr>
            </w:pPr>
          </w:p>
          <w:p w14:paraId="129502AE"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proofErr w:type="spellStart"/>
            <w:r w:rsidRPr="00F374A9">
              <w:rPr>
                <w:rFonts w:ascii="Verdana" w:hAnsi="Verdana"/>
                <w:i/>
                <w:iCs/>
                <w:sz w:val="20"/>
                <w:szCs w:val="20"/>
              </w:rPr>
              <w:t>Built</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to</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Suit</w:t>
            </w:r>
            <w:proofErr w:type="spellEnd"/>
            <w:r w:rsidRPr="00AA73D1">
              <w:rPr>
                <w:rFonts w:ascii="Verdana" w:hAnsi="Verdana"/>
                <w:sz w:val="20"/>
                <w:szCs w:val="20"/>
              </w:rPr>
              <w:t xml:space="preserve"> e seus aditivos</w:t>
            </w:r>
          </w:p>
          <w:p w14:paraId="79948435" w14:textId="77777777" w:rsidR="00AA73D1" w:rsidRPr="00AA73D1" w:rsidRDefault="00AA73D1" w:rsidP="00AA73D1">
            <w:pPr>
              <w:pStyle w:val="SemEspaamento"/>
              <w:spacing w:line="360" w:lineRule="auto"/>
              <w:jc w:val="both"/>
              <w:rPr>
                <w:rFonts w:ascii="Verdana" w:hAnsi="Verdana"/>
                <w:sz w:val="20"/>
                <w:szCs w:val="20"/>
              </w:rPr>
            </w:pPr>
          </w:p>
          <w:p w14:paraId="51A0CB88"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SemEspaamento"/>
              <w:spacing w:line="360" w:lineRule="auto"/>
              <w:jc w:val="both"/>
              <w:rPr>
                <w:rFonts w:ascii="Verdana" w:hAnsi="Verdana"/>
                <w:sz w:val="20"/>
                <w:szCs w:val="20"/>
              </w:rPr>
            </w:pPr>
          </w:p>
          <w:p w14:paraId="26B2D871" w14:textId="4C76E251"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 xml:space="preserve">Instrumento Particular Atípico de Desenvolvimento de Edificação, Construção sob Encomenda e Locação Atípica, na Modalidade de </w:t>
            </w:r>
            <w:proofErr w:type="spellStart"/>
            <w:r w:rsidRPr="00EA6772">
              <w:rPr>
                <w:rFonts w:ascii="Verdana" w:hAnsi="Verdana"/>
                <w:i/>
                <w:sz w:val="20"/>
                <w:szCs w:val="20"/>
              </w:rPr>
              <w:t>Built</w:t>
            </w:r>
            <w:proofErr w:type="spellEnd"/>
            <w:r w:rsidRPr="00EA6772">
              <w:rPr>
                <w:rFonts w:ascii="Verdana" w:hAnsi="Verdana"/>
                <w:i/>
                <w:sz w:val="20"/>
                <w:szCs w:val="20"/>
              </w:rPr>
              <w:t xml:space="preserve"> </w:t>
            </w:r>
            <w:proofErr w:type="spellStart"/>
            <w:r w:rsidRPr="00EA6772">
              <w:rPr>
                <w:rFonts w:ascii="Verdana" w:hAnsi="Verdana"/>
                <w:i/>
                <w:sz w:val="20"/>
                <w:szCs w:val="20"/>
              </w:rPr>
              <w:t>to</w:t>
            </w:r>
            <w:proofErr w:type="spellEnd"/>
            <w:r w:rsidRPr="00EA6772">
              <w:rPr>
                <w:rFonts w:ascii="Verdana" w:hAnsi="Verdana"/>
                <w:i/>
                <w:sz w:val="20"/>
                <w:szCs w:val="20"/>
              </w:rPr>
              <w:t xml:space="preserve"> </w:t>
            </w:r>
            <w:proofErr w:type="spellStart"/>
            <w:r w:rsidRPr="00EA6772">
              <w:rPr>
                <w:rFonts w:ascii="Verdana" w:hAnsi="Verdana"/>
                <w:i/>
                <w:sz w:val="20"/>
                <w:szCs w:val="20"/>
              </w:rPr>
              <w:t>Suit</w:t>
            </w:r>
            <w:proofErr w:type="spellEnd"/>
            <w:r w:rsidRPr="00AA73D1">
              <w:rPr>
                <w:rFonts w:ascii="Verdana" w:hAnsi="Verdana"/>
                <w:sz w:val="20"/>
                <w:szCs w:val="20"/>
              </w:rPr>
              <w:t xml:space="preserve"> celebrado, em 05 de setembro de 2011, entre Salus Fundo de Investimento Imobiliário – FII, na qualidade de locadora, </w:t>
            </w:r>
            <w:proofErr w:type="spellStart"/>
            <w:r w:rsidRPr="00AA73D1">
              <w:rPr>
                <w:rFonts w:ascii="Verdana" w:hAnsi="Verdana"/>
                <w:sz w:val="20"/>
                <w:szCs w:val="20"/>
              </w:rPr>
              <w:t>Pilkington</w:t>
            </w:r>
            <w:proofErr w:type="spellEnd"/>
            <w:r w:rsidRPr="00AA73D1">
              <w:rPr>
                <w:rFonts w:ascii="Verdana" w:hAnsi="Verdana"/>
                <w:sz w:val="20"/>
                <w:szCs w:val="20"/>
              </w:rPr>
              <w:t xml:space="preserve"> Brasil Ltda., na qualidade de locatária, e RB Capital Securitizadora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SemEspaamento"/>
              <w:spacing w:line="360" w:lineRule="auto"/>
              <w:jc w:val="both"/>
              <w:rPr>
                <w:rFonts w:ascii="Verdana" w:hAnsi="Verdana"/>
                <w:sz w:val="20"/>
                <w:szCs w:val="20"/>
              </w:rPr>
            </w:pPr>
          </w:p>
          <w:p w14:paraId="700AF0BF" w14:textId="02403326"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w:t>
            </w:r>
            <w:r w:rsidRPr="00AA73D1">
              <w:rPr>
                <w:rFonts w:ascii="Verdana" w:hAnsi="Verdana"/>
                <w:sz w:val="20"/>
                <w:szCs w:val="20"/>
              </w:rPr>
              <w:lastRenderedPageBreak/>
              <w:t>Aditado, deverá ser efetuado nos prazos e nos termos das Cláusulas 3.2 e 3.3 do Segundo 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SemEspaamento"/>
              <w:spacing w:line="360" w:lineRule="auto"/>
              <w:jc w:val="both"/>
              <w:rPr>
                <w:rFonts w:ascii="Verdana" w:hAnsi="Verdana"/>
                <w:sz w:val="20"/>
                <w:szCs w:val="20"/>
              </w:rPr>
            </w:pPr>
          </w:p>
          <w:p w14:paraId="3F1C0E36"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SemEspaamento"/>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56"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56"/>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Recuodecorpodetexto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1DA27" w14:textId="77777777" w:rsidR="006A425E" w:rsidRDefault="006A425E">
      <w:r>
        <w:separator/>
      </w:r>
    </w:p>
  </w:endnote>
  <w:endnote w:type="continuationSeparator" w:id="0">
    <w:p w14:paraId="059CFDC8" w14:textId="77777777" w:rsidR="006A425E" w:rsidRDefault="006A425E">
      <w:r>
        <w:continuationSeparator/>
      </w:r>
    </w:p>
  </w:endnote>
  <w:endnote w:type="continuationNotice" w:id="1">
    <w:p w14:paraId="63AFADCB" w14:textId="77777777" w:rsidR="006A425E" w:rsidRDefault="006A4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6A425E" w:rsidRPr="00C9658B" w:rsidRDefault="006A425E">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sidR="00F036DC">
          <w:rPr>
            <w:rFonts w:ascii="Trebuchet MS" w:hAnsi="Trebuchet MS" w:cs="Leelawadee"/>
          </w:rPr>
          <w:t>26</w:t>
        </w:r>
        <w:r w:rsidRPr="00C9658B">
          <w:rPr>
            <w:rFonts w:ascii="Trebuchet MS" w:hAnsi="Trebuchet MS" w:cs="Leelawadee"/>
          </w:rPr>
          <w:fldChar w:fldCharType="end"/>
        </w:r>
      </w:p>
    </w:sdtContent>
  </w:sdt>
  <w:p w14:paraId="40C05BE7" w14:textId="77777777" w:rsidR="006A425E" w:rsidRPr="00713E98" w:rsidRDefault="006A425E">
    <w:pPr>
      <w:pStyle w:val="Rodap"/>
      <w:rPr>
        <w:rFonts w:ascii="Leelawadee" w:hAnsi="Leelawadee" w:cs="Leelawad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7637" w14:textId="77777777" w:rsidR="006A425E" w:rsidRPr="00D60EB8" w:rsidRDefault="006A425E">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sidR="00E002AE">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A780" w14:textId="77777777" w:rsidR="006A425E" w:rsidRDefault="006A425E">
      <w:r>
        <w:separator/>
      </w:r>
    </w:p>
  </w:footnote>
  <w:footnote w:type="continuationSeparator" w:id="0">
    <w:p w14:paraId="03D48617" w14:textId="77777777" w:rsidR="006A425E" w:rsidRDefault="006A425E">
      <w:r>
        <w:continuationSeparator/>
      </w:r>
    </w:p>
  </w:footnote>
  <w:footnote w:type="continuationNotice" w:id="1">
    <w:p w14:paraId="35DB0081" w14:textId="77777777" w:rsidR="006A425E" w:rsidRDefault="006A425E"/>
  </w:footnote>
  <w:footnote w:id="2">
    <w:p w14:paraId="7BD36135" w14:textId="779A421D" w:rsidR="006A425E" w:rsidRDefault="006A425E">
      <w:pPr>
        <w:pStyle w:val="Textodenotaderodap"/>
      </w:pPr>
      <w:r>
        <w:rPr>
          <w:rStyle w:val="Refdenotaderodap"/>
        </w:rPr>
        <w:footnoteRef/>
      </w:r>
      <w:r>
        <w:t xml:space="preserve"> Nota para Gaia: Como são dois os lastros do CRI – um atualmente vinculado aos CRI em circulação e outro à CCI unitária recém emitida, optamos por quebrar inicialmente o conceito de Créditos Imobiliários. Porém, depois, adotamos um único conceito, definindo-o mais adiante.</w:t>
      </w:r>
    </w:p>
  </w:footnote>
  <w:footnote w:id="3">
    <w:p w14:paraId="2503825D" w14:textId="71FC9062" w:rsidR="006A425E" w:rsidRPr="002C3F9C" w:rsidRDefault="006A425E">
      <w:pPr>
        <w:pStyle w:val="Textodenotaderodap"/>
        <w:rPr>
          <w:rFonts w:ascii="Verdana" w:hAnsi="Verdana"/>
          <w:sz w:val="18"/>
          <w:szCs w:val="18"/>
        </w:rPr>
      </w:pPr>
      <w:r w:rsidRPr="002C3F9C">
        <w:rPr>
          <w:rStyle w:val="Refdenotaderodap"/>
          <w:rFonts w:ascii="Verdana" w:hAnsi="Verdana"/>
          <w:sz w:val="18"/>
          <w:szCs w:val="18"/>
        </w:rPr>
        <w:footnoteRef/>
      </w:r>
      <w:r w:rsidRPr="002C3F9C">
        <w:rPr>
          <w:rFonts w:ascii="Verdana" w:hAnsi="Verdana"/>
          <w:sz w:val="18"/>
          <w:szCs w:val="18"/>
        </w:rPr>
        <w:t xml:space="preserve">Nota </w:t>
      </w:r>
      <w:r>
        <w:rPr>
          <w:rFonts w:ascii="Verdana" w:hAnsi="Verdana"/>
          <w:sz w:val="18"/>
          <w:szCs w:val="18"/>
        </w:rPr>
        <w:t>para RB</w:t>
      </w:r>
      <w:r w:rsidRPr="002C3F9C">
        <w:rPr>
          <w:rFonts w:ascii="Verdana" w:hAnsi="Verdana"/>
          <w:sz w:val="18"/>
          <w:szCs w:val="18"/>
        </w:rPr>
        <w:t xml:space="preserve">: </w:t>
      </w:r>
      <w:r>
        <w:rPr>
          <w:rFonts w:ascii="Verdana" w:hAnsi="Verdana"/>
          <w:sz w:val="18"/>
          <w:szCs w:val="18"/>
        </w:rPr>
        <w:t>favor confirmar procedimento de atualização</w:t>
      </w:r>
      <w:r w:rsidRPr="002C3F9C">
        <w:rPr>
          <w:rFonts w:ascii="Verdana" w:hAnsi="Verdana"/>
          <w:sz w:val="18"/>
          <w:szCs w:val="18"/>
        </w:rPr>
        <w:t>.</w:t>
      </w:r>
    </w:p>
  </w:footnote>
  <w:footnote w:id="4">
    <w:p w14:paraId="6A6B8EDC" w14:textId="41E96D34" w:rsidR="006A425E" w:rsidRPr="002C3F9C" w:rsidRDefault="006A425E">
      <w:pPr>
        <w:pStyle w:val="Textodenotaderodap"/>
        <w:rPr>
          <w:rFonts w:ascii="Verdana" w:hAnsi="Verdana"/>
          <w:sz w:val="18"/>
          <w:szCs w:val="18"/>
        </w:rPr>
      </w:pPr>
      <w:r w:rsidRPr="002C3F9C">
        <w:rPr>
          <w:rStyle w:val="Refdenotaderodap"/>
          <w:rFonts w:ascii="Verdana" w:hAnsi="Verdana"/>
          <w:sz w:val="18"/>
          <w:szCs w:val="18"/>
        </w:rPr>
        <w:footnoteRef/>
      </w:r>
      <w:r w:rsidRPr="002C3F9C">
        <w:rPr>
          <w:rFonts w:ascii="Verdana" w:hAnsi="Verdana"/>
          <w:sz w:val="18"/>
          <w:szCs w:val="18"/>
        </w:rPr>
        <w:t xml:space="preserve"> Nota </w:t>
      </w:r>
      <w:r>
        <w:rPr>
          <w:rFonts w:ascii="Verdana" w:hAnsi="Verdana"/>
          <w:sz w:val="18"/>
          <w:szCs w:val="18"/>
        </w:rPr>
        <w:t>para Gaia</w:t>
      </w:r>
      <w:r w:rsidRPr="002C3F9C">
        <w:rPr>
          <w:rFonts w:ascii="Verdana" w:hAnsi="Verdana"/>
          <w:sz w:val="18"/>
          <w:szCs w:val="18"/>
        </w:rPr>
        <w:t xml:space="preserve">: </w:t>
      </w:r>
      <w:r>
        <w:rPr>
          <w:rFonts w:ascii="Verdana" w:hAnsi="Verdana"/>
          <w:sz w:val="18"/>
          <w:szCs w:val="18"/>
        </w:rPr>
        <w:t>Entendemos que não há empecilho para a prestação dessa declaração pois a CCI do CRI em circulação será resgatada anteriormente à emissão do novo CRI, ainda que operacionalmente o resgate e vinculação sejam simultâneos</w:t>
      </w:r>
      <w:r w:rsidRPr="002C3F9C">
        <w:rPr>
          <w:rFonts w:ascii="Verdana" w:hAnsi="Verdana"/>
          <w:sz w:val="18"/>
          <w:szCs w:val="18"/>
        </w:rPr>
        <w:t>.</w:t>
      </w:r>
    </w:p>
  </w:footnote>
  <w:footnote w:id="5">
    <w:p w14:paraId="6BFA89CB" w14:textId="0356C11E" w:rsidR="006A425E" w:rsidRPr="002C3F9C" w:rsidRDefault="006A425E">
      <w:pPr>
        <w:pStyle w:val="Textodenotaderodap"/>
        <w:rPr>
          <w:rFonts w:ascii="Verdana" w:hAnsi="Verdana"/>
          <w:sz w:val="18"/>
          <w:szCs w:val="18"/>
        </w:rPr>
      </w:pPr>
      <w:r w:rsidRPr="002C3F9C">
        <w:rPr>
          <w:rStyle w:val="Refdenotaderodap"/>
          <w:rFonts w:ascii="Verdana" w:hAnsi="Verdana"/>
          <w:sz w:val="18"/>
          <w:szCs w:val="18"/>
        </w:rPr>
        <w:footnoteRef/>
      </w:r>
      <w:r w:rsidRPr="002C3F9C">
        <w:rPr>
          <w:rFonts w:ascii="Verdana" w:hAnsi="Verdana"/>
          <w:sz w:val="18"/>
          <w:szCs w:val="18"/>
        </w:rPr>
        <w:t xml:space="preserve"> Nota para Gaia e RB: Favor confirmar todos os dados de comunicação.</w:t>
      </w:r>
    </w:p>
  </w:footnote>
  <w:footnote w:id="6">
    <w:p w14:paraId="772C412E" w14:textId="4BC8983B" w:rsidR="006A425E" w:rsidRDefault="006A425E">
      <w:pPr>
        <w:pStyle w:val="Textodenotaderodap"/>
      </w:pPr>
      <w:r>
        <w:rPr>
          <w:rStyle w:val="Refdenotaderodap"/>
        </w:rPr>
        <w:footnoteRef/>
      </w:r>
      <w:r>
        <w:t xml:space="preserve"> Nota para Gaia: O valor do crédito representado pela CCI é uma exigência da Lei nº 10.931, art. 19, VI.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CB6EEBF6"/>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648"/>
    <w:rsid w:val="00115FB2"/>
    <w:rsid w:val="001163FC"/>
    <w:rsid w:val="00116FE7"/>
    <w:rsid w:val="00117273"/>
    <w:rsid w:val="00117514"/>
    <w:rsid w:val="00117723"/>
    <w:rsid w:val="00117748"/>
    <w:rsid w:val="00117E1D"/>
    <w:rsid w:val="00120112"/>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AB5"/>
    <w:rsid w:val="00B2001E"/>
    <w:rsid w:val="00B20B4E"/>
    <w:rsid w:val="00B20BED"/>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677B"/>
    <w:rsid w:val="00C5688D"/>
    <w:rsid w:val="00C56C90"/>
    <w:rsid w:val="00C574FA"/>
    <w:rsid w:val="00C5755E"/>
    <w:rsid w:val="00C575F7"/>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8EC"/>
    <w:rsid w:val="00D63B6C"/>
    <w:rsid w:val="00D6449B"/>
    <w:rsid w:val="00D64975"/>
    <w:rsid w:val="00D6497B"/>
    <w:rsid w:val="00D64F99"/>
    <w:rsid w:val="00D65C68"/>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AB9"/>
    <w:rsid w:val="00D91B32"/>
    <w:rsid w:val="00D91F7C"/>
    <w:rsid w:val="00D92358"/>
    <w:rsid w:val="00D925C3"/>
    <w:rsid w:val="00D9260D"/>
    <w:rsid w:val="00D9279B"/>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61F2"/>
    <w:rsid w:val="00DE6486"/>
    <w:rsid w:val="00DE652B"/>
    <w:rsid w:val="00DE6936"/>
    <w:rsid w:val="00DE6D85"/>
    <w:rsid w:val="00DE74A8"/>
    <w:rsid w:val="00DE7906"/>
    <w:rsid w:val="00DE7973"/>
    <w:rsid w:val="00DE7F00"/>
    <w:rsid w:val="00DF016C"/>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2.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DCEC4-C441-4044-9E0E-BEADB7471A2E}">
  <ds:schemaRefs>
    <ds:schemaRef ds:uri="http://purl.org/dc/terms/"/>
    <ds:schemaRef ds:uri="3d645ca5-30c4-4270-9d85-86aba2d8f82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5f61430-050b-48a0-8214-bc3c6854fc4b"/>
    <ds:schemaRef ds:uri="http://www.w3.org/XML/1998/namespace"/>
    <ds:schemaRef ds:uri="http://purl.org/dc/dcmitype/"/>
  </ds:schemaRefs>
</ds:datastoreItem>
</file>

<file path=customXml/itemProps4.xml><?xml version="1.0" encoding="utf-8"?>
<ds:datastoreItem xmlns:ds="http://schemas.openxmlformats.org/officeDocument/2006/customXml" ds:itemID="{06009456-CAB2-46D2-A0F6-3AEC5861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6739</Words>
  <Characters>37728</Characters>
  <Application>Microsoft Office Word</Application>
  <DocSecurity>0</DocSecurity>
  <Lines>967</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TozziniFreire Advogados</cp:lastModifiedBy>
  <cp:revision>3</cp:revision>
  <cp:lastPrinted>2019-09-20T19:39:00Z</cp:lastPrinted>
  <dcterms:created xsi:type="dcterms:W3CDTF">2020-07-29T22:38:00Z</dcterms:created>
  <dcterms:modified xsi:type="dcterms:W3CDTF">2020-07-29T23:02:00Z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20200729194437299</vt:lpwstr>
  </property>
</Properties>
</file>