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4FF1E32C"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1º andar, conjunto 12,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0" w:name="_DV_C12"/>
      <w:r w:rsidRPr="004B5813">
        <w:rPr>
          <w:rFonts w:ascii="Segoe UI" w:hAnsi="Segoe UI"/>
        </w:rPr>
        <w:t>,</w:t>
      </w:r>
      <w:bookmarkEnd w:id="10"/>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1" w:name="_Hlk26220528"/>
      <w:bookmarkStart w:id="12"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06C14783"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w:t>
      </w:r>
      <w:r w:rsidR="00D77CAC">
        <w:rPr>
          <w:rFonts w:ascii="Segoe UI" w:hAnsi="Segoe UI"/>
        </w:rPr>
        <w:t>Gilberto Sabino, nº 215 – 4º andar, Pinheiros, CEP 05425-</w:t>
      </w:r>
      <w:proofErr w:type="gramStart"/>
      <w:r w:rsidR="00D77CAC">
        <w:rPr>
          <w:rFonts w:ascii="Segoe UI" w:hAnsi="Segoe UI"/>
        </w:rPr>
        <w:t>020</w:t>
      </w:r>
      <w:r w:rsidR="00D77CAC" w:rsidRPr="004B5813" w:rsidDel="00D77CAC">
        <w:rPr>
          <w:rFonts w:ascii="Segoe UI" w:hAnsi="Segoe UI"/>
        </w:rPr>
        <w:t xml:space="preserve"> </w:t>
      </w:r>
      <w:r w:rsidRPr="004B5813">
        <w:rPr>
          <w:rFonts w:ascii="Segoe UI" w:hAnsi="Segoe UI"/>
        </w:rPr>
        <w:t>,</w:t>
      </w:r>
      <w:proofErr w:type="gramEnd"/>
      <w:r w:rsidRPr="004B5813">
        <w:rPr>
          <w:rFonts w:ascii="Segoe UI" w:hAnsi="Segoe UI"/>
        </w:rPr>
        <w:t xml:space="preserve">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3" w:name="_Toc41728596"/>
      <w:bookmarkStart w:id="14" w:name="_Hlk26359152"/>
      <w:bookmarkStart w:id="15" w:name="_Hlk26359189"/>
      <w:bookmarkStart w:id="16" w:name="_Hlk26175848"/>
      <w:bookmarkStart w:id="17" w:name="_Hlk27471016"/>
      <w:bookmarkStart w:id="18" w:name="_Hlk25855349"/>
      <w:bookmarkEnd w:id="11"/>
      <w:bookmarkEnd w:id="12"/>
      <w:r w:rsidRPr="004B5813">
        <w:rPr>
          <w:rFonts w:ascii="Segoe UI" w:hAnsi="Segoe UI"/>
          <w:b/>
          <w:color w:val="auto"/>
        </w:rPr>
        <w:t>CONSIDERANDO QUE</w:t>
      </w:r>
      <w:bookmarkEnd w:id="13"/>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19"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0" w:name="_Hlk35697703"/>
      <w:r w:rsidRPr="004B5813">
        <w:rPr>
          <w:rFonts w:ascii="Segoe UI" w:hAnsi="Segoe UI"/>
        </w:rPr>
        <w:t>;</w:t>
      </w:r>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1" w:name="_Ref434649480"/>
      <w:r w:rsidRPr="004B5813">
        <w:rPr>
          <w:rFonts w:ascii="Segoe UI" w:eastAsia="Arial Unicode MS" w:hAnsi="Segoe UI"/>
        </w:rPr>
        <w:lastRenderedPageBreak/>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2" w:name="_DV_M0"/>
      <w:bookmarkStart w:id="23" w:name="_DV_M1"/>
      <w:bookmarkStart w:id="24" w:name="_DV_M2"/>
      <w:bookmarkStart w:id="25" w:name="_DV_M3"/>
      <w:bookmarkEnd w:id="22"/>
      <w:bookmarkEnd w:id="23"/>
      <w:bookmarkEnd w:id="24"/>
      <w:bookmarkEnd w:id="25"/>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26" w:name="_Ref424855173"/>
      <w:bookmarkEnd w:id="21"/>
      <w:r w:rsidRPr="009E4F24">
        <w:rPr>
          <w:rFonts w:ascii="Segoe UI" w:hAnsi="Segoe UI" w:cs="Segoe UI"/>
          <w:color w:val="auto"/>
        </w:rPr>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E8B6EAC"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w:t>
      </w:r>
    </w:p>
    <w:p w14:paraId="6B23CB2F" w14:textId="4902EC6B" w:rsidR="002F10D4"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27" w:name="_DV_M24"/>
      <w:bookmarkStart w:id="28" w:name="_DV_M25"/>
      <w:bookmarkStart w:id="29" w:name="_DV_M26"/>
      <w:bookmarkStart w:id="30" w:name="_DV_M27"/>
      <w:bookmarkStart w:id="31" w:name="_DV_M28"/>
      <w:bookmarkStart w:id="32" w:name="_DV_M29"/>
      <w:bookmarkStart w:id="33" w:name="_DV_M30"/>
      <w:bookmarkStart w:id="34" w:name="_DV_M32"/>
      <w:bookmarkStart w:id="35" w:name="_DV_M34"/>
      <w:bookmarkStart w:id="36" w:name="_DV_M35"/>
      <w:bookmarkStart w:id="37" w:name="_DV_M79"/>
      <w:bookmarkStart w:id="38" w:name="_Hlk129195091"/>
      <w:bookmarkStart w:id="39" w:name="_Hlk127262500"/>
      <w:bookmarkEnd w:id="19"/>
      <w:bookmarkEnd w:id="20"/>
      <w:bookmarkEnd w:id="27"/>
      <w:bookmarkEnd w:id="28"/>
      <w:bookmarkEnd w:id="29"/>
      <w:bookmarkEnd w:id="30"/>
      <w:bookmarkEnd w:id="31"/>
      <w:bookmarkEnd w:id="32"/>
      <w:bookmarkEnd w:id="33"/>
      <w:bookmarkEnd w:id="34"/>
      <w:bookmarkEnd w:id="35"/>
      <w:bookmarkEnd w:id="36"/>
      <w:bookmarkEnd w:id="37"/>
      <w:r w:rsidRPr="00772C6C">
        <w:rPr>
          <w:rFonts w:ascii="Segoe UI" w:hAnsi="Segoe UI"/>
        </w:rPr>
        <w:t xml:space="preserve">em 23 de janeiro de 2023, os titulares dos CRI aprovaram, em Assembleia Especial de Investidores de CRI especialmente convocada para esse fim, dentre outras matérias, </w:t>
      </w:r>
      <w:bookmarkStart w:id="40" w:name="_Hlk29580085"/>
      <w:bookmarkStart w:id="41" w:name="_Hlk30083278"/>
      <w:bookmarkStart w:id="42" w:name="_Hlk29580317"/>
      <w:r w:rsidRPr="00772C6C">
        <w:rPr>
          <w:rFonts w:ascii="Segoe UI" w:hAnsi="Segoe UI"/>
        </w:rPr>
        <w:t xml:space="preserve">a </w:t>
      </w:r>
      <w:r w:rsidRPr="00772C6C">
        <w:rPr>
          <w:rFonts w:ascii="Segoe UI" w:hAnsi="Segoe UI"/>
          <w:b/>
        </w:rPr>
        <w:t>(a)</w:t>
      </w:r>
      <w:r w:rsidRPr="00772C6C">
        <w:rPr>
          <w:rFonts w:ascii="Segoe UI" w:hAnsi="Segoe UI"/>
        </w:rPr>
        <w:t> não decretação de Vencimento Antecipado Não Automático descrito na Cláusula 8.2, (</w:t>
      </w:r>
      <w:proofErr w:type="spellStart"/>
      <w:r w:rsidRPr="00772C6C">
        <w:rPr>
          <w:rFonts w:ascii="Segoe UI" w:hAnsi="Segoe UI"/>
        </w:rPr>
        <w:t>xxviii</w:t>
      </w:r>
      <w:proofErr w:type="spellEnd"/>
      <w:r w:rsidRPr="00772C6C">
        <w:rPr>
          <w:rFonts w:ascii="Segoe UI" w:hAnsi="Segoe UI"/>
        </w:rPr>
        <w:t xml:space="preserve">), (a.1) da Escritura de Emissão, e </w:t>
      </w:r>
      <w:r w:rsidRPr="00772C6C">
        <w:rPr>
          <w:rFonts w:ascii="Segoe UI" w:hAnsi="Segoe UI"/>
          <w:b/>
        </w:rPr>
        <w:t>(b)</w:t>
      </w:r>
      <w:r w:rsidRPr="00772C6C">
        <w:rPr>
          <w:rFonts w:ascii="Segoe UI" w:hAnsi="Segoe UI"/>
        </w:rPr>
        <w:t xml:space="preserve"> alteração das Cláusulas: </w:t>
      </w:r>
      <w:r w:rsidRPr="00772C6C">
        <w:rPr>
          <w:rFonts w:ascii="Segoe UI" w:hAnsi="Segoe UI"/>
          <w:b/>
        </w:rPr>
        <w:t>(1)</w:t>
      </w:r>
      <w:r w:rsidRPr="00772C6C">
        <w:rPr>
          <w:rFonts w:ascii="Segoe UI" w:hAnsi="Segoe UI"/>
        </w:rPr>
        <w:t xml:space="preserve"> 7.18; </w:t>
      </w:r>
      <w:r w:rsidRPr="00772C6C">
        <w:rPr>
          <w:rFonts w:ascii="Segoe UI" w:hAnsi="Segoe UI"/>
          <w:b/>
        </w:rPr>
        <w:t>(2)</w:t>
      </w:r>
      <w:r w:rsidRPr="00772C6C">
        <w:rPr>
          <w:rFonts w:ascii="Segoe UI" w:hAnsi="Segoe UI"/>
        </w:rPr>
        <w:t xml:space="preserve"> 7.18.1; </w:t>
      </w:r>
      <w:r w:rsidRPr="00772C6C">
        <w:rPr>
          <w:rFonts w:ascii="Segoe UI" w:hAnsi="Segoe UI"/>
          <w:b/>
        </w:rPr>
        <w:t>(3)</w:t>
      </w:r>
      <w:r w:rsidRPr="00772C6C">
        <w:rPr>
          <w:rFonts w:ascii="Segoe UI" w:hAnsi="Segoe UI"/>
        </w:rPr>
        <w:t xml:space="preserve"> 8.2; e </w:t>
      </w:r>
      <w:r w:rsidRPr="00772C6C">
        <w:rPr>
          <w:rFonts w:ascii="Segoe UI" w:hAnsi="Segoe UI"/>
          <w:b/>
        </w:rPr>
        <w:t>(4)</w:t>
      </w:r>
      <w:r w:rsidRPr="00772C6C">
        <w:rPr>
          <w:rFonts w:ascii="Segoe UI" w:hAnsi="Segoe UI"/>
        </w:rPr>
        <w:t xml:space="preserve"> 9.1. da Escritura de Emissão</w:t>
      </w:r>
      <w:bookmarkEnd w:id="40"/>
      <w:r w:rsidRPr="00772C6C">
        <w:rPr>
          <w:rFonts w:ascii="Segoe UI" w:hAnsi="Segoe UI"/>
        </w:rPr>
        <w:t xml:space="preserve">, bem como a celebração do presente </w:t>
      </w:r>
      <w:r w:rsidR="000D3B18">
        <w:rPr>
          <w:rFonts w:ascii="Segoe UI" w:hAnsi="Segoe UI"/>
        </w:rPr>
        <w:t xml:space="preserve">Primeiro </w:t>
      </w:r>
      <w:r w:rsidRPr="00772C6C">
        <w:rPr>
          <w:rFonts w:ascii="Segoe UI" w:hAnsi="Segoe UI"/>
        </w:rPr>
        <w:t>Aditamento</w:t>
      </w:r>
      <w:bookmarkEnd w:id="41"/>
      <w:r w:rsidRPr="00772C6C">
        <w:rPr>
          <w:rFonts w:ascii="Segoe UI" w:hAnsi="Segoe UI"/>
        </w:rPr>
        <w:t xml:space="preserve"> e do aditamento ao Termo de Securitização e aos Contratos de Garantia </w:t>
      </w:r>
      <w:bookmarkEnd w:id="42"/>
      <w:r w:rsidRPr="00772C6C">
        <w:rPr>
          <w:rFonts w:ascii="Segoe UI" w:hAnsi="Segoe UI"/>
        </w:rPr>
        <w:t>(“</w:t>
      </w:r>
      <w:r w:rsidRPr="00772C6C">
        <w:rPr>
          <w:rFonts w:ascii="Segoe UI" w:hAnsi="Segoe UI"/>
          <w:u w:val="single"/>
        </w:rPr>
        <w:t>AGCRI</w:t>
      </w:r>
      <w:r w:rsidRPr="00706B9F">
        <w:rPr>
          <w:rFonts w:ascii="Segoe UI" w:hAnsi="Segoe UI" w:cs="Segoe UI"/>
        </w:rPr>
        <w:t>”</w:t>
      </w:r>
      <w:r>
        <w:rPr>
          <w:rFonts w:ascii="Segoe UI" w:hAnsi="Segoe UI" w:cs="Segoe UI"/>
        </w:rPr>
        <w:t xml:space="preserve"> e “</w:t>
      </w:r>
      <w:r w:rsidRPr="00772C6C">
        <w:rPr>
          <w:rFonts w:ascii="Segoe UI" w:hAnsi="Segoe UI" w:cs="Segoe UI"/>
          <w:u w:val="single"/>
        </w:rPr>
        <w:t>Matérias Objeto da AGCRI</w:t>
      </w:r>
      <w:r>
        <w:rPr>
          <w:rFonts w:ascii="Segoe UI" w:hAnsi="Segoe UI" w:cs="Segoe UI"/>
        </w:rPr>
        <w:t>”, respectivamente</w:t>
      </w:r>
      <w:r w:rsidRPr="00706B9F">
        <w:rPr>
          <w:rFonts w:ascii="Segoe UI" w:hAnsi="Segoe UI" w:cs="Segoe UI"/>
        </w:rPr>
        <w:t>)</w:t>
      </w:r>
      <w:r w:rsidR="008527AF">
        <w:rPr>
          <w:rFonts w:ascii="Segoe UI" w:hAnsi="Segoe UI"/>
        </w:rPr>
        <w:t>;</w:t>
      </w:r>
    </w:p>
    <w:p w14:paraId="495422D1" w14:textId="3CD76C32" w:rsidR="008527AF"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3" w:name="_Hlk129195109"/>
      <w:bookmarkEnd w:id="38"/>
      <w:r w:rsidRPr="00706B9F">
        <w:rPr>
          <w:rFonts w:ascii="Segoe UI" w:hAnsi="Segoe UI" w:cs="Segoe UI"/>
        </w:rPr>
        <w:t>em [</w:t>
      </w:r>
      <w:r w:rsidRPr="00706B9F">
        <w:rPr>
          <w:rFonts w:ascii="Segoe UI" w:hAnsi="Segoe UI" w:cs="Segoe UI"/>
          <w:highlight w:val="yellow"/>
        </w:rPr>
        <w:t>●</w:t>
      </w:r>
      <w:r w:rsidRPr="00706B9F">
        <w:rPr>
          <w:rFonts w:ascii="Segoe UI" w:hAnsi="Segoe UI" w:cs="Segoe UI"/>
        </w:rPr>
        <w:t xml:space="preserve">] de março </w:t>
      </w:r>
      <w:r w:rsidRPr="00706B9F">
        <w:rPr>
          <w:rFonts w:ascii="Segoe UI" w:hAnsi="Segoe UI" w:cs="Segoe UI"/>
          <w:bCs/>
        </w:rPr>
        <w:t>de 2023</w:t>
      </w:r>
      <w:r w:rsidRPr="00706B9F">
        <w:rPr>
          <w:rFonts w:ascii="Segoe UI" w:hAnsi="Segoe UI" w:cs="Segoe UI"/>
        </w:rPr>
        <w:t xml:space="preserve">, foram aprovadas em </w:t>
      </w:r>
      <w:r w:rsidR="00174C4E" w:rsidRPr="00706B9F">
        <w:rPr>
          <w:rFonts w:ascii="Segoe UI" w:hAnsi="Segoe UI" w:cs="Segoe UI"/>
        </w:rPr>
        <w:t xml:space="preserve">Assembleia Geral Extraordinária da </w:t>
      </w:r>
      <w:proofErr w:type="spellStart"/>
      <w:r w:rsidR="00174C4E" w:rsidRPr="004C5381">
        <w:rPr>
          <w:rFonts w:ascii="Segoe UI" w:hAnsi="Segoe UI" w:cs="Segoe UI"/>
          <w:color w:val="auto"/>
        </w:rPr>
        <w:t>Damha</w:t>
      </w:r>
      <w:proofErr w:type="spellEnd"/>
      <w:r w:rsidR="00174C4E" w:rsidRPr="004C5381">
        <w:rPr>
          <w:rFonts w:ascii="Segoe UI" w:hAnsi="Segoe UI" w:cs="Segoe UI"/>
          <w:color w:val="auto"/>
        </w:rPr>
        <w:t xml:space="preserve"> Urbanizadora II</w:t>
      </w:r>
      <w:r w:rsidR="00174C4E" w:rsidRPr="004B5813">
        <w:rPr>
          <w:rFonts w:ascii="Segoe UI" w:hAnsi="Segoe UI"/>
          <w:color w:val="auto"/>
        </w:rPr>
        <w:t xml:space="preserve"> </w:t>
      </w:r>
      <w:r w:rsidR="00174C4E" w:rsidRPr="00706B9F">
        <w:rPr>
          <w:rFonts w:ascii="Segoe UI" w:hAnsi="Segoe UI" w:cs="Segoe UI"/>
        </w:rPr>
        <w:t xml:space="preserve">e em Assembleia Geral Extraordinária da </w:t>
      </w:r>
      <w:r w:rsidR="00174C4E" w:rsidRPr="004C5381">
        <w:rPr>
          <w:rFonts w:ascii="Segoe UI" w:hAnsi="Segoe UI" w:cs="Segoe UI"/>
          <w:color w:val="auto"/>
        </w:rPr>
        <w:t>AD Empreendimentos</w:t>
      </w:r>
      <w:r w:rsidR="00174C4E" w:rsidRPr="00706B9F">
        <w:rPr>
          <w:rFonts w:ascii="Segoe UI" w:hAnsi="Segoe UI" w:cs="Segoe UI"/>
        </w:rPr>
        <w:t>, dentre outras matérias</w:t>
      </w:r>
      <w:r w:rsidRPr="00706B9F">
        <w:rPr>
          <w:rFonts w:ascii="Segoe UI" w:hAnsi="Segoe UI" w:cs="Segoe UI"/>
        </w:rPr>
        <w:t xml:space="preserve">, a alteração </w:t>
      </w:r>
      <w:r>
        <w:rPr>
          <w:rFonts w:ascii="Segoe UI" w:hAnsi="Segoe UI" w:cs="Segoe UI"/>
        </w:rPr>
        <w:t>desta escritura para refletir as Matérias Objeto da AGCRI</w:t>
      </w:r>
      <w:r w:rsidRPr="00706B9F">
        <w:rPr>
          <w:rFonts w:ascii="Segoe UI" w:hAnsi="Segoe UI" w:cs="Segoe UI"/>
        </w:rPr>
        <w:t xml:space="preserve">, bem como a celebração do presente </w:t>
      </w:r>
      <w:r w:rsidR="000D3B18">
        <w:rPr>
          <w:rFonts w:ascii="Segoe UI" w:hAnsi="Segoe UI"/>
        </w:rPr>
        <w:t xml:space="preserve">Primeiro </w:t>
      </w:r>
      <w:r w:rsidRPr="00706B9F">
        <w:rPr>
          <w:rFonts w:ascii="Segoe UI" w:hAnsi="Segoe UI" w:cs="Segoe UI"/>
        </w:rPr>
        <w:t>Aditamento</w:t>
      </w:r>
      <w:r>
        <w:rPr>
          <w:rFonts w:ascii="Segoe UI" w:hAnsi="Segoe UI" w:cs="Segoe UI"/>
        </w:rPr>
        <w:t>,</w:t>
      </w:r>
      <w:r w:rsidRPr="00706B9F">
        <w:rPr>
          <w:rFonts w:ascii="Segoe UI" w:hAnsi="Segoe UI" w:cs="Segoe UI"/>
        </w:rPr>
        <w:t xml:space="preserve"> do aditamento ao Termo de Securitização e aos Contratos de Garantia</w:t>
      </w:r>
      <w:r>
        <w:rPr>
          <w:rFonts w:ascii="Segoe UI" w:hAnsi="Segoe UI" w:cs="Segoe UI"/>
        </w:rPr>
        <w:t>; e</w:t>
      </w:r>
      <w:r w:rsidR="00946DE4">
        <w:rPr>
          <w:rFonts w:ascii="Segoe UI" w:hAnsi="Segoe UI"/>
        </w:rPr>
        <w:t xml:space="preserve"> </w:t>
      </w:r>
    </w:p>
    <w:p w14:paraId="404B0665" w14:textId="48EFC3F3" w:rsidR="009E4F24" w:rsidRPr="004B5813" w:rsidRDefault="008527AF">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4" w:name="_Hlk129193368"/>
      <w:bookmarkEnd w:id="43"/>
      <w:r>
        <w:rPr>
          <w:rFonts w:ascii="Segoe UI" w:hAnsi="Segoe UI"/>
        </w:rPr>
        <w:t>as Partes desejam refletir</w:t>
      </w:r>
      <w:r w:rsidR="00946DE4">
        <w:rPr>
          <w:rFonts w:ascii="Segoe UI" w:hAnsi="Segoe UI"/>
        </w:rPr>
        <w:t xml:space="preserve"> as deliberações da AGCRI no Contrato por meio deste </w:t>
      </w:r>
      <w:r w:rsidR="000D3B18">
        <w:rPr>
          <w:rFonts w:ascii="Segoe UI" w:hAnsi="Segoe UI"/>
        </w:rPr>
        <w:t xml:space="preserve">Primeiro </w:t>
      </w:r>
      <w:r w:rsidR="00946DE4">
        <w:rPr>
          <w:rFonts w:ascii="Segoe UI" w:hAnsi="Segoe UI"/>
        </w:rPr>
        <w:t xml:space="preserve">Aditamento </w:t>
      </w:r>
      <w:r w:rsidR="00946DE4">
        <w:rPr>
          <w:rFonts w:ascii="Segoe UI" w:hAnsi="Segoe UI" w:cs="Segoe UI"/>
        </w:rPr>
        <w:t>(conforme definido abaixo)</w:t>
      </w:r>
      <w:r w:rsidR="00946DE4">
        <w:rPr>
          <w:rFonts w:ascii="Segoe UI" w:hAnsi="Segoe UI"/>
        </w:rPr>
        <w:t>.</w:t>
      </w:r>
      <w:bookmarkEnd w:id="39"/>
    </w:p>
    <w:bookmarkEnd w:id="14"/>
    <w:bookmarkEnd w:id="44"/>
    <w:p w14:paraId="19411CD2" w14:textId="2F5E84B8"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000D3B18">
        <w:rPr>
          <w:rFonts w:ascii="Segoe UI" w:hAnsi="Segoe UI" w:cs="Segoe UI"/>
          <w:color w:val="auto"/>
        </w:rPr>
        <w:t xml:space="preserve"> </w:t>
      </w:r>
      <w:r w:rsidRPr="004B5813">
        <w:rPr>
          <w:rFonts w:ascii="Segoe UI" w:hAnsi="Segoe UI"/>
          <w:color w:val="auto"/>
        </w:rPr>
        <w:t>(“</w:t>
      </w:r>
      <w:r w:rsidR="000D3B18" w:rsidRPr="000A07EB">
        <w:rPr>
          <w:rFonts w:ascii="Segoe UI" w:hAnsi="Segoe UI"/>
          <w:color w:val="auto"/>
          <w:u w:val="single"/>
        </w:rPr>
        <w:t xml:space="preserve">Primeiro </w:t>
      </w:r>
      <w:r w:rsidRPr="00174C4E">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4EE92205" w:rsidR="009E4F24" w:rsidRPr="004B5813" w:rsidRDefault="009E4F24" w:rsidP="009E4F24">
      <w:pPr>
        <w:spacing w:after="240" w:line="320" w:lineRule="atLeast"/>
        <w:jc w:val="both"/>
        <w:rPr>
          <w:rFonts w:ascii="Segoe UI" w:hAnsi="Segoe UI"/>
        </w:rPr>
      </w:pPr>
      <w:r w:rsidRPr="004B5813">
        <w:rPr>
          <w:rFonts w:ascii="Segoe UI" w:eastAsia="SimSun" w:hAnsi="Segoe UI"/>
        </w:rPr>
        <w:t xml:space="preserve">Os termos iniciados em letra maiúscula e não de outra forma definidos neste </w:t>
      </w:r>
      <w:r w:rsidR="000D3B18">
        <w:rPr>
          <w:rFonts w:ascii="Segoe UI" w:hAnsi="Segoe UI"/>
          <w:color w:val="auto"/>
        </w:rPr>
        <w:t xml:space="preserve">Primeiro </w:t>
      </w:r>
      <w:r w:rsidRPr="004B5813">
        <w:rPr>
          <w:rFonts w:ascii="Segoe UI" w:eastAsia="SimSun" w:hAnsi="Segoe UI"/>
        </w:rPr>
        <w:t>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45" w:name="_DV_M36"/>
      <w:bookmarkStart w:id="46" w:name="_DV_M40"/>
      <w:bookmarkStart w:id="47" w:name="_DV_M41"/>
      <w:bookmarkStart w:id="48" w:name="_DV_M92"/>
      <w:bookmarkStart w:id="49" w:name="_DV_M105"/>
      <w:bookmarkStart w:id="50" w:name="_DV_M73"/>
      <w:bookmarkStart w:id="51" w:name="_DV_M74"/>
      <w:bookmarkStart w:id="52" w:name="_DV_M75"/>
      <w:bookmarkStart w:id="53" w:name="_DV_M111"/>
      <w:bookmarkStart w:id="54" w:name="_DV_M118"/>
      <w:bookmarkStart w:id="55" w:name="_DV_M119"/>
      <w:bookmarkStart w:id="56" w:name="_DV_M120"/>
      <w:bookmarkStart w:id="57" w:name="_DV_M121"/>
      <w:bookmarkStart w:id="58" w:name="_DV_M122"/>
      <w:bookmarkStart w:id="59" w:name="_DV_M123"/>
      <w:bookmarkStart w:id="60" w:name="_DV_M126"/>
      <w:bookmarkStart w:id="61" w:name="_DV_M125"/>
      <w:bookmarkStart w:id="62" w:name="_DV_M127"/>
      <w:bookmarkStart w:id="63" w:name="_DV_M128"/>
      <w:bookmarkStart w:id="64" w:name="_DV_M129"/>
      <w:bookmarkStart w:id="65" w:name="_DV_M130"/>
      <w:bookmarkStart w:id="66" w:name="_DV_M132"/>
      <w:bookmarkStart w:id="67" w:name="_DV_M133"/>
      <w:bookmarkStart w:id="68" w:name="_DV_M136"/>
      <w:bookmarkStart w:id="69" w:name="_DV_M139"/>
      <w:bookmarkStart w:id="70" w:name="_Hlk127262826"/>
      <w:bookmarkEnd w:id="15"/>
      <w:bookmarkEnd w:id="16"/>
      <w:bookmarkEnd w:id="2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E4F24">
        <w:rPr>
          <w:rFonts w:ascii="Segoe UI" w:hAnsi="Segoe UI" w:cs="Segoe UI"/>
          <w:b/>
          <w:smallCaps/>
          <w:sz w:val="22"/>
        </w:rPr>
        <w:t xml:space="preserve">CLÁUSULA PRIMEIRA – </w:t>
      </w:r>
      <w:bookmarkStart w:id="71" w:name="_Ref68679553"/>
      <w:r w:rsidRPr="009E4F24">
        <w:rPr>
          <w:rFonts w:ascii="Segoe UI" w:hAnsi="Segoe UI" w:cs="Segoe UI"/>
          <w:b/>
          <w:smallCaps/>
          <w:sz w:val="22"/>
        </w:rPr>
        <w:t xml:space="preserve">AUTORIZAÇÃO E </w:t>
      </w:r>
      <w:bookmarkEnd w:id="71"/>
      <w:r w:rsidRPr="009E4F24">
        <w:rPr>
          <w:rFonts w:ascii="Segoe UI" w:hAnsi="Segoe UI" w:cs="Segoe UI"/>
          <w:b/>
          <w:smallCaps/>
          <w:sz w:val="22"/>
        </w:rPr>
        <w:t>REQUISITOS</w:t>
      </w:r>
      <w:bookmarkStart w:id="72" w:name="_Hlk504318818"/>
    </w:p>
    <w:p w14:paraId="5037FB4D" w14:textId="77777777" w:rsidR="009E4F24" w:rsidRPr="000D3B18" w:rsidRDefault="009E4F24" w:rsidP="000A07EB">
      <w:pPr>
        <w:pStyle w:val="PargrafodaLista"/>
        <w:numPr>
          <w:ilvl w:val="1"/>
          <w:numId w:val="58"/>
        </w:numPr>
        <w:suppressAutoHyphens/>
        <w:spacing w:after="240" w:line="320" w:lineRule="atLeast"/>
        <w:ind w:left="0" w:firstLine="0"/>
        <w:rPr>
          <w:rFonts w:ascii="Segoe UI" w:eastAsia="SimSun" w:hAnsi="Segoe UI" w:cs="Segoe UI"/>
          <w:color w:val="auto"/>
        </w:rPr>
      </w:pPr>
      <w:bookmarkStart w:id="73" w:name="_Ref522137597"/>
      <w:bookmarkEnd w:id="72"/>
      <w:r w:rsidRPr="000D3B18">
        <w:rPr>
          <w:rFonts w:ascii="Segoe UI" w:eastAsia="SimSun" w:hAnsi="Segoe UI" w:cs="Segoe UI"/>
          <w:color w:val="auto"/>
          <w:sz w:val="22"/>
        </w:rPr>
        <w:t xml:space="preserve">As </w:t>
      </w:r>
      <w:r w:rsidRPr="000A07EB">
        <w:rPr>
          <w:rFonts w:ascii="Segoe UI" w:hAnsi="Segoe UI" w:cs="Segoe UI"/>
          <w:sz w:val="22"/>
        </w:rPr>
        <w:t>Fiduciantes</w:t>
      </w:r>
      <w:r w:rsidRPr="000D3B18">
        <w:rPr>
          <w:rFonts w:ascii="Segoe UI" w:eastAsia="SimSun" w:hAnsi="Segoe UI" w:cs="Segoe UI"/>
          <w:color w:val="auto"/>
          <w:sz w:val="22"/>
          <w:lang w:val="pt-PT"/>
        </w:rPr>
        <w:t xml:space="preserve"> e a Companhia </w:t>
      </w:r>
      <w:r w:rsidRPr="000D3B18">
        <w:rPr>
          <w:rFonts w:ascii="Segoe UI" w:hAnsi="Segoe UI" w:cs="Segoe UI"/>
          <w:color w:val="auto"/>
          <w:sz w:val="22"/>
        </w:rPr>
        <w:t xml:space="preserve">obrigam-se a: </w:t>
      </w:r>
    </w:p>
    <w:p w14:paraId="0EB08AF3" w14:textId="7372D612"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lastRenderedPageBreak/>
        <w:t xml:space="preserve">em até 5 (cinco) Dias Úteis da celebração deste </w:t>
      </w:r>
      <w:r w:rsidR="000D3B18">
        <w:rPr>
          <w:rFonts w:ascii="Segoe UI" w:hAnsi="Segoe UI"/>
          <w:color w:val="auto"/>
        </w:rPr>
        <w:t xml:space="preserve">Primeiro </w:t>
      </w:r>
      <w:r w:rsidRPr="009E4F24">
        <w:rPr>
          <w:rStyle w:val="DeltaViewInsertion"/>
          <w:rFonts w:ascii="Segoe UI" w:eastAsia="SimSun" w:hAnsi="Segoe UI" w:cs="Segoe UI"/>
          <w:color w:val="auto"/>
          <w:u w:val="none"/>
        </w:rPr>
        <w:t>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404C2CD6"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fornecer 1</w:t>
      </w:r>
      <w:r w:rsidR="000D3B18">
        <w:rPr>
          <w:rStyle w:val="DeltaViewInsertion"/>
          <w:rFonts w:ascii="Segoe UI" w:eastAsia="SimSun" w:hAnsi="Segoe UI" w:cs="Segoe UI"/>
          <w:color w:val="auto"/>
          <w:u w:val="none"/>
        </w:rPr>
        <w:t xml:space="preserve"> </w:t>
      </w:r>
      <w:r w:rsidRPr="009E4F24">
        <w:rPr>
          <w:rStyle w:val="DeltaViewInsertion"/>
          <w:rFonts w:ascii="Segoe UI" w:eastAsia="SimSun" w:hAnsi="Segoe UI" w:cs="Segoe UI"/>
          <w:color w:val="auto"/>
          <w:u w:val="none"/>
        </w:rPr>
        <w:t xml:space="preserve">(uma) via original do presente </w:t>
      </w:r>
      <w:r w:rsidR="000D3B18">
        <w:rPr>
          <w:rFonts w:ascii="Segoe UI" w:hAnsi="Segoe UI"/>
          <w:color w:val="auto"/>
        </w:rPr>
        <w:t xml:space="preserve">Primeiro </w:t>
      </w:r>
      <w:r w:rsidRPr="009E4F24">
        <w:rPr>
          <w:rStyle w:val="DeltaViewInsertion"/>
          <w:rFonts w:ascii="Segoe UI" w:eastAsia="SimSun" w:hAnsi="Segoe UI" w:cs="Segoe UI"/>
          <w:color w:val="auto"/>
          <w:u w:val="none"/>
        </w:rPr>
        <w:t xml:space="preserve">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 xml:space="preserve">contados da data do registro deste </w:t>
      </w:r>
      <w:r w:rsidR="000D3B18">
        <w:rPr>
          <w:rFonts w:ascii="Segoe UI" w:hAnsi="Segoe UI"/>
          <w:color w:val="auto"/>
        </w:rPr>
        <w:t xml:space="preserve">Primeiro </w:t>
      </w:r>
      <w:r w:rsidRPr="009E4F24">
        <w:rPr>
          <w:rFonts w:ascii="Segoe UI" w:eastAsia="SimSun" w:hAnsi="Segoe UI" w:cs="Segoe UI"/>
        </w:rPr>
        <w:t>Aditamento e cópia digitalizada ao Agente Fiduciário dos CRI, para fins de acompanhamento;</w:t>
      </w:r>
      <w:r w:rsidR="004B5813">
        <w:rPr>
          <w:rFonts w:ascii="Segoe UI" w:eastAsia="SimSun" w:hAnsi="Segoe UI" w:cs="Segoe UI"/>
        </w:rPr>
        <w:t xml:space="preserve"> </w:t>
      </w:r>
    </w:p>
    <w:bookmarkEnd w:id="73"/>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3CB52E38"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t xml:space="preserve">Pelo presente </w:t>
      </w:r>
      <w:r w:rsidR="000D3B18" w:rsidRPr="000A07EB">
        <w:rPr>
          <w:rFonts w:ascii="Segoe UI" w:hAnsi="Segoe UI"/>
          <w:color w:val="auto"/>
          <w:sz w:val="22"/>
          <w:szCs w:val="18"/>
        </w:rPr>
        <w:t xml:space="preserve">Primeiro </w:t>
      </w:r>
      <w:r w:rsidRPr="002810B7">
        <w:rPr>
          <w:rFonts w:ascii="Segoe UI" w:hAnsi="Segoe UI" w:cs="Segoe UI"/>
          <w:sz w:val="22"/>
        </w:rPr>
        <w:t xml:space="preserve">Aditamento, resolvem as Partes, em decorrência das aprovações e considerações acima </w:t>
      </w:r>
      <w:r w:rsidRPr="00946DE4">
        <w:rPr>
          <w:rFonts w:ascii="Segoe UI" w:hAnsi="Segoe UI" w:cs="Segoe UI"/>
          <w:sz w:val="22"/>
        </w:rPr>
        <w:t xml:space="preserve">expostas, aditar e consolidar o Anexo III do Contrato, de modo que o referido Anexo </w:t>
      </w:r>
      <w:r w:rsidR="00946DE4" w:rsidRPr="005D70BE">
        <w:rPr>
          <w:rFonts w:ascii="Segoe UI" w:hAnsi="Segoe UI" w:cs="Segoe UI"/>
          <w:sz w:val="22"/>
        </w:rPr>
        <w:t>III</w:t>
      </w:r>
      <w:r w:rsidR="008527AF" w:rsidRPr="00946DE4">
        <w:rPr>
          <w:rFonts w:ascii="Segoe UI" w:hAnsi="Segoe UI" w:cs="Segoe UI"/>
          <w:sz w:val="22"/>
        </w:rPr>
        <w:t xml:space="preserve"> </w:t>
      </w:r>
      <w:r w:rsidRPr="00946DE4">
        <w:rPr>
          <w:rFonts w:ascii="Segoe UI" w:hAnsi="Segoe UI" w:cs="Segoe UI"/>
          <w:sz w:val="22"/>
        </w:rPr>
        <w:t>pass</w:t>
      </w:r>
      <w:r w:rsidR="00946DE4" w:rsidRPr="00946DE4">
        <w:rPr>
          <w:rFonts w:ascii="Segoe UI" w:hAnsi="Segoe UI" w:cs="Segoe UI"/>
          <w:sz w:val="22"/>
        </w:rPr>
        <w:t>e</w:t>
      </w:r>
      <w:r w:rsidRPr="00946DE4">
        <w:rPr>
          <w:rFonts w:ascii="Segoe UI" w:hAnsi="Segoe UI" w:cs="Segoe UI"/>
          <w:sz w:val="22"/>
        </w:rPr>
        <w:t xml:space="preserve"> a vigorar</w:t>
      </w:r>
      <w:r w:rsidRPr="002810B7">
        <w:rPr>
          <w:rFonts w:ascii="Segoe UI" w:hAnsi="Segoe UI" w:cs="Segoe UI"/>
          <w:sz w:val="22"/>
        </w:rPr>
        <w:t xml:space="preserve"> na forma do Anexo A deste </w:t>
      </w:r>
      <w:r w:rsidR="000D3B18" w:rsidRPr="000A07EB">
        <w:rPr>
          <w:rFonts w:ascii="Segoe UI" w:hAnsi="Segoe UI"/>
          <w:color w:val="auto"/>
          <w:sz w:val="22"/>
          <w:szCs w:val="18"/>
        </w:rPr>
        <w:t xml:space="preserve">Primeiro </w:t>
      </w:r>
      <w:r w:rsidRPr="002810B7">
        <w:rPr>
          <w:rFonts w:ascii="Segoe UI" w:hAnsi="Segoe UI" w:cs="Segoe UI"/>
          <w:sz w:val="22"/>
        </w:rPr>
        <w:t>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1AE6CEE1"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w:t>
      </w:r>
      <w:r w:rsidR="000D3B18">
        <w:rPr>
          <w:rFonts w:ascii="Segoe UI" w:hAnsi="Segoe UI" w:cs="Segoe UI"/>
          <w:sz w:val="22"/>
        </w:rPr>
        <w:t xml:space="preserve">Primeiro </w:t>
      </w:r>
      <w:r w:rsidRPr="009E4F24">
        <w:rPr>
          <w:rFonts w:ascii="Segoe UI" w:hAnsi="Segoe UI" w:cs="Segoe UI"/>
          <w:sz w:val="22"/>
        </w:rPr>
        <w:t xml:space="preserve">Aditamento como se aqui estivessem transcritas. </w:t>
      </w:r>
    </w:p>
    <w:p w14:paraId="1CED4E15" w14:textId="25AB4B44"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r w:rsidR="004B5813">
        <w:rPr>
          <w:rFonts w:ascii="Segoe UI" w:hAnsi="Segoe UI" w:cs="Segoe UI"/>
          <w:sz w:val="22"/>
        </w:rPr>
        <w:t>5</w:t>
      </w:r>
      <w:r w:rsidRPr="009E4F24">
        <w:rPr>
          <w:rFonts w:ascii="Segoe UI" w:hAnsi="Segoe UI" w:cs="Segoe UI"/>
          <w:sz w:val="22"/>
        </w:rPr>
        <w:t xml:space="preserve">.1. do Contrato permanecem verdadeiras, corretas e plenamente válidas e eficazes na data de assinatura deste </w:t>
      </w:r>
      <w:r w:rsidR="000D3B18">
        <w:rPr>
          <w:rFonts w:ascii="Segoe UI" w:hAnsi="Segoe UI" w:cs="Segoe UI"/>
          <w:sz w:val="22"/>
        </w:rPr>
        <w:t xml:space="preserve">Primeiro </w:t>
      </w:r>
      <w:r w:rsidRPr="009E4F24">
        <w:rPr>
          <w:rFonts w:ascii="Segoe UI" w:hAnsi="Segoe UI" w:cs="Segoe UI"/>
          <w:sz w:val="22"/>
        </w:rPr>
        <w:t>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09D4635E"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alterações feitas no Contrato por meio deste </w:t>
      </w:r>
      <w:r w:rsidR="000D3B18">
        <w:rPr>
          <w:rFonts w:ascii="Segoe UI" w:hAnsi="Segoe UI" w:cs="Segoe UI"/>
          <w:sz w:val="22"/>
        </w:rPr>
        <w:t xml:space="preserve">Primeiro </w:t>
      </w:r>
      <w:r w:rsidRPr="009E4F24">
        <w:rPr>
          <w:rFonts w:ascii="Segoe UI" w:hAnsi="Segoe UI" w:cs="Segoe UI"/>
          <w:sz w:val="22"/>
        </w:rPr>
        <w:t>Aditamento não implicam em novação.</w:t>
      </w:r>
    </w:p>
    <w:p w14:paraId="448C550F" w14:textId="133CD63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Ficam ratificadas, nos termos em que se encontram redigidas, todas as demais cláusulas, itens, características e condições estabelecidas no Contrato, que não tenham sido expressamente alteradas por este </w:t>
      </w:r>
      <w:r w:rsidR="000D3B18">
        <w:rPr>
          <w:rFonts w:ascii="Segoe UI" w:hAnsi="Segoe UI" w:cs="Segoe UI"/>
          <w:sz w:val="22"/>
        </w:rPr>
        <w:t xml:space="preserve">Primeiro </w:t>
      </w:r>
      <w:r w:rsidRPr="009E4F24">
        <w:rPr>
          <w:rFonts w:ascii="Segoe UI" w:hAnsi="Segoe UI" w:cs="Segoe UI"/>
          <w:sz w:val="22"/>
        </w:rPr>
        <w:t>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74" w:name="_Ref417485247"/>
      <w:bookmarkStart w:id="75" w:name="_Ref68692130"/>
      <w:r w:rsidRPr="009E4F24">
        <w:rPr>
          <w:rFonts w:ascii="Segoe UI" w:hAnsi="Segoe UI" w:cs="Segoe UI"/>
          <w:b/>
          <w:smallCaps/>
          <w:sz w:val="22"/>
        </w:rPr>
        <w:t>CLÁUSULA</w:t>
      </w:r>
      <w:bookmarkStart w:id="76" w:name="_Hlk26376121"/>
      <w:bookmarkEnd w:id="74"/>
      <w:bookmarkEnd w:id="75"/>
      <w:r w:rsidRPr="009E4F24">
        <w:rPr>
          <w:rFonts w:ascii="Segoe UI" w:hAnsi="Segoe UI" w:cs="Segoe UI"/>
          <w:b/>
          <w:smallCaps/>
          <w:sz w:val="22"/>
        </w:rPr>
        <w:t xml:space="preserve"> QUINTA – DISPOSIÇÕES GERAIS</w:t>
      </w:r>
    </w:p>
    <w:p w14:paraId="04A1616A" w14:textId="5B3910A1"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Não se presume a renúncia a qualquer dos direitos decorrentes do presente </w:t>
      </w:r>
      <w:r w:rsidR="000D3B18">
        <w:rPr>
          <w:rFonts w:ascii="Segoe UI" w:hAnsi="Segoe UI" w:cs="Segoe UI"/>
          <w:sz w:val="22"/>
        </w:rPr>
        <w:t xml:space="preserve">Primeiro </w:t>
      </w:r>
      <w:r w:rsidRPr="009E4F24">
        <w:rPr>
          <w:rFonts w:ascii="Segoe UI" w:hAnsi="Segoe UI" w:cs="Segoe UI"/>
          <w:sz w:val="22"/>
        </w:rPr>
        <w:t>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05F8FD5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r w:rsidR="000D3B18">
        <w:rPr>
          <w:rFonts w:ascii="Segoe UI" w:hAnsi="Segoe UI" w:cs="Segoe UI"/>
          <w:sz w:val="22"/>
        </w:rPr>
        <w:t xml:space="preserve">Primeiro </w:t>
      </w:r>
      <w:r w:rsidRPr="009E4F24">
        <w:rPr>
          <w:rFonts w:ascii="Segoe UI" w:hAnsi="Segoe UI" w:cs="Segoe UI"/>
          <w:sz w:val="22"/>
        </w:rPr>
        <w:t>Aditamento é regido pelas Leis da República Federativa do Brasil.</w:t>
      </w:r>
    </w:p>
    <w:p w14:paraId="741ED48D" w14:textId="4234AD5A"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r w:rsidR="000D3B18">
        <w:rPr>
          <w:rFonts w:ascii="Segoe UI" w:hAnsi="Segoe UI" w:cs="Segoe UI"/>
          <w:sz w:val="22"/>
        </w:rPr>
        <w:t xml:space="preserve">Primeiro </w:t>
      </w:r>
      <w:r w:rsidRPr="009E4F24">
        <w:rPr>
          <w:rFonts w:ascii="Segoe UI" w:hAnsi="Segoe UI" w:cs="Segoe UI"/>
          <w:sz w:val="22"/>
        </w:rPr>
        <w:t>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xml:space="preserve">”), reconhecendo as Partes desde já que, independentemente de quaisquer outras medidas cabíveis, as obrigações assumidas nos termos deste </w:t>
      </w:r>
      <w:r w:rsidR="000D3B18">
        <w:rPr>
          <w:rFonts w:ascii="Segoe UI" w:hAnsi="Segoe UI" w:cs="Segoe UI"/>
          <w:sz w:val="22"/>
        </w:rPr>
        <w:t xml:space="preserve">Primeiro </w:t>
      </w:r>
      <w:r w:rsidRPr="009E4F24">
        <w:rPr>
          <w:rFonts w:ascii="Segoe UI" w:hAnsi="Segoe UI" w:cs="Segoe UI"/>
          <w:sz w:val="22"/>
        </w:rPr>
        <w:t>Aditamento comportam execução específica e se submetem às disposições do artigo 815 e seguintes do Código de Processo Civil.</w:t>
      </w:r>
    </w:p>
    <w:p w14:paraId="5DCD2978" w14:textId="2F7A99DE"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r w:rsidR="000D3B18">
        <w:rPr>
          <w:rFonts w:ascii="Segoe UI" w:hAnsi="Segoe UI" w:cs="Segoe UI"/>
          <w:sz w:val="22"/>
        </w:rPr>
        <w:t xml:space="preserve">Primeiro </w:t>
      </w:r>
      <w:r w:rsidRPr="009E4F24">
        <w:rPr>
          <w:rFonts w:ascii="Segoe UI" w:hAnsi="Segoe UI" w:cs="Segoe UI"/>
          <w:sz w:val="22"/>
        </w:rPr>
        <w:t>Aditamento é firmado em caráter irrevogável e irretratável, obrigando as Partes por si e seus sucessores.</w:t>
      </w:r>
    </w:p>
    <w:p w14:paraId="22BCD15D" w14:textId="248B9B35" w:rsidR="009E4F24" w:rsidRPr="009E4F24" w:rsidRDefault="00DE7E2F">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Pr>
          <w:rFonts w:ascii="Segoe UI" w:hAnsi="Segoe UI"/>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Primeiro Aditamento, bem como seus anexos, podem ser assinados digitalmente por meio eletrônico conforme disposto nesta cláusula</w:t>
      </w:r>
      <w:r w:rsidR="009E4F24" w:rsidRPr="009E4F24">
        <w:rPr>
          <w:rFonts w:ascii="Segoe UI" w:hAnsi="Segoe UI" w:cs="Segoe UI"/>
          <w:iCs/>
          <w:sz w:val="22"/>
        </w:rPr>
        <w:t>.</w:t>
      </w:r>
    </w:p>
    <w:p w14:paraId="40B89E6C" w14:textId="54338FC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Fica eleito o foro da Comarca de São Paulo, Estado de São Paulo, para dirimir quaisquer dúvidas ou controvérsias oriundas deste </w:t>
      </w:r>
      <w:r w:rsidR="000D3B18">
        <w:rPr>
          <w:rFonts w:ascii="Segoe UI" w:hAnsi="Segoe UI" w:cs="Segoe UI"/>
          <w:sz w:val="22"/>
        </w:rPr>
        <w:t xml:space="preserve">Primeiro </w:t>
      </w:r>
      <w:r w:rsidRPr="009E4F24">
        <w:rPr>
          <w:rFonts w:ascii="Segoe UI" w:hAnsi="Segoe UI" w:cs="Segoe UI"/>
          <w:sz w:val="22"/>
        </w:rPr>
        <w:t>Aditamento, com renúncia a qualquer outro, por mais privilegiado que seja.</w:t>
      </w:r>
    </w:p>
    <w:p w14:paraId="05A27393" w14:textId="36291123"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w:t>
      </w:r>
      <w:r w:rsidR="000D3B18">
        <w:rPr>
          <w:rFonts w:ascii="Segoe UI" w:hAnsi="Segoe UI" w:cs="Segoe UI"/>
        </w:rPr>
        <w:t xml:space="preserve">Primeiro </w:t>
      </w:r>
      <w:r w:rsidRPr="004B5813">
        <w:rPr>
          <w:rFonts w:ascii="Segoe UI" w:hAnsi="Segoe UI"/>
        </w:rPr>
        <w:t xml:space="preserve">Aditamento em 1 (uma) via eletrônica, para o mesmo efeito legal, em conjunto com as 2 (duas) testemunhas abaixo, que também o assinam. </w:t>
      </w:r>
    </w:p>
    <w:p w14:paraId="443875D1" w14:textId="0A92F604"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w:t>
      </w:r>
      <w:r w:rsidR="00A40F0D">
        <w:rPr>
          <w:rFonts w:ascii="Segoe UI" w:hAnsi="Segoe UI" w:cs="Segoe UI"/>
          <w:sz w:val="22"/>
        </w:rPr>
        <w:t>março</w:t>
      </w:r>
      <w:r w:rsidR="00A40F0D" w:rsidRPr="009E4F24">
        <w:rPr>
          <w:rFonts w:ascii="Segoe UI" w:hAnsi="Segoe UI" w:cs="Segoe UI"/>
          <w:sz w:val="22"/>
        </w:rPr>
        <w:t xml:space="preserve">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77" w:name="art26§3a"/>
      <w:bookmarkStart w:id="78" w:name="art26b"/>
      <w:bookmarkStart w:id="79" w:name="art26a"/>
      <w:bookmarkStart w:id="80" w:name="art27§2ab"/>
      <w:bookmarkStart w:id="81" w:name="_DV_M97"/>
      <w:bookmarkStart w:id="82" w:name="_DV_M98"/>
      <w:bookmarkStart w:id="83" w:name="_DV_M99"/>
      <w:bookmarkStart w:id="84" w:name="_DV_M100"/>
      <w:bookmarkStart w:id="85" w:name="_DV_M101"/>
      <w:bookmarkStart w:id="86" w:name="_DV_M103"/>
      <w:bookmarkStart w:id="87" w:name="_DV_M104"/>
      <w:bookmarkStart w:id="88" w:name="_DV_M106"/>
      <w:bookmarkStart w:id="89" w:name="_DV_M107"/>
      <w:bookmarkStart w:id="90" w:name="_DV_M108"/>
      <w:bookmarkStart w:id="91" w:name="_DV_M175"/>
      <w:bookmarkStart w:id="92" w:name="_DV_M180"/>
      <w:bookmarkStart w:id="93" w:name="_DV_M181"/>
      <w:bookmarkStart w:id="94" w:name="_DV_M182"/>
      <w:bookmarkStart w:id="95" w:name="_DV_M183"/>
      <w:bookmarkStart w:id="96" w:name="_DV_M184"/>
      <w:bookmarkStart w:id="97" w:name="_DV_M185"/>
      <w:bookmarkStart w:id="98" w:name="_DV_M187"/>
      <w:bookmarkStart w:id="99" w:name="_Toc5108696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56341C59" w14:textId="1ACE0258" w:rsidR="009E4F24" w:rsidRPr="004B5813" w:rsidRDefault="009E4F24" w:rsidP="000A07EB">
      <w:pPr>
        <w:pStyle w:val="p0"/>
        <w:tabs>
          <w:tab w:val="clear" w:pos="720"/>
        </w:tabs>
        <w:spacing w:after="240" w:line="320" w:lineRule="atLeast"/>
        <w:jc w:val="center"/>
        <w:rPr>
          <w:rFonts w:ascii="Segoe UI" w:hAnsi="Segoe UI"/>
          <w:color w:val="auto"/>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00" w:name="_DV_M131"/>
      <w:bookmarkStart w:id="101" w:name="_DV_M317"/>
      <w:bookmarkEnd w:id="70"/>
      <w:bookmarkEnd w:id="100"/>
      <w:bookmarkEnd w:id="101"/>
      <w:r w:rsidRPr="004B5813">
        <w:rPr>
          <w:rFonts w:ascii="Segoe UI" w:hAnsi="Segoe UI"/>
          <w:color w:val="auto"/>
        </w:rPr>
        <w:br w:type="page"/>
      </w:r>
    </w:p>
    <w:bookmarkEnd w:id="17"/>
    <w:bookmarkEnd w:id="18"/>
    <w:p w14:paraId="7B9D1D79" w14:textId="736FF1B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w:t>
      </w:r>
      <w:r w:rsidR="00174C4E">
        <w:rPr>
          <w:rFonts w:ascii="Segoe UI" w:hAnsi="Segoe UI"/>
          <w:i/>
          <w:color w:val="auto"/>
        </w:rPr>
        <w:t xml:space="preserve">1/3 </w:t>
      </w:r>
      <w:r w:rsidRPr="004B5813">
        <w:rPr>
          <w:rFonts w:ascii="Segoe UI" w:hAnsi="Segoe UI"/>
          <w:i/>
          <w:color w:val="auto"/>
        </w:rPr>
        <w:t xml:space="preserve">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76"/>
    <w:bookmarkEnd w:id="99"/>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39AB3481" w14:textId="77777777" w:rsidR="00F76398" w:rsidRPr="009E4F24" w:rsidRDefault="00F76398" w:rsidP="000A07EB">
      <w:pPr>
        <w:spacing w:after="240" w:line="320" w:lineRule="atLeast"/>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A780721"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 xml:space="preserve">Página de assinaturas </w:t>
      </w:r>
      <w:r w:rsidR="00174C4E">
        <w:rPr>
          <w:rFonts w:ascii="Segoe UI" w:hAnsi="Segoe UI" w:cs="Segoe UI"/>
          <w:i/>
          <w:color w:val="auto"/>
        </w:rPr>
        <w:t xml:space="preserve">2/3 </w:t>
      </w:r>
      <w:r w:rsidRPr="009E4F24">
        <w:rPr>
          <w:rFonts w:ascii="Segoe UI" w:hAnsi="Segoe UI" w:cs="Segoe UI"/>
          <w:i/>
          <w:color w:val="auto"/>
        </w:rPr>
        <w:t>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5B990A3A" w:rsidR="007D48DC" w:rsidRDefault="00D60EBB" w:rsidP="007D48DC">
      <w:pPr>
        <w:spacing w:after="240" w:line="320" w:lineRule="atLeast"/>
        <w:jc w:val="center"/>
        <w:rPr>
          <w:rFonts w:ascii="Segoe UI" w:hAnsi="Segoe UI"/>
          <w:b/>
          <w:color w:val="auto"/>
        </w:rPr>
      </w:pPr>
      <w:r w:rsidRPr="004B5813">
        <w:rPr>
          <w:rFonts w:ascii="Segoe UI" w:hAnsi="Segoe UI"/>
          <w:b/>
          <w:color w:val="auto"/>
        </w:rPr>
        <w:t>TRUE SECURITIZADORA S.A.</w:t>
      </w:r>
    </w:p>
    <w:p w14:paraId="192A426B" w14:textId="77777777" w:rsidR="00174C4E" w:rsidRPr="009E4F24" w:rsidRDefault="00174C4E" w:rsidP="007D48DC">
      <w:pPr>
        <w:spacing w:after="240" w:line="320" w:lineRule="atLeast"/>
        <w:jc w:val="center"/>
        <w:rPr>
          <w:rFonts w:ascii="Segoe UI" w:hAnsi="Segoe UI" w:cs="Segoe UI"/>
          <w:color w:val="auto"/>
        </w:rPr>
      </w:pPr>
    </w:p>
    <w:p w14:paraId="7B4C1D3B" w14:textId="2CC1EA40" w:rsidR="004512CC"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174C4E" w:rsidRPr="009E4F24" w14:paraId="082C3CD0" w14:textId="77777777" w:rsidTr="00795B79">
        <w:trPr>
          <w:jc w:val="center"/>
        </w:trPr>
        <w:tc>
          <w:tcPr>
            <w:tcW w:w="4342" w:type="dxa"/>
            <w:shd w:val="clear" w:color="auto" w:fill="auto"/>
          </w:tcPr>
          <w:p w14:paraId="3B59B94E"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Por: </w:t>
            </w:r>
            <w:r w:rsidRPr="00E60C1D">
              <w:rPr>
                <w:rFonts w:ascii="Segoe UI" w:hAnsi="Segoe UI" w:cs="Segoe UI"/>
                <w:sz w:val="22"/>
                <w:szCs w:val="22"/>
              </w:rPr>
              <w:t>Fabiana Ferreira Santos</w:t>
            </w:r>
          </w:p>
          <w:p w14:paraId="7C26B62E"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Cargo: </w:t>
            </w:r>
            <w:r>
              <w:rPr>
                <w:rFonts w:ascii="Segoe UI" w:hAnsi="Segoe UI" w:cs="Segoe UI"/>
                <w:sz w:val="22"/>
                <w:szCs w:val="22"/>
              </w:rPr>
              <w:t>Procuradora</w:t>
            </w:r>
          </w:p>
          <w:p w14:paraId="74280289"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1136A0">
              <w:rPr>
                <w:rFonts w:ascii="Segoe UI" w:hAnsi="Segoe UI" w:cs="Segoe UI"/>
                <w:sz w:val="22"/>
                <w:szCs w:val="22"/>
              </w:rPr>
              <w:t>338.090.828-21</w:t>
            </w:r>
          </w:p>
        </w:tc>
        <w:tc>
          <w:tcPr>
            <w:tcW w:w="4304" w:type="dxa"/>
            <w:shd w:val="clear" w:color="auto" w:fill="auto"/>
          </w:tcPr>
          <w:p w14:paraId="3DF63D7A"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Por: </w:t>
            </w:r>
            <w:r w:rsidRPr="00A5694D">
              <w:rPr>
                <w:rFonts w:ascii="Segoe UI" w:hAnsi="Segoe UI" w:cs="Segoe UI"/>
                <w:sz w:val="22"/>
                <w:szCs w:val="22"/>
              </w:rPr>
              <w:t>Rodrigo Vinicius dos Santos</w:t>
            </w:r>
            <w:r w:rsidRPr="009E4F24">
              <w:rPr>
                <w:rFonts w:ascii="Segoe UI" w:eastAsia="Arial Unicode MS" w:hAnsi="Segoe UI" w:cs="Segoe UI"/>
                <w:sz w:val="22"/>
                <w:szCs w:val="22"/>
              </w:rPr>
              <w:br/>
              <w:t xml:space="preserve">Cargo: </w:t>
            </w:r>
            <w:r>
              <w:rPr>
                <w:rFonts w:ascii="Segoe UI" w:hAnsi="Segoe UI" w:cs="Segoe UI"/>
                <w:sz w:val="22"/>
                <w:szCs w:val="22"/>
              </w:rPr>
              <w:t>Diretor</w:t>
            </w:r>
          </w:p>
          <w:p w14:paraId="2AA146F7" w14:textId="77777777" w:rsidR="00174C4E" w:rsidRPr="009E4F24" w:rsidRDefault="00174C4E" w:rsidP="00795B79">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2D7796">
              <w:rPr>
                <w:rFonts w:ascii="Segoe UI" w:hAnsi="Segoe UI" w:cs="Segoe UI"/>
                <w:sz w:val="22"/>
                <w:szCs w:val="22"/>
              </w:rPr>
              <w:t>320.119.888-96</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23DDA74C" w14:textId="77777777" w:rsidR="007D48DC" w:rsidRPr="004B5813" w:rsidRDefault="007D48DC" w:rsidP="000A07EB">
      <w:pPr>
        <w:spacing w:after="240" w:line="320" w:lineRule="atLeast"/>
        <w:jc w:val="center"/>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47F6ADAC" w14:textId="77777777" w:rsidR="00803246" w:rsidRPr="009E4F24" w:rsidRDefault="00803246" w:rsidP="00803246">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803246" w:rsidRPr="009E4F24" w14:paraId="4450805A" w14:textId="77777777" w:rsidTr="00B202F5">
        <w:trPr>
          <w:jc w:val="center"/>
        </w:trPr>
        <w:tc>
          <w:tcPr>
            <w:tcW w:w="4342" w:type="dxa"/>
            <w:shd w:val="clear" w:color="auto" w:fill="auto"/>
          </w:tcPr>
          <w:p w14:paraId="5D717A85"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57634C1"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2D2B44C"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685B7577"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7B6365E" w14:textId="77777777" w:rsidR="00803246" w:rsidRPr="009E4F24" w:rsidRDefault="00803246" w:rsidP="00B202F5">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146F0EF8"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w:t>
      </w:r>
      <w:r w:rsidR="00174C4E">
        <w:rPr>
          <w:rFonts w:ascii="Segoe UI" w:hAnsi="Segoe UI"/>
          <w:i/>
          <w:color w:val="auto"/>
        </w:rPr>
        <w:t xml:space="preserve">3/3 </w:t>
      </w:r>
      <w:r w:rsidRPr="004B5813">
        <w:rPr>
          <w:rFonts w:ascii="Segoe UI" w:hAnsi="Segoe UI"/>
          <w:i/>
          <w:color w:val="auto"/>
        </w:rPr>
        <w:t xml:space="preserve">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02"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03" w:name="_Ref8246410"/>
      <w:bookmarkStart w:id="104"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02"/>
    <w:bookmarkEnd w:id="103"/>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04"/>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05"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05"/>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06"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07" w:name="_Hlk66601171"/>
      <w:r w:rsidRPr="004B5813">
        <w:rPr>
          <w:rFonts w:ascii="Segoe UI" w:hAnsi="Segoe UI"/>
          <w:color w:val="auto"/>
        </w:rPr>
        <w:t xml:space="preserve">Atualizado </w:t>
      </w:r>
      <w:bookmarkEnd w:id="107"/>
      <w:r w:rsidRPr="004B5813">
        <w:rPr>
          <w:rFonts w:ascii="Segoe UI" w:hAnsi="Segoe UI"/>
          <w:color w:val="auto"/>
        </w:rPr>
        <w:t xml:space="preserve">das Debêntures incidirão juros remuneratórios prefixados correspondentes a </w:t>
      </w:r>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06"/>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08" w:name="_Hlk66601178"/>
      <w:r w:rsidRPr="004B5813">
        <w:rPr>
          <w:rFonts w:ascii="Segoe UI" w:hAnsi="Segoe UI"/>
          <w:color w:val="auto"/>
        </w:rPr>
        <w:t xml:space="preserve">mensalmente </w:t>
      </w:r>
      <w:bookmarkEnd w:id="108"/>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da Amortização Extraordinária </w:t>
      </w:r>
      <w:r w:rsidRPr="004B5813">
        <w:rPr>
          <w:rFonts w:ascii="Segoe UI" w:hAnsi="Segoe UI"/>
        </w:rPr>
        <w:lastRenderedPageBreak/>
        <w:t>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09"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09"/>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10"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10"/>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11" w:name="_Ref34193188"/>
      <w:r w:rsidRPr="004B5813">
        <w:rPr>
          <w:rFonts w:ascii="Segoe UI" w:hAnsi="Segoe UI"/>
          <w:color w:val="auto"/>
        </w:rPr>
        <w:t>.</w:t>
      </w:r>
      <w:bookmarkStart w:id="112"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11"/>
      <w:bookmarkEnd w:id="112"/>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13" w:name="_Hlk69767582"/>
      <w:r w:rsidRPr="004B5813">
        <w:rPr>
          <w:rFonts w:ascii="Segoe UI" w:hAnsi="Segoe UI"/>
        </w:rPr>
        <w:t>para o pagamento da totalidade das Obrigações Garantidas</w:t>
      </w:r>
      <w:bookmarkEnd w:id="113"/>
      <w:r w:rsidRPr="004B5813">
        <w:rPr>
          <w:rFonts w:ascii="Segoe UI" w:hAnsi="Segoe UI"/>
        </w:rPr>
        <w:t xml:space="preserve">. Para fins de esclarecimento, caso os </w:t>
      </w:r>
      <w:r w:rsidRPr="004B5813">
        <w:rPr>
          <w:rFonts w:ascii="Segoe UI" w:hAnsi="Segoe UI"/>
        </w:rPr>
        <w:lastRenderedPageBreak/>
        <w:t xml:space="preserve">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14"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15" w:name="_Hlk36572539"/>
      <w:r w:rsidRPr="004B5813">
        <w:rPr>
          <w:rFonts w:ascii="Segoe UI" w:hAnsi="Segoe UI"/>
        </w:rPr>
        <w:t xml:space="preserve">com os </w:t>
      </w:r>
      <w:bookmarkEnd w:id="115"/>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16"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17" w:name="_Hlk26214914"/>
      <w:r w:rsidRPr="004B5813">
        <w:rPr>
          <w:rFonts w:ascii="Segoe UI" w:hAnsi="Segoe UI"/>
        </w:rPr>
        <w:t>abrangerá, proporcionalmente, a totalidade das Debêntures, e estará, em qualquer hipótese, limitada a 98% (noventa e oito por cento) do Valor Nominal Unitário Atualizado</w:t>
      </w:r>
      <w:bookmarkEnd w:id="117"/>
      <w:r w:rsidRPr="004B5813">
        <w:rPr>
          <w:rFonts w:ascii="Segoe UI" w:hAnsi="Segoe UI"/>
        </w:rPr>
        <w:t>.</w:t>
      </w:r>
      <w:bookmarkEnd w:id="116"/>
      <w:r w:rsidRPr="004B5813">
        <w:rPr>
          <w:rFonts w:ascii="Segoe UI" w:hAnsi="Segoe UI"/>
        </w:rPr>
        <w:t xml:space="preserve"> </w:t>
      </w:r>
      <w:bookmarkStart w:id="118"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8"/>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19"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19"/>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20"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20"/>
      <w:r w:rsidRPr="004B5813">
        <w:rPr>
          <w:rFonts w:ascii="Segoe UI" w:hAnsi="Segoe UI"/>
        </w:rPr>
        <w:t>a qualquer momento, exclusivamente no caso de não 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21"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21"/>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22" w:name="_Ref3748079"/>
      <w:bookmarkStart w:id="123" w:name="_Toc7790907"/>
      <w:bookmarkStart w:id="124" w:name="_Toc8171344"/>
      <w:bookmarkStart w:id="125" w:name="_Toc8697045"/>
      <w:bookmarkStart w:id="126" w:name="_Toc63859700"/>
      <w:bookmarkStart w:id="127" w:name="_Toc63964979"/>
      <w:bookmarkEnd w:id="114"/>
      <w:r w:rsidRPr="004B5813">
        <w:rPr>
          <w:rStyle w:val="Ttulo3Char"/>
          <w:rFonts w:ascii="Segoe UI" w:hAnsi="Segoe UI"/>
          <w:b/>
          <w:color w:val="auto"/>
          <w:lang w:val="pt-BR"/>
        </w:rPr>
        <w:lastRenderedPageBreak/>
        <w:t>Encargos Moratórios</w:t>
      </w:r>
      <w:bookmarkEnd w:id="122"/>
      <w:bookmarkEnd w:id="123"/>
      <w:bookmarkEnd w:id="124"/>
      <w:bookmarkEnd w:id="125"/>
      <w:bookmarkEnd w:id="126"/>
      <w:bookmarkEnd w:id="127"/>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28" w:name="_Hlk64550328"/>
      <w:r w:rsidRPr="004B5813">
        <w:rPr>
          <w:rFonts w:ascii="Segoe UI" w:hAnsi="Segoe UI"/>
        </w:rPr>
        <w:t>pagamento de quaisquer obrigações pecuniárias relativas às Debêntures nos termos da Escritura de Emissão</w:t>
      </w:r>
      <w:bookmarkEnd w:id="128"/>
      <w:r w:rsidRPr="004B5813">
        <w:rPr>
          <w:rFonts w:ascii="Segoe UI" w:hAnsi="Segoe UI"/>
        </w:rPr>
        <w:t xml:space="preserve">, adicionalmente ao pagamento da Atualização Monetária e da Remuneração, </w:t>
      </w:r>
      <w:bookmarkStart w:id="129"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29"/>
      <w:r w:rsidRPr="004B5813">
        <w:rPr>
          <w:rFonts w:ascii="Segoe UI" w:hAnsi="Segoe UI"/>
        </w:rPr>
        <w:t xml:space="preserve">, sobre todos e quaisquer valores em atraso, incidirão, independentemente de aviso, notificação ou interpelação judicial ou extrajudicial </w:t>
      </w:r>
      <w:bookmarkStart w:id="130"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30"/>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31"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31"/>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3FF4D94" w14:textId="5EEEF803" w:rsidR="00D7010A" w:rsidRPr="004B5813" w:rsidRDefault="009E4F24" w:rsidP="000A07EB">
      <w:pPr>
        <w:spacing w:after="240" w:line="320" w:lineRule="atLeast"/>
        <w:jc w:val="both"/>
        <w:rPr>
          <w:rFonts w:ascii="Segoe UI" w:eastAsia="SimSun" w:hAnsi="Segoe UI"/>
          <w:b/>
          <w:color w:val="auto"/>
          <w:u w:val="single"/>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rPr>
        <w:t>da Securitizadora</w:t>
      </w:r>
      <w:r w:rsidR="00A672A3" w:rsidRPr="00B35AC5">
        <w:rPr>
          <w:rFonts w:ascii="Segoe UI" w:hAnsi="Segoe UI"/>
        </w:rPr>
        <w:t>.</w:t>
      </w:r>
      <w:bookmarkStart w:id="132" w:name="_DV_M280"/>
      <w:bookmarkStart w:id="133" w:name="_DV_M282"/>
      <w:bookmarkStart w:id="134" w:name="_DV_M283"/>
      <w:bookmarkStart w:id="135" w:name="_DV_M284"/>
      <w:bookmarkStart w:id="136" w:name="_DV_M285"/>
      <w:bookmarkStart w:id="137" w:name="_DV_M286"/>
      <w:bookmarkStart w:id="138" w:name="_DV_M287"/>
      <w:bookmarkStart w:id="139" w:name="_DV_M288"/>
      <w:bookmarkStart w:id="140" w:name="_DV_M289"/>
      <w:bookmarkStart w:id="141" w:name="_DV_M290"/>
      <w:bookmarkStart w:id="142" w:name="_DV_M291"/>
      <w:bookmarkStart w:id="143" w:name="_DV_M292"/>
      <w:bookmarkStart w:id="144" w:name="_DV_M293"/>
      <w:bookmarkStart w:id="145" w:name="_DV_M29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ectPr w:rsidR="00D7010A" w:rsidRPr="004B5813" w:rsidSect="004B5813">
      <w:footerReference w:type="default" r:id="rId12"/>
      <w:headerReference w:type="first" r:id="rId13"/>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C75" w14:textId="77777777" w:rsidR="000304CB" w:rsidRDefault="000304CB">
      <w:r>
        <w:separator/>
      </w:r>
    </w:p>
  </w:endnote>
  <w:endnote w:type="continuationSeparator" w:id="0">
    <w:p w14:paraId="1F3B8966" w14:textId="77777777" w:rsidR="000304CB" w:rsidRDefault="000304CB">
      <w:r>
        <w:continuationSeparator/>
      </w:r>
    </w:p>
  </w:endnote>
  <w:endnote w:type="continuationNotice" w:id="1">
    <w:p w14:paraId="4CBCAE65" w14:textId="77777777" w:rsidR="000304CB" w:rsidRDefault="00030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B3B3" w14:textId="77777777" w:rsidR="000304CB" w:rsidRDefault="000304CB">
      <w:r>
        <w:separator/>
      </w:r>
    </w:p>
  </w:footnote>
  <w:footnote w:type="continuationSeparator" w:id="0">
    <w:p w14:paraId="11DBF615" w14:textId="77777777" w:rsidR="000304CB" w:rsidRDefault="000304CB">
      <w:r>
        <w:continuationSeparator/>
      </w:r>
    </w:p>
  </w:footnote>
  <w:footnote w:type="continuationNotice" w:id="1">
    <w:p w14:paraId="414ED678" w14:textId="77777777" w:rsidR="000304CB" w:rsidRDefault="00030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44B270ED" w:rsidR="00707A8F" w:rsidRPr="005D70BE" w:rsidRDefault="00707A8F" w:rsidP="00707A8F">
    <w:pPr>
      <w:pStyle w:val="Cabealho"/>
      <w:jc w:val="right"/>
      <w:rPr>
        <w:rFonts w:ascii="Segoe UI" w:hAnsi="Segoe UI" w:cs="Segoe UI"/>
        <w:b/>
        <w:iCs/>
        <w:sz w:val="22"/>
        <w:szCs w:val="18"/>
      </w:rPr>
    </w:pPr>
    <w:bookmarkStart w:id="146" w:name="_Hlk127462498"/>
    <w:bookmarkStart w:id="147" w:name="_Hlk127462499"/>
    <w:r w:rsidRPr="005D70BE">
      <w:rPr>
        <w:rFonts w:ascii="Segoe UI" w:hAnsi="Segoe UI" w:cs="Segoe UI"/>
        <w:b/>
        <w:iCs/>
        <w:sz w:val="22"/>
        <w:szCs w:val="18"/>
      </w:rPr>
      <w:t xml:space="preserve">[Minuta Mattos Filho: </w:t>
    </w:r>
    <w:r w:rsidR="000A07EB">
      <w:rPr>
        <w:rFonts w:ascii="Segoe UI" w:hAnsi="Segoe UI" w:cs="Segoe UI"/>
        <w:b/>
        <w:iCs/>
        <w:sz w:val="22"/>
        <w:szCs w:val="18"/>
        <w:lang w:val="pt-BR"/>
      </w:rPr>
      <w:t>20</w:t>
    </w:r>
    <w:r w:rsidR="005F341C">
      <w:rPr>
        <w:rFonts w:ascii="Segoe UI" w:hAnsi="Segoe UI" w:cs="Segoe UI"/>
        <w:b/>
        <w:iCs/>
        <w:sz w:val="22"/>
        <w:szCs w:val="18"/>
        <w:lang w:val="pt-BR"/>
      </w:rPr>
      <w:t>/03</w:t>
    </w:r>
    <w:r w:rsidRPr="005D70BE">
      <w:rPr>
        <w:rFonts w:ascii="Segoe UI" w:hAnsi="Segoe UI" w:cs="Segoe UI"/>
        <w:b/>
        <w:iCs/>
        <w:sz w:val="22"/>
        <w:szCs w:val="18"/>
      </w:rPr>
      <w:t>/2023]</w:t>
    </w:r>
  </w:p>
  <w:bookmarkEnd w:id="146"/>
  <w:bookmarkEnd w:id="147"/>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DB0BB7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9"/>
  </w:num>
  <w:num w:numId="3">
    <w:abstractNumId w:val="59"/>
  </w:num>
  <w:num w:numId="4">
    <w:abstractNumId w:val="27"/>
  </w:num>
  <w:num w:numId="5">
    <w:abstractNumId w:val="16"/>
  </w:num>
  <w:num w:numId="6">
    <w:abstractNumId w:val="31"/>
  </w:num>
  <w:num w:numId="7">
    <w:abstractNumId w:val="17"/>
  </w:num>
  <w:num w:numId="8">
    <w:abstractNumId w:val="26"/>
  </w:num>
  <w:num w:numId="9">
    <w:abstractNumId w:val="24"/>
  </w:num>
  <w:num w:numId="10">
    <w:abstractNumId w:val="45"/>
  </w:num>
  <w:num w:numId="11">
    <w:abstractNumId w:val="65"/>
  </w:num>
  <w:num w:numId="12">
    <w:abstractNumId w:val="19"/>
  </w:num>
  <w:num w:numId="13">
    <w:abstractNumId w:val="32"/>
  </w:num>
  <w:num w:numId="14">
    <w:abstractNumId w:val="42"/>
  </w:num>
  <w:num w:numId="15">
    <w:abstractNumId w:val="34"/>
  </w:num>
  <w:num w:numId="16">
    <w:abstractNumId w:val="41"/>
  </w:num>
  <w:num w:numId="17">
    <w:abstractNumId w:val="40"/>
  </w:num>
  <w:num w:numId="18">
    <w:abstractNumId w:val="20"/>
  </w:num>
  <w:num w:numId="19">
    <w:abstractNumId w:val="56"/>
  </w:num>
  <w:num w:numId="20">
    <w:abstractNumId w:val="67"/>
  </w:num>
  <w:num w:numId="21">
    <w:abstractNumId w:val="8"/>
  </w:num>
  <w:num w:numId="22">
    <w:abstractNumId w:val="47"/>
  </w:num>
  <w:num w:numId="23">
    <w:abstractNumId w:val="46"/>
  </w:num>
  <w:num w:numId="24">
    <w:abstractNumId w:val="63"/>
  </w:num>
  <w:num w:numId="25">
    <w:abstractNumId w:val="49"/>
  </w:num>
  <w:num w:numId="26">
    <w:abstractNumId w:val="44"/>
  </w:num>
  <w:num w:numId="27">
    <w:abstractNumId w:val="60"/>
  </w:num>
  <w:num w:numId="28">
    <w:abstractNumId w:val="58"/>
  </w:num>
  <w:num w:numId="29">
    <w:abstractNumId w:val="11"/>
  </w:num>
  <w:num w:numId="30">
    <w:abstractNumId w:val="30"/>
  </w:num>
  <w:num w:numId="31">
    <w:abstractNumId w:val="12"/>
  </w:num>
  <w:num w:numId="32">
    <w:abstractNumId w:val="25"/>
  </w:num>
  <w:num w:numId="33">
    <w:abstractNumId w:val="10"/>
  </w:num>
  <w:num w:numId="34">
    <w:abstractNumId w:val="51"/>
  </w:num>
  <w:num w:numId="35">
    <w:abstractNumId w:val="7"/>
  </w:num>
  <w:num w:numId="36">
    <w:abstractNumId w:val="28"/>
  </w:num>
  <w:num w:numId="37">
    <w:abstractNumId w:val="53"/>
  </w:num>
  <w:num w:numId="38">
    <w:abstractNumId w:val="22"/>
  </w:num>
  <w:num w:numId="39">
    <w:abstractNumId w:val="33"/>
  </w:num>
  <w:num w:numId="40">
    <w:abstractNumId w:val="57"/>
  </w:num>
  <w:num w:numId="41">
    <w:abstractNumId w:val="21"/>
  </w:num>
  <w:num w:numId="42">
    <w:abstractNumId w:val="43"/>
  </w:num>
  <w:num w:numId="43">
    <w:abstractNumId w:val="2"/>
  </w:num>
  <w:num w:numId="44">
    <w:abstractNumId w:val="5"/>
  </w:num>
  <w:num w:numId="45">
    <w:abstractNumId w:val="4"/>
  </w:num>
  <w:num w:numId="46">
    <w:abstractNumId w:val="6"/>
  </w:num>
  <w:num w:numId="47">
    <w:abstractNumId w:val="35"/>
  </w:num>
  <w:num w:numId="48">
    <w:abstractNumId w:val="36"/>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4"/>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23"/>
  </w:num>
  <w:num w:numId="57">
    <w:abstractNumId w:val="29"/>
  </w:num>
  <w:num w:numId="58">
    <w:abstractNumId w:val="50"/>
  </w:num>
  <w:num w:numId="59">
    <w:abstractNumId w:val="52"/>
  </w:num>
  <w:num w:numId="60">
    <w:abstractNumId w:val="0"/>
  </w:num>
  <w:num w:numId="61">
    <w:abstractNumId w:val="48"/>
  </w:num>
  <w:num w:numId="62">
    <w:abstractNumId w:val="37"/>
  </w:num>
  <w:num w:numId="63">
    <w:abstractNumId w:val="1"/>
    <w:lvlOverride w:ilvl="0">
      <w:startOverride w:val="1"/>
    </w:lvlOverride>
  </w:num>
  <w:num w:numId="64">
    <w:abstractNumId w:val="9"/>
  </w:num>
  <w:num w:numId="65">
    <w:abstractNumId w:val="61"/>
  </w:num>
  <w:num w:numId="66">
    <w:abstractNumId w:val="64"/>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4CB"/>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7EB"/>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671"/>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3B18"/>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4C4E"/>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C4A"/>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D86"/>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2B"/>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0D4"/>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0BE"/>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41C"/>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46"/>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7AF"/>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DE4"/>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0D"/>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4FFF"/>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6FA"/>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CAC"/>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2F"/>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3662</Words>
  <Characters>19779</Characters>
  <Application>Microsoft Office Word</Application>
  <DocSecurity>0</DocSecurity>
  <Lines>164</Lines>
  <Paragraphs>46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7</cp:revision>
  <dcterms:created xsi:type="dcterms:W3CDTF">2023-03-14T14:15:00Z</dcterms:created>
  <dcterms:modified xsi:type="dcterms:W3CDTF">2023-03-20T21:43:00Z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#43834998v1&lt;SP&gt; - CRI Damha - 1º Aditamento à AF de Quotas Assis I MF 06.03.2023)</vt:lpwstr>
  </property>
</Properties>
</file>