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jc w:val="both"/>
        <w:rPr>
          <w:rFonts w:ascii="Trebuchet MS" w:hAnsi="Trebuchet MS" w:cs="Tahoma"/>
          <w:sz w:val="22"/>
          <w:szCs w:val="22"/>
        </w:rPr>
      </w:pPr>
    </w:p>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066D99">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066D99">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066D99">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066D99">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066D99">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066D99">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066D99">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r w:rsidR="00546083" w:rsidRPr="00546083">
              <w:rPr>
                <w:rFonts w:ascii="Trebuchet MS" w:hAnsi="Trebuchet MS"/>
                <w:sz w:val="22"/>
              </w:rPr>
              <w:t>[</w:t>
            </w:r>
            <w:r w:rsidR="00546083" w:rsidRPr="000E2975">
              <w:rPr>
                <w:rFonts w:ascii="Trebuchet MS" w:hAnsi="Trebuchet MS"/>
                <w:b/>
                <w:bCs/>
                <w:sz w:val="22"/>
                <w:highlight w:val="yellow"/>
              </w:rPr>
              <w:t>NOTA TRUE</w:t>
            </w:r>
            <w:r w:rsidR="00546083" w:rsidRPr="000E2975">
              <w:rPr>
                <w:rFonts w:ascii="Trebuchet MS" w:hAnsi="Trebuchet MS"/>
                <w:sz w:val="22"/>
                <w:highlight w:val="yellow"/>
              </w:rPr>
              <w:t>: A Conta do Patrimônio Separado é mantida no Itaú.</w:t>
            </w:r>
            <w:r w:rsidR="00546083">
              <w:rPr>
                <w:rFonts w:ascii="Trebuchet MS" w:hAnsi="Trebuchet MS"/>
                <w:sz w:val="22"/>
              </w:rPr>
              <w:t>]</w:t>
            </w:r>
          </w:p>
          <w:p w:rsidR="001119BA" w:rsidRPr="00B621F0" w:rsidRDefault="001119BA">
            <w:pPr>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066D99">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w:t>
            </w:r>
            <w:r w:rsidRPr="00D242AF">
              <w:rPr>
                <w:rFonts w:ascii="Trebuchet MS" w:hAnsi="Trebuchet MS"/>
                <w:sz w:val="22"/>
                <w:szCs w:val="22"/>
              </w:rPr>
              <w:lastRenderedPageBreak/>
              <w:t xml:space="preserve">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 do Contrato de Cessão</w:t>
            </w:r>
            <w:r>
              <w:rPr>
                <w:rFonts w:ascii="Trebuchet MS" w:hAnsi="Trebuchet MS"/>
                <w:sz w:val="22"/>
                <w:szCs w:val="22"/>
              </w:rPr>
              <w:t xml:space="preserve"> 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rsidR="00673F1A" w:rsidRPr="00D242AF" w:rsidRDefault="00673F1A" w:rsidP="00673F1A">
            <w:pPr>
              <w:spacing w:line="360" w:lineRule="auto"/>
              <w:ind w:left="537"/>
              <w:rPr>
                <w:rFonts w:ascii="Trebuchet MS" w:hAnsi="Trebuchet MS"/>
                <w:sz w:val="22"/>
                <w:szCs w:val="22"/>
              </w:rPr>
            </w:pPr>
          </w:p>
          <w:p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r>
              <w:rPr>
                <w:rFonts w:ascii="Trebuchet MS" w:hAnsi="Trebuchet MS"/>
                <w:color w:val="auto"/>
                <w:sz w:val="22"/>
              </w:rPr>
              <w:t>Securitizadora</w:t>
            </w:r>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rsidR="00673F1A" w:rsidRPr="00D242AF" w:rsidRDefault="00673F1A" w:rsidP="00673F1A">
            <w:pPr>
              <w:pStyle w:val="PargrafodaLista"/>
              <w:spacing w:line="360" w:lineRule="auto"/>
              <w:ind w:left="537" w:hanging="567"/>
              <w:rPr>
                <w:rFonts w:ascii="Trebuchet MS" w:hAnsi="Trebuchet MS" w:cs="Arial"/>
                <w:sz w:val="22"/>
                <w:szCs w:val="22"/>
              </w:rPr>
            </w:pPr>
          </w:p>
          <w:p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xml:space="preserve">, instituição financeira integrante do sistema de distribuição de valores mobiliários, constituída sob a forma de </w:t>
            </w:r>
            <w:r w:rsidRPr="00B621F0">
              <w:rPr>
                <w:rFonts w:ascii="Trebuchet MS" w:hAnsi="Trebuchet MS" w:cs="Tahoma"/>
                <w:sz w:val="22"/>
                <w:szCs w:val="22"/>
              </w:rPr>
              <w:lastRenderedPageBreak/>
              <w:t>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066D99">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066D99">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xml:space="preserve">, bem como dos respectivos </w:t>
            </w:r>
            <w:r w:rsidRPr="00B621F0">
              <w:rPr>
                <w:rFonts w:ascii="Trebuchet MS" w:hAnsi="Trebuchet MS" w:cs="Tahoma"/>
                <w:sz w:val="22"/>
                <w:szCs w:val="22"/>
              </w:rPr>
              <w:lastRenderedPageBreak/>
              <w:t>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r w:rsidR="00546083">
              <w:rPr>
                <w:rFonts w:ascii="Trebuchet MS" w:hAnsi="Trebuchet MS" w:cs="Tahoma"/>
                <w:sz w:val="22"/>
                <w:szCs w:val="22"/>
              </w:rPr>
              <w:t xml:space="preserve"> </w:t>
            </w:r>
            <w:r w:rsidR="00546083" w:rsidRPr="000E2975">
              <w:rPr>
                <w:rFonts w:ascii="Trebuchet MS" w:hAnsi="Trebuchet MS" w:cs="Tahoma"/>
                <w:sz w:val="22"/>
                <w:szCs w:val="22"/>
              </w:rPr>
              <w:t>[</w:t>
            </w:r>
            <w:r w:rsidR="00546083" w:rsidRPr="000E2975">
              <w:rPr>
                <w:rFonts w:ascii="Trebuchet MS" w:hAnsi="Trebuchet MS" w:cs="Tahoma"/>
                <w:b/>
                <w:bCs/>
                <w:sz w:val="22"/>
                <w:szCs w:val="22"/>
                <w:highlight w:val="yellow"/>
              </w:rPr>
              <w:t>Nota TRUE</w:t>
            </w:r>
            <w:r w:rsidR="00546083" w:rsidRPr="000E2975">
              <w:rPr>
                <w:rFonts w:ascii="Trebuchet MS" w:hAnsi="Trebuchet MS" w:cs="Tahoma"/>
                <w:sz w:val="22"/>
                <w:szCs w:val="22"/>
                <w:highlight w:val="yellow"/>
              </w:rPr>
              <w:t>: Podem nos informar se já foi definido e quais serão? Caso positivo, podem nos enviar as propostas para que possamos trabalhar a precificação?</w:t>
            </w:r>
            <w:r w:rsidR="00546083" w:rsidRPr="000E2975">
              <w:rPr>
                <w:rFonts w:ascii="Trebuchet MS" w:hAnsi="Trebuchet MS" w:cs="Tahoma"/>
                <w:sz w:val="22"/>
                <w:szCs w:val="22"/>
              </w:rPr>
              <w:t>]</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066D99">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lastRenderedPageBreak/>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w:t>
            </w:r>
            <w:r w:rsidRPr="00B32090">
              <w:rPr>
                <w:rStyle w:val="DeltaViewDeletion"/>
                <w:rFonts w:ascii="Trebuchet MS" w:hAnsi="Trebuchet MS" w:cs="Trebuchet MS"/>
                <w:strike w:val="0"/>
                <w:color w:val="auto"/>
                <w:sz w:val="22"/>
                <w:szCs w:val="22"/>
              </w:rPr>
              <w:lastRenderedPageBreak/>
              <w:t>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qualquer um dos Créditos Imobiliários e/ou Contratos Imobiliários seja alterado ou modificado, total ou parcialmente, em desacordo com a Política de Cobrança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B32090">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0E2975">
              <w:rPr>
                <w:rStyle w:val="DeltaViewDeletion"/>
                <w:rFonts w:ascii="Trebuchet MS" w:hAnsi="Trebuchet MS"/>
                <w:color w:val="auto"/>
                <w:sz w:val="22"/>
                <w:szCs w:val="22"/>
              </w:rPr>
              <w:t xml:space="preserve"> </w:t>
            </w:r>
            <w:r w:rsidR="00E06EEF" w:rsidRPr="000E2975">
              <w:rPr>
                <w:rStyle w:val="DeltaViewDeletion"/>
                <w:rFonts w:ascii="Trebuchet MS" w:hAnsi="Trebuchet MS"/>
                <w:strike w:val="0"/>
                <w:color w:val="auto"/>
                <w:sz w:val="22"/>
                <w:szCs w:val="22"/>
              </w:rPr>
              <w:t>caso,</w:t>
            </w:r>
            <w:r w:rsidR="00E06EEF" w:rsidRPr="000E2975">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r w:rsidR="00546083" w:rsidRPr="000E2975">
              <w:rPr>
                <w:rFonts w:ascii="Trebuchet MS" w:hAnsi="Trebuchet MS"/>
                <w:sz w:val="22"/>
                <w:szCs w:val="22"/>
              </w:rPr>
              <w:t>[</w:t>
            </w:r>
            <w:r w:rsidR="00546083" w:rsidRPr="000E2975">
              <w:rPr>
                <w:rFonts w:ascii="Trebuchet MS" w:hAnsi="Trebuchet MS"/>
                <w:sz w:val="22"/>
                <w:szCs w:val="22"/>
                <w:highlight w:val="yellow"/>
              </w:rPr>
              <w:t>NOTA TRUE: Podem nos enviar as propostas dos prestadores de serviço da operação para trabalharmos na precificação e modelagem?</w:t>
            </w:r>
            <w:r w:rsidR="00546083" w:rsidRPr="000E2975">
              <w:rPr>
                <w:rFonts w:ascii="Trebuchet MS" w:hAnsi="Trebuchet MS"/>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066D99">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patrimônio constituído, após a instituição do Regime Fiduciário, </w:t>
            </w:r>
            <w:r w:rsidRPr="00B621F0">
              <w:rPr>
                <w:rFonts w:ascii="Trebuchet MS" w:hAnsi="Trebuchet MS" w:cs="Tahoma"/>
                <w:sz w:val="22"/>
                <w:szCs w:val="22"/>
              </w:rPr>
              <w:lastRenderedPageBreak/>
              <w:t>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w:t>
            </w:r>
            <w:r w:rsidRPr="00B621F0">
              <w:rPr>
                <w:rFonts w:ascii="Trebuchet MS" w:hAnsi="Trebuchet MS" w:cs="Tahoma"/>
                <w:sz w:val="22"/>
                <w:szCs w:val="22"/>
              </w:rPr>
              <w:lastRenderedPageBreak/>
              <w:t>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Pr>
                <w:rStyle w:val="cf11"/>
                <w:rFonts w:ascii="Trebuchet MS" w:hAnsi="Trebuchet MS"/>
                <w:sz w:val="22"/>
                <w:szCs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taxa de administração devida à Securitizadora, equivalente à R$ 3.500,00 (três mil e quinhentos reais) mensais e R$ 20.000,00 (vinte mil reais) de custos </w:t>
            </w:r>
            <w:r>
              <w:rPr>
                <w:rFonts w:ascii="Trebuchet MS" w:hAnsi="Trebuchet MS" w:cs="Tahoma"/>
                <w:i/>
                <w:iCs/>
                <w:sz w:val="22"/>
                <w:szCs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w:t>
            </w:r>
            <w:r w:rsidRPr="00B621F0">
              <w:rPr>
                <w:rFonts w:ascii="Trebuchet MS" w:hAnsi="Trebuchet MS" w:cs="Arial"/>
                <w:sz w:val="22"/>
                <w:szCs w:val="22"/>
              </w:rPr>
              <w:lastRenderedPageBreak/>
              <w:t>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B32090">
        <w:rPr>
          <w:rFonts w:ascii="Trebuchet MS" w:hAnsi="Trebuchet MS" w:cs="Segoe UI"/>
          <w:iCs/>
          <w:sz w:val="22"/>
          <w:szCs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rsidR="008775EB" w:rsidRPr="00B621F0" w:rsidRDefault="008775EB">
      <w:pPr>
        <w:keepNext/>
        <w:spacing w:line="360" w:lineRule="auto"/>
        <w:ind w:right="-2"/>
        <w:jc w:val="both"/>
        <w:rPr>
          <w:rFonts w:ascii="Trebuchet MS" w:hAnsi="Trebuchet MS" w:cs="Tahoma"/>
          <w:sz w:val="22"/>
          <w:szCs w:val="22"/>
        </w:rPr>
      </w:pPr>
    </w:p>
    <w:bookmarkEnd w:id="7"/>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xml:space="preserve">: Os CRI Subordinados serão colocados de forma privada para a Cedente sem a intermediação de instituições integrantes do sistema de distribuição de valores mobiliários e/ou qualquer esforço de venda perante investidores e não serão depositados para </w:t>
      </w:r>
      <w:r w:rsidRPr="00B621F0">
        <w:rPr>
          <w:rFonts w:ascii="Trebuchet MS" w:hAnsi="Trebuchet MS" w:cs="Tahoma"/>
          <w:sz w:val="22"/>
          <w:szCs w:val="22"/>
        </w:rPr>
        <w:lastRenderedPageBreak/>
        <w:t>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r w:rsidR="00460DC2" w:rsidRPr="000E2975">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Senhores, podem nos informar as taxas e valores globais das Séries para fins de precificação?</w:t>
      </w:r>
      <w:r w:rsidR="00460DC2" w:rsidRPr="000E2975">
        <w:rPr>
          <w:rFonts w:ascii="Trebuchet MS" w:hAnsi="Trebuchet MS" w:cs="Tahoma"/>
          <w:sz w:val="22"/>
          <w:szCs w:val="22"/>
        </w:rPr>
        <w:t>]</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xml:space="preserve">, sendo que a quantidade de CRI Seniores a serem </w:t>
            </w:r>
            <w:r w:rsidR="00F675C5" w:rsidRPr="00B621F0">
              <w:rPr>
                <w:rFonts w:ascii="Trebuchet MS" w:hAnsi="Trebuchet MS" w:cs="Trebuchet MS"/>
                <w:sz w:val="22"/>
                <w:szCs w:val="22"/>
              </w:rPr>
              <w:lastRenderedPageBreak/>
              <w:t>emitidos em cada série será definido conforme o Procedimento de Bookbuilding</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w:t>
            </w:r>
            <w:r w:rsidRPr="00B621F0">
              <w:rPr>
                <w:rFonts w:ascii="Trebuchet MS" w:hAnsi="Trebuchet MS" w:cs="Tahoma"/>
                <w:sz w:val="22"/>
                <w:szCs w:val="22"/>
              </w:rPr>
              <w:lastRenderedPageBreak/>
              <w:t>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xml:space="preserve">, observado o Sistema de Vasos Comunicantes, sendo que a quantidade de CRI Seniores a serem emitidos </w:t>
            </w:r>
            <w:r w:rsidR="00F675C5" w:rsidRPr="00B621F0">
              <w:rPr>
                <w:rFonts w:ascii="Trebuchet MS" w:hAnsi="Trebuchet MS" w:cs="Trebuchet MS"/>
                <w:sz w:val="22"/>
                <w:szCs w:val="22"/>
              </w:rPr>
              <w:lastRenderedPageBreak/>
              <w:t>em cada série será definido conforme o Procedimento de Bookbuilding</w:t>
            </w:r>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9D4382">
              <w:rPr>
                <w:rFonts w:ascii="Trebuchet MS" w:hAnsi="Trebuchet MS" w:cs="Trebuchet MS"/>
                <w:bCs/>
                <w:sz w:val="22"/>
                <w:szCs w:val="22"/>
              </w:rPr>
              <w:t>um</w:t>
            </w:r>
            <w:r w:rsidR="007909B1" w:rsidRPr="00B621F0">
              <w:rPr>
                <w:rFonts w:ascii="Trebuchet MS" w:hAnsi="Trebuchet MS" w:cs="Trebuchet MS"/>
                <w:bCs/>
                <w:sz w:val="22"/>
                <w:szCs w:val="22"/>
              </w:rPr>
              <w:t xml:space="preserve"> inteiro e </w:t>
            </w:r>
            <w:r w:rsidR="007909B1">
              <w:rPr>
                <w:rFonts w:ascii="Trebuchet MS" w:hAnsi="Trebuchet MS" w:cs="Trebuchet MS"/>
                <w:bCs/>
                <w:sz w:val="22"/>
                <w:szCs w:val="22"/>
              </w:rPr>
              <w:t>trezentos e setenta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 xml:space="preserve">borado de acordo com o </w:t>
      </w:r>
      <w:r w:rsidR="009D0472" w:rsidRPr="00B621F0">
        <w:rPr>
          <w:rFonts w:ascii="Trebuchet MS" w:hAnsi="Trebuchet MS" w:cs="Arial"/>
          <w:sz w:val="22"/>
          <w:szCs w:val="22"/>
        </w:rPr>
        <w:lastRenderedPageBreak/>
        <w:t>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w:t>
      </w:r>
      <w:r w:rsidRPr="00B621F0">
        <w:rPr>
          <w:rFonts w:ascii="Trebuchet MS" w:hAnsi="Trebuchet MS" w:cs="Arial"/>
          <w:sz w:val="22"/>
          <w:szCs w:val="22"/>
        </w:rPr>
        <w:lastRenderedPageBreak/>
        <w:t xml:space="preserve">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4.4.1. Será admitido como comprovante de titularidade o extrato emitido pelo Agente Escriturador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70EE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70EE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270EE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270EEB">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270EEB">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o IPCA/IBGE </w:t>
      </w:r>
      <w:r w:rsidR="00925776" w:rsidRPr="00B621F0">
        <w:rPr>
          <w:rFonts w:ascii="Trebuchet MS" w:hAnsi="Trebuchet MS" w:cs="Tahoma"/>
          <w:spacing w:val="-2"/>
          <w:sz w:val="22"/>
          <w:szCs w:val="22"/>
        </w:rPr>
        <w:lastRenderedPageBreak/>
        <w:t>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r w:rsidR="00C17E6C" w:rsidRPr="00B32090">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C17E6C" w:rsidRPr="00B32090">
        <w:rPr>
          <w:rFonts w:ascii="Trebuchet MS" w:hAnsi="Trebuchet MS"/>
          <w:b/>
          <w:bCs/>
          <w:sz w:val="22"/>
          <w:szCs w:val="22"/>
          <w:highlight w:val="yellow"/>
        </w:rPr>
        <w:t>TCMB</w:t>
      </w:r>
      <w:r w:rsidR="00C17E6C" w:rsidRPr="00B32090">
        <w:rPr>
          <w:rFonts w:ascii="Trebuchet MS" w:hAnsi="Trebuchet MS"/>
          <w:sz w:val="22"/>
          <w:szCs w:val="22"/>
          <w:highlight w:val="yellow"/>
        </w:rPr>
        <w:t>: No caso de indisponibilidade de qualquer índice teremos a aceleração de ambos os CRI Seniores]</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lastRenderedPageBreak/>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lastRenderedPageBreak/>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270EEB">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270EEB">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270EEB">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6.8.2. Caso a Taxa DI venha a ser divulgada antes da realização da Assembleia Geral, a referida assembleia não será mais realizada, e a Taxa DI, a partir da sua validade, passará a ser utilizada para o cálculo da Remuneração dos CRI Seniores CDI, sendo a última Taxa DI </w:t>
      </w:r>
      <w:r w:rsidRPr="00B621F0">
        <w:rPr>
          <w:rFonts w:ascii="Trebuchet MS" w:hAnsi="Trebuchet MS" w:cs="Tahoma"/>
          <w:spacing w:val="-2"/>
          <w:sz w:val="22"/>
          <w:szCs w:val="22"/>
        </w:rPr>
        <w:lastRenderedPageBreak/>
        <w:t>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341F53" w:rsidRPr="00C73F5F">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341F53" w:rsidRPr="00B32090">
        <w:rPr>
          <w:rFonts w:ascii="Trebuchet MS" w:hAnsi="Trebuchet MS"/>
          <w:b/>
          <w:bCs/>
          <w:sz w:val="22"/>
          <w:szCs w:val="22"/>
          <w:highlight w:val="yellow"/>
        </w:rPr>
        <w:t>TCMB</w:t>
      </w:r>
      <w:r w:rsidR="00341F53" w:rsidRPr="00C73F5F">
        <w:rPr>
          <w:rFonts w:ascii="Trebuchet MS" w:hAnsi="Trebuchet MS"/>
          <w:sz w:val="22"/>
          <w:szCs w:val="22"/>
          <w:highlight w:val="yellow"/>
        </w:rPr>
        <w:t>: No caso de indisponibilidade de qualquer índice teremos a aceleração de ambos os CRI Seniores]</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verificadas pelo Agente de Cobrança que deverá disponibilizar um relatório mensal à Securitizadora com no mínimo 05 (cinco) dias úteis de antecedência do dia 30 de cada mês, sendo certo que a primeira fins de da primeira verificação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lastRenderedPageBreak/>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dias úteis 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r w:rsidR="00460DC2">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xml:space="preserve">: É interessante deixarmos definido um modelo de </w:t>
      </w:r>
      <w:r w:rsidR="00460DC2" w:rsidRPr="000E2975">
        <w:rPr>
          <w:rFonts w:ascii="Trebuchet MS" w:hAnsi="Trebuchet MS" w:cs="Tahoma"/>
          <w:i/>
          <w:iCs/>
          <w:sz w:val="22"/>
          <w:szCs w:val="22"/>
          <w:highlight w:val="yellow"/>
        </w:rPr>
        <w:t xml:space="preserve">report </w:t>
      </w:r>
      <w:r w:rsidR="00460DC2" w:rsidRPr="000E2975">
        <w:rPr>
          <w:rFonts w:ascii="Trebuchet MS" w:hAnsi="Trebuchet MS" w:cs="Tahoma"/>
          <w:sz w:val="22"/>
          <w:szCs w:val="22"/>
          <w:highlight w:val="yellow"/>
        </w:rPr>
        <w:t>do Agente de Cobrança do VPL créditos imobiliários</w:t>
      </w:r>
      <w:r w:rsidR="00460DC2">
        <w:rPr>
          <w:rFonts w:ascii="Trebuchet MS" w:hAnsi="Trebuchet MS" w:cs="Tahoma"/>
          <w:sz w:val="22"/>
          <w:szCs w:val="22"/>
        </w:rPr>
        <w:t>]</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 xml:space="preserve">antecipação </w:t>
      </w:r>
      <w:r w:rsidR="00D6756B" w:rsidRPr="000E2975">
        <w:rPr>
          <w:rFonts w:ascii="Trebuchet MS" w:hAnsi="Trebuchet MS" w:cs="Tahoma"/>
          <w:sz w:val="22"/>
          <w:szCs w:val="22"/>
          <w:highlight w:val="yellow"/>
        </w:rPr>
        <w:t>ou pré-pagamento dos Créditos Imobiliários</w:t>
      </w:r>
      <w:r w:rsidR="00460DC2" w:rsidRPr="00460DC2">
        <w:rPr>
          <w:rFonts w:ascii="Trebuchet MS" w:hAnsi="Trebuchet MS" w:cs="Tahoma"/>
          <w:sz w:val="22"/>
          <w:szCs w:val="22"/>
        </w:rPr>
        <w:t xml:space="preserve">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w:t>
      </w:r>
      <w:r w:rsidR="008F304C" w:rsidRPr="00B621F0">
        <w:rPr>
          <w:rFonts w:ascii="Trebuchet MS" w:hAnsi="Trebuchet MS" w:cs="Tahoma"/>
          <w:sz w:val="22"/>
          <w:szCs w:val="22"/>
        </w:rPr>
        <w:lastRenderedPageBreak/>
        <w:t xml:space="preserve">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r w:rsidR="00460DC2">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Neste caso, observada a cascata de pagamentos, a amortização para todas as séries será realizada na mesma proporção no sentido de manter as proporções de saldo devedor entre as séries? - Com isso a amortização extraordinária será realizada em todos as séries dos CRIs?</w:t>
      </w:r>
      <w:r w:rsidR="00460DC2">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w:t>
      </w:r>
      <w:r w:rsidRPr="00B621F0">
        <w:rPr>
          <w:rFonts w:ascii="Trebuchet MS" w:hAnsi="Trebuchet MS" w:cs="Tahoma"/>
          <w:sz w:val="22"/>
          <w:szCs w:val="22"/>
        </w:rPr>
        <w:lastRenderedPageBreak/>
        <w:t xml:space="preserve">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r w:rsidR="009C2CEC" w:rsidRPr="000E2975">
        <w:rPr>
          <w:rFonts w:ascii="Trebuchet MS" w:hAnsi="Trebuchet MS" w:cs="Arial"/>
          <w:sz w:val="22"/>
          <w:szCs w:val="22"/>
          <w:highlight w:val="yellow"/>
        </w:rPr>
        <w:t>[</w:t>
      </w:r>
      <w:r w:rsidR="00270EEB" w:rsidRPr="00270EEB">
        <w:rPr>
          <w:rFonts w:ascii="Trebuchet MS" w:hAnsi="Trebuchet MS" w:cs="Arial"/>
          <w:b/>
          <w:bCs/>
          <w:sz w:val="22"/>
          <w:szCs w:val="22"/>
          <w:highlight w:val="yellow"/>
        </w:rPr>
        <w:t xml:space="preserve">Nota </w:t>
      </w:r>
      <w:r w:rsidR="009C2CEC" w:rsidRPr="00270EEB">
        <w:rPr>
          <w:rFonts w:ascii="Trebuchet MS" w:hAnsi="Trebuchet MS" w:cs="Arial"/>
          <w:b/>
          <w:bCs/>
          <w:sz w:val="22"/>
          <w:szCs w:val="22"/>
          <w:highlight w:val="yellow"/>
        </w:rPr>
        <w:t>TCMB</w:t>
      </w:r>
      <w:r w:rsidR="009C2CEC" w:rsidRPr="000E2975">
        <w:rPr>
          <w:rFonts w:ascii="Trebuchet MS" w:hAnsi="Trebuchet MS" w:cs="Arial"/>
          <w:sz w:val="22"/>
          <w:szCs w:val="22"/>
          <w:highlight w:val="yellow"/>
        </w:rPr>
        <w:t xml:space="preserve">: </w:t>
      </w:r>
      <w:r w:rsidR="00270EEB">
        <w:rPr>
          <w:rFonts w:ascii="Trebuchet MS" w:hAnsi="Trebuchet MS" w:cs="Arial"/>
          <w:sz w:val="22"/>
          <w:szCs w:val="22"/>
          <w:highlight w:val="yellow"/>
        </w:rPr>
        <w:t>t</w:t>
      </w:r>
      <w:bookmarkStart w:id="32" w:name="_GoBack"/>
      <w:bookmarkEnd w:id="32"/>
      <w:r w:rsidR="009C2CEC" w:rsidRPr="000E2975">
        <w:rPr>
          <w:rFonts w:ascii="Trebuchet MS" w:hAnsi="Trebuchet MS" w:cs="Arial"/>
          <w:sz w:val="22"/>
          <w:szCs w:val="22"/>
          <w:highlight w:val="yellow"/>
        </w:rPr>
        <w:t>odos, favor validar se ficou mais claro o conceito]</w:t>
      </w:r>
    </w:p>
    <w:p w:rsidR="00D76A5B" w:rsidRDefault="00D76A5B" w:rsidP="007A749D">
      <w:pPr>
        <w:spacing w:line="360" w:lineRule="auto"/>
        <w:ind w:right="-2"/>
        <w:jc w:val="both"/>
        <w:rPr>
          <w:rFonts w:ascii="Trebuchet MS" w:hAnsi="Trebuchet MS" w:cs="Tahoma"/>
          <w:sz w:val="22"/>
          <w:szCs w:val="22"/>
        </w:rPr>
      </w:pPr>
    </w:p>
    <w:p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rsidR="00D76A5B" w:rsidRDefault="00D76A5B" w:rsidP="007A749D">
      <w:pPr>
        <w:spacing w:line="360" w:lineRule="auto"/>
        <w:ind w:right="-2"/>
        <w:jc w:val="both"/>
        <w:rPr>
          <w:rFonts w:ascii="Trebuchet MS" w:hAnsi="Trebuchet MS" w:cs="Arial"/>
          <w:sz w:val="22"/>
          <w:szCs w:val="22"/>
        </w:rPr>
      </w:pPr>
    </w:p>
    <w:p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rsidR="007A78D8" w:rsidRDefault="007A78D8" w:rsidP="007A749D">
      <w:pPr>
        <w:spacing w:line="360" w:lineRule="auto"/>
        <w:ind w:right="-2"/>
        <w:jc w:val="both"/>
        <w:rPr>
          <w:rFonts w:ascii="Trebuchet MS" w:hAnsi="Trebuchet MS" w:cs="Arial"/>
          <w:sz w:val="22"/>
          <w:szCs w:val="22"/>
        </w:rPr>
      </w:pPr>
    </w:p>
    <w:p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(a) equivalente ao valor necessário para que o Índice de S</w:t>
      </w:r>
      <w:r w:rsidRPr="000C1383">
        <w:rPr>
          <w:rFonts w:ascii="Trebuchet MS" w:hAnsi="Trebuchet MS" w:cs="Arial"/>
          <w:sz w:val="22"/>
          <w:szCs w:val="22"/>
        </w:rPr>
        <w:t>ubordinação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1D5AD6">
      <w:pPr>
        <w:spacing w:line="360" w:lineRule="auto"/>
        <w:ind w:left="709" w:right="-2"/>
        <w:jc w:val="both"/>
        <w:rPr>
          <w:rFonts w:ascii="Trebuchet MS" w:hAnsi="Trebuchet MS" w:cs="Arial"/>
          <w:sz w:val="22"/>
          <w:szCs w:val="22"/>
        </w:rPr>
      </w:pPr>
    </w:p>
    <w:p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Algum gatilho será disparado pelo não atendimento do Índice de Senioridade Subordinada?</w:t>
      </w:r>
      <w:r w:rsidR="00460DC2">
        <w:rPr>
          <w:rFonts w:ascii="Trebuchet MS" w:hAnsi="Trebuchet MS" w:cs="Tahoma"/>
          <w:sz w:val="22"/>
          <w:szCs w:val="22"/>
        </w:rPr>
        <w:t>]</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de até 90 (noventa) dias contados do pagamento do Valor da Cessão, prorrogáveis por mais 30 (trinta) dias desde que a Cedente comprove estar cumprindo com as exigências formuladas pelo Serviço de Registro de Imóveis competente e não cesse os efeitos da prenotação inicial. A Cedente obriga-se a enviar documento comprobatório da Averbação à </w:t>
      </w:r>
      <w:r w:rsidR="000F7827">
        <w:rPr>
          <w:rFonts w:ascii="Trebuchet MS" w:hAnsi="Trebuchet MS"/>
          <w:sz w:val="22"/>
        </w:rPr>
        <w:t>Securitizadora</w:t>
      </w:r>
      <w:r w:rsidR="000F7827" w:rsidRPr="00D242AF">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 do CPF/MF,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425397" w:rsidRPr="00BF5F39" w:rsidRDefault="00425397" w:rsidP="000219B9">
      <w:pPr>
        <w:pStyle w:val="PargrafodaLista"/>
        <w:spacing w:line="360" w:lineRule="auto"/>
        <w:rPr>
          <w:rFonts w:ascii="Trebuchet MS" w:hAnsi="Trebuchet MS"/>
          <w:sz w:val="22"/>
        </w:rPr>
      </w:pPr>
    </w:p>
    <w:p w:rsidR="00425397" w:rsidRPr="00B621F0" w:rsidRDefault="00425397" w:rsidP="000219B9">
      <w:pPr>
        <w:pStyle w:val="PargrafodaLista"/>
        <w:spacing w:line="360" w:lineRule="auto"/>
        <w:rPr>
          <w:rFonts w:ascii="Trebuchet MS" w:hAnsi="Trebuchet MS" w:cs="Tahoma"/>
          <w:sz w:val="22"/>
          <w:szCs w:val="22"/>
        </w:rPr>
      </w:pP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pPr>
        <w:tabs>
          <w:tab w:val="left" w:pos="1134"/>
        </w:tabs>
        <w:spacing w:line="360" w:lineRule="auto"/>
        <w:ind w:right="-2"/>
        <w:jc w:val="both"/>
        <w:rPr>
          <w:rFonts w:ascii="Trebuchet MS" w:hAnsi="Trebuchet MS" w:cs="Tahoma"/>
          <w:sz w:val="22"/>
          <w:szCs w:val="22"/>
        </w:rPr>
      </w:pPr>
    </w:p>
    <w:p w:rsidR="00460DC2" w:rsidRDefault="00460DC2" w:rsidP="00460DC2">
      <w:pPr>
        <w:tabs>
          <w:tab w:val="left" w:pos="709"/>
        </w:tabs>
        <w:spacing w:line="360" w:lineRule="auto"/>
        <w:ind w:right="-2"/>
        <w:jc w:val="both"/>
        <w:rPr>
          <w:rFonts w:ascii="Trebuchet MS" w:hAnsi="Trebuchet MS" w:cs="Tahoma"/>
          <w:sz w:val="22"/>
          <w:szCs w:val="22"/>
        </w:rPr>
      </w:pPr>
      <w:r>
        <w:rPr>
          <w:rFonts w:ascii="Trebuchet MS" w:hAnsi="Trebuchet MS" w:cs="Tahoma"/>
          <w:b/>
          <w:bCs/>
          <w:sz w:val="22"/>
          <w:szCs w:val="22"/>
          <w:u w:val="single"/>
        </w:rPr>
        <w:t xml:space="preserve">14.1.1 </w:t>
      </w:r>
      <w:r w:rsidRPr="003634B3">
        <w:rPr>
          <w:rFonts w:ascii="Trebuchet MS" w:hAnsi="Trebuchet MS" w:cs="Tahoma"/>
          <w:b/>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e (b) a True,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do Coordenador Líder pela emissão do CRI,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r>
        <w:rPr>
          <w:rFonts w:ascii="Trebuchet MS" w:hAnsi="Trebuchet MS" w:cs="Tahoma"/>
          <w:sz w:val="22"/>
          <w:szCs w:val="22"/>
        </w:rPr>
        <w:t xml:space="preserve"> [</w:t>
      </w:r>
      <w:r w:rsidRPr="000E2975">
        <w:rPr>
          <w:rFonts w:ascii="Trebuchet MS" w:hAnsi="Trebuchet MS" w:cs="Tahoma"/>
          <w:b/>
          <w:bCs/>
          <w:sz w:val="22"/>
          <w:szCs w:val="22"/>
          <w:highlight w:val="yellow"/>
        </w:rPr>
        <w:t>Nota True</w:t>
      </w:r>
      <w:r w:rsidRPr="000E2975">
        <w:rPr>
          <w:rFonts w:ascii="Trebuchet MS" w:hAnsi="Trebuchet MS" w:cs="Tahoma"/>
          <w:sz w:val="22"/>
          <w:szCs w:val="22"/>
          <w:highlight w:val="yellow"/>
        </w:rPr>
        <w:t>: Time IBBA, podem nos informar se o pagamento da sua remuneração será com os recursos do Patrimônio Separado ou diretamente pela Cashme?</w:t>
      </w:r>
      <w:r>
        <w:rPr>
          <w:rFonts w:ascii="Trebuchet MS" w:hAnsi="Trebuchet MS" w:cs="Tahoma"/>
          <w:sz w:val="22"/>
          <w:szCs w:val="22"/>
        </w:rPr>
        <w:t>]</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rsidR="00460DC2" w:rsidRPr="003634B3" w:rsidRDefault="00460DC2" w:rsidP="000E2975">
      <w:pPr>
        <w:spacing w:line="360" w:lineRule="auto"/>
        <w:ind w:left="720"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 nos montantes: (c) referente à implantação e registro dos CRI, a parcela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(d) referente a administração dos CRI, a parcela de R$</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Todas estas parcelas serão pagas no 1º (primeiro) Dia Útil contado da primeira Data de Integralização dos CRI, serão acrescidas dos devidos tributos;</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serão acrescidas os devidos tributos</w:t>
      </w:r>
      <w:r>
        <w:rPr>
          <w:rFonts w:ascii="Trebuchet MS" w:hAnsi="Trebuchet MS" w:cs="Tahoma"/>
          <w:sz w:val="22"/>
          <w:szCs w:val="22"/>
        </w:rPr>
        <w:t xml:space="preserve"> vigente à época.</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rsidR="00460DC2" w:rsidRDefault="00460DC2" w:rsidP="00460DC2">
      <w:pPr>
        <w:spacing w:line="360" w:lineRule="auto"/>
        <w:ind w:right="-2"/>
        <w:jc w:val="both"/>
        <w:rPr>
          <w:rFonts w:ascii="Trebuchet MS" w:hAnsi="Trebuchet MS" w:cs="Tahoma"/>
          <w:sz w:val="22"/>
          <w:szCs w:val="22"/>
        </w:rPr>
      </w:pPr>
    </w:p>
    <w:p w:rsidR="00460DC2" w:rsidRDefault="00460DC2" w:rsidP="00460DC2">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14.1.3 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270EEB">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B621F0" w:rsidRDefault="00142762">
      <w:pPr>
        <w:spacing w:line="360" w:lineRule="auto"/>
        <w:ind w:right="-2"/>
        <w:rPr>
          <w:rFonts w:ascii="Trebuchet MS" w:hAnsi="Trebuchet MS" w:cs="Tahoma"/>
          <w:sz w:val="22"/>
          <w:szCs w:val="22"/>
        </w:rPr>
      </w:pPr>
    </w:p>
    <w:p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rsidR="00C05DA9" w:rsidRPr="00B621F0" w:rsidRDefault="00C05DA9">
      <w:pPr>
        <w:spacing w:line="360" w:lineRule="auto"/>
        <w:ind w:right="-2"/>
        <w:jc w:val="center"/>
        <w:rPr>
          <w:rFonts w:ascii="Trebuchet MS" w:hAnsi="Trebuchet MS" w:cs="Tahoma"/>
          <w:color w:val="000000"/>
          <w:sz w:val="22"/>
          <w:szCs w:val="22"/>
        </w:rPr>
      </w:pPr>
    </w:p>
    <w:p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rsidR="00C05DA9" w:rsidRPr="00B621F0" w:rsidRDefault="00C05DA9">
      <w:pPr>
        <w:spacing w:line="360" w:lineRule="auto"/>
        <w:ind w:right="-2"/>
        <w:jc w:val="center"/>
        <w:rPr>
          <w:rFonts w:ascii="Trebuchet MS" w:eastAsia="Calibri" w:hAnsi="Trebuchet MS"/>
          <w:b/>
          <w:sz w:val="22"/>
          <w:szCs w:val="22"/>
        </w:rPr>
      </w:pPr>
    </w:p>
    <w:p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tabs>
          <w:tab w:val="left" w:pos="1134"/>
        </w:tabs>
        <w:spacing w:line="360" w:lineRule="auto"/>
        <w:ind w:right="-2"/>
        <w:jc w:val="both"/>
        <w:rPr>
          <w:rFonts w:ascii="Trebuchet MS" w:hAnsi="Trebuchet MS" w:cs="Tahoma"/>
          <w:b/>
          <w:sz w:val="22"/>
          <w:szCs w:val="22"/>
        </w:rPr>
      </w:pPr>
    </w:p>
    <w:p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rsidTr="00664579">
        <w:tc>
          <w:tcPr>
            <w:tcW w:w="4786"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C05DA9" w:rsidRPr="00B621F0" w:rsidRDefault="00C05DA9" w:rsidP="000219B9">
      <w:pPr>
        <w:spacing w:line="360" w:lineRule="auto"/>
        <w:rPr>
          <w:rFonts w:ascii="Trebuchet MS" w:hAnsi="Trebuchet MS" w:cs="Tahoma"/>
          <w:color w:val="000000"/>
          <w:sz w:val="22"/>
          <w:szCs w:val="22"/>
        </w:rPr>
      </w:pPr>
    </w:p>
    <w:p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0219B9">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270EEB"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270EEB"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270EEB"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270EEB"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1D1" w:rsidRDefault="003C21D1" w:rsidP="00795978">
      <w:r>
        <w:separator/>
      </w:r>
    </w:p>
    <w:p w:rsidR="003C21D1" w:rsidRDefault="003C21D1"/>
  </w:endnote>
  <w:endnote w:type="continuationSeparator" w:id="0">
    <w:p w:rsidR="003C21D1" w:rsidRDefault="003C21D1" w:rsidP="00795978">
      <w:r>
        <w:continuationSeparator/>
      </w:r>
    </w:p>
    <w:p w:rsidR="003C21D1" w:rsidRDefault="003C21D1"/>
  </w:endnote>
  <w:endnote w:type="continuationNotice" w:id="1">
    <w:p w:rsidR="003C21D1" w:rsidRDefault="003C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D76A5B" w:rsidRPr="00671B7F" w:rsidRDefault="00D76A5B">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270EEB">
          <w:rPr>
            <w:rFonts w:ascii="Trebuchet MS" w:hAnsi="Trebuchet MS"/>
            <w:noProof/>
            <w:sz w:val="20"/>
          </w:rPr>
          <w:t>45</w:t>
        </w:r>
        <w:r w:rsidRPr="00671B7F">
          <w:rPr>
            <w:rFonts w:ascii="Trebuchet MS" w:hAnsi="Trebuchet MS"/>
            <w:sz w:val="20"/>
          </w:rPr>
          <w:fldChar w:fldCharType="end"/>
        </w:r>
      </w:p>
    </w:sdtContent>
  </w:sdt>
  <w:p w:rsidR="00D76A5B" w:rsidRDefault="00D76A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1D1" w:rsidRDefault="003C21D1" w:rsidP="00795978">
      <w:r>
        <w:separator/>
      </w:r>
    </w:p>
    <w:p w:rsidR="003C21D1" w:rsidRDefault="003C21D1"/>
  </w:footnote>
  <w:footnote w:type="continuationSeparator" w:id="0">
    <w:p w:rsidR="003C21D1" w:rsidRDefault="003C21D1" w:rsidP="00795978">
      <w:r>
        <w:continuationSeparator/>
      </w:r>
    </w:p>
    <w:p w:rsidR="003C21D1" w:rsidRDefault="003C21D1"/>
  </w:footnote>
  <w:footnote w:type="continuationNotice" w:id="1">
    <w:p w:rsidR="003C21D1" w:rsidRDefault="003C21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A5B" w:rsidRDefault="00D76A5B">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2A9515"/>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316002"/>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4.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8DAD9BD1-1904-4F1F-9744-2686FBDAE9E5}">
  <ds:schemaRefs>
    <ds:schemaRef ds:uri="http://schemas.openxmlformats.org/officeDocument/2006/bibliography"/>
  </ds:schemaRefs>
</ds:datastoreItem>
</file>

<file path=customXml/itemProps6.xml><?xml version="1.0" encoding="utf-8"?>
<ds:datastoreItem xmlns:ds="http://schemas.openxmlformats.org/officeDocument/2006/customXml" ds:itemID="{E7DBEF28-04A1-4BCB-9032-4F2046C3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32033</Words>
  <Characters>182594</Characters>
  <Application>Microsoft Office Word</Application>
  <DocSecurity>0</DocSecurity>
  <Lines>1521</Lines>
  <Paragraphs>428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214199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torelli TCMB</dc:creator>
  <cp:lastModifiedBy>TCMB</cp:lastModifiedBy>
  <cp:revision>12</cp:revision>
  <cp:lastPrinted>2020-12-15T09:59:00Z</cp:lastPrinted>
  <dcterms:created xsi:type="dcterms:W3CDTF">2022-07-14T22:43:00Z</dcterms:created>
  <dcterms:modified xsi:type="dcterms:W3CDTF">2022-07-22T22:16:00Z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