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BDF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w:t>
      </w:r>
    </w:p>
    <w:p w14:paraId="55830EE3" w14:textId="4543F557" w:rsidR="00BC6BE1" w:rsidRDefault="00A648A9"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CONTA VINCULADA</w:t>
      </w:r>
      <w:r w:rsidRPr="00233635">
        <w:rPr>
          <w:rFonts w:eastAsia="Arial"/>
          <w:b/>
          <w:sz w:val="22"/>
          <w:szCs w:val="22"/>
        </w:rPr>
        <w:t xml:space="preserve"> </w:t>
      </w:r>
      <w:r w:rsidR="00D30263" w:rsidRPr="00233635">
        <w:rPr>
          <w:rFonts w:eastAsia="Arial"/>
          <w:b/>
          <w:sz w:val="22"/>
          <w:szCs w:val="22"/>
        </w:rPr>
        <w:t xml:space="preserve">E OUTRAS AVENÇAS Nº </w:t>
      </w:r>
      <w:r w:rsidR="00D57CE1">
        <w:rPr>
          <w:rFonts w:eastAsia="Arial"/>
          <w:b/>
          <w:sz w:val="22"/>
          <w:szCs w:val="22"/>
        </w:rPr>
        <w:t>[</w:t>
      </w:r>
      <w:r w:rsidR="00D57CE1" w:rsidRPr="00455418">
        <w:rPr>
          <w:rFonts w:eastAsia="Arial"/>
          <w:b/>
          <w:sz w:val="22"/>
          <w:szCs w:val="22"/>
          <w:highlight w:val="yellow"/>
        </w:rPr>
        <w:t>completar</w:t>
      </w:r>
      <w:r w:rsidR="00D57CE1">
        <w:rPr>
          <w:rFonts w:eastAsia="Arial"/>
          <w:b/>
          <w:sz w:val="22"/>
          <w:szCs w:val="22"/>
        </w:rPr>
        <w:t>]</w:t>
      </w:r>
    </w:p>
    <w:p w14:paraId="421DD8D5" w14:textId="77777777" w:rsidR="003E6C40" w:rsidRPr="00233635" w:rsidRDefault="003E6C40"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558FFF10" w14:textId="3EC76A39" w:rsidR="008808CC" w:rsidRPr="00233635" w:rsidRDefault="00EE7F73"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0" w:name="_Hlk90559210"/>
      <w:bookmarkStart w:id="1" w:name="_Hlk90578212"/>
      <w:r>
        <w:rPr>
          <w:b/>
          <w:bCs/>
          <w:sz w:val="22"/>
          <w:szCs w:val="22"/>
        </w:rPr>
        <w:t>[</w:t>
      </w:r>
      <w:r w:rsidRPr="0096570D">
        <w:rPr>
          <w:b/>
          <w:bCs/>
          <w:sz w:val="22"/>
          <w:szCs w:val="22"/>
        </w:rPr>
        <w:t>BERNOULLI</w:t>
      </w:r>
      <w:r>
        <w:rPr>
          <w:b/>
          <w:bCs/>
          <w:sz w:val="22"/>
          <w:szCs w:val="22"/>
        </w:rPr>
        <w:t xml:space="preserve">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96570D">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w:t>
      </w:r>
      <w:bookmarkEnd w:id="0"/>
      <w:r w:rsidRPr="00E244BD">
        <w:rPr>
          <w:b/>
          <w:bCs/>
          <w:sz w:val="22"/>
          <w:szCs w:val="22"/>
        </w:rPr>
        <w:t xml:space="preserve"> </w:t>
      </w:r>
      <w:r w:rsidR="00A2397A">
        <w:rPr>
          <w:sz w:val="22"/>
          <w:szCs w:val="22"/>
        </w:rPr>
        <w:t>(“</w:t>
      </w:r>
      <w:r w:rsidR="00A2397A" w:rsidRPr="00170615">
        <w:rPr>
          <w:sz w:val="22"/>
          <w:szCs w:val="22"/>
          <w:u w:val="single"/>
        </w:rPr>
        <w:t>Titular</w:t>
      </w:r>
      <w:r w:rsidR="00A2397A">
        <w:rPr>
          <w:sz w:val="22"/>
          <w:szCs w:val="22"/>
        </w:rPr>
        <w:t>”)</w:t>
      </w:r>
    </w:p>
    <w:p w14:paraId="1038F47D" w14:textId="77777777" w:rsidR="008808CC" w:rsidRPr="00233635" w:rsidRDefault="008808CC"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408138F" w14:textId="7FBE6C08" w:rsidR="008808CC" w:rsidRPr="00233635" w:rsidRDefault="00D57CE1" w:rsidP="008808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Del="00E55BF9">
        <w:rPr>
          <w:b/>
          <w:bCs/>
          <w:sz w:val="22"/>
          <w:szCs w:val="22"/>
        </w:rPr>
        <w:t xml:space="preserve"> </w:t>
      </w:r>
      <w:r w:rsidR="008808CC" w:rsidRPr="00233635">
        <w:rPr>
          <w:rFonts w:eastAsia="Arial"/>
          <w:color w:val="000000"/>
          <w:sz w:val="22"/>
          <w:szCs w:val="22"/>
        </w:rPr>
        <w:t>(“</w:t>
      </w:r>
      <w:r w:rsidR="008808CC" w:rsidRPr="00233635">
        <w:rPr>
          <w:rFonts w:eastAsia="Arial"/>
          <w:color w:val="000000"/>
          <w:sz w:val="22"/>
          <w:szCs w:val="22"/>
          <w:u w:val="single"/>
        </w:rPr>
        <w:t>Credor</w:t>
      </w:r>
      <w:r w:rsidR="008808CC" w:rsidRPr="00233635">
        <w:rPr>
          <w:rFonts w:eastAsia="Arial"/>
          <w:color w:val="000000"/>
          <w:sz w:val="22"/>
          <w:szCs w:val="22"/>
        </w:rPr>
        <w:t xml:space="preserve">”) (sendo o Titular e o Credor em conjunto doravante denominados “Contratantes”). </w:t>
      </w:r>
    </w:p>
    <w:bookmarkEnd w:id="1"/>
    <w:p w14:paraId="6BBA6C54"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9DACC1F"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sidRPr="00233635">
        <w:rPr>
          <w:rFonts w:eastAsia="Arial"/>
          <w:b/>
          <w:color w:val="000000"/>
          <w:sz w:val="22"/>
          <w:szCs w:val="22"/>
        </w:rPr>
        <w:t>QI SOCIEDADE DE CRÉDITO DIRETO S.A.</w:t>
      </w:r>
      <w:r w:rsidRPr="00233635">
        <w:rPr>
          <w:rFonts w:eastAsia="Arial"/>
          <w:color w:val="000000"/>
          <w:sz w:val="22"/>
          <w:szCs w:val="22"/>
        </w:rPr>
        <w:t>, instituição financeira com sede na Cidade de São Paulo, Estado de São Paulo, na Avenida Brigadeiro Faria Lima, nº 2.391, 1º andar, conjunto 12, sala A, Jardim Paulistano, CEP 01452-000, inscrita no CNPJ/MF sob o nº 32.402.502/0001-35, neste ato representado na forma de seu estatuto social</w:t>
      </w:r>
      <w:r w:rsidRPr="00233635">
        <w:rPr>
          <w:rFonts w:eastAsia="Arial"/>
          <w:b/>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QI SCD</w:t>
      </w:r>
      <w:r w:rsidRPr="00233635">
        <w:rPr>
          <w:rFonts w:eastAsia="Arial"/>
          <w:color w:val="000000"/>
          <w:sz w:val="22"/>
          <w:szCs w:val="22"/>
        </w:rPr>
        <w:t>” e em conjunto com os Contratantes, “</w:t>
      </w:r>
      <w:r w:rsidRPr="00233635">
        <w:rPr>
          <w:rFonts w:eastAsia="Arial"/>
          <w:color w:val="000000"/>
          <w:sz w:val="22"/>
          <w:szCs w:val="22"/>
          <w:u w:val="single"/>
        </w:rPr>
        <w:t>Partes</w:t>
      </w:r>
      <w:r w:rsidRPr="00233635">
        <w:rPr>
          <w:rFonts w:eastAsia="Arial"/>
          <w:color w:val="000000"/>
          <w:sz w:val="22"/>
          <w:szCs w:val="22"/>
        </w:rPr>
        <w:t>” e, individual e indistintamente, “</w:t>
      </w:r>
      <w:r w:rsidRPr="00233635">
        <w:rPr>
          <w:rFonts w:eastAsia="Arial"/>
          <w:color w:val="000000"/>
          <w:sz w:val="22"/>
          <w:szCs w:val="22"/>
          <w:u w:val="single"/>
        </w:rPr>
        <w:t>Parte</w:t>
      </w:r>
      <w:r w:rsidRPr="00233635">
        <w:rPr>
          <w:rFonts w:eastAsia="Arial"/>
          <w:color w:val="000000"/>
          <w:sz w:val="22"/>
          <w:szCs w:val="22"/>
        </w:rPr>
        <w:t xml:space="preserve">”), </w:t>
      </w:r>
    </w:p>
    <w:p w14:paraId="09D5B9F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color w:val="000000"/>
          <w:sz w:val="22"/>
          <w:szCs w:val="22"/>
        </w:rPr>
      </w:pPr>
    </w:p>
    <w:p w14:paraId="674C50D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0" w:hanging="700"/>
        <w:jc w:val="both"/>
        <w:rPr>
          <w:rFonts w:eastAsia="Arial"/>
          <w:b/>
          <w:color w:val="000000"/>
          <w:sz w:val="22"/>
          <w:szCs w:val="22"/>
        </w:rPr>
      </w:pPr>
      <w:r w:rsidRPr="00233635">
        <w:rPr>
          <w:rFonts w:eastAsia="Arial"/>
          <w:b/>
          <w:color w:val="000000"/>
          <w:sz w:val="22"/>
          <w:szCs w:val="22"/>
        </w:rPr>
        <w:t>CONSIDERANDO QUE:</w:t>
      </w:r>
    </w:p>
    <w:p w14:paraId="75C5F13D"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45C4A6A6" w14:textId="77777777"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sz w:val="22"/>
          <w:szCs w:val="22"/>
        </w:rPr>
        <w:t>a QI SCD é sociedade de crédito direto devidamente autorizada a funcionar pelo Banco Central, nos termos da Resolução do Conselho Monetário Nacional nº 4.656, de 26 de abril de 2018, conforme alterada (“</w:t>
      </w:r>
      <w:r w:rsidRPr="00233635">
        <w:rPr>
          <w:rFonts w:eastAsia="Arial"/>
          <w:sz w:val="22"/>
          <w:szCs w:val="22"/>
          <w:u w:val="single"/>
        </w:rPr>
        <w:t>Resolução 4.656</w:t>
      </w:r>
      <w:r w:rsidRPr="00233635">
        <w:rPr>
          <w:rFonts w:eastAsia="Arial"/>
          <w:sz w:val="22"/>
          <w:szCs w:val="22"/>
        </w:rPr>
        <w:t>”), e tem por objeto social a realização de operações de empréstimo e financiamento, exclusivamente por meio de plataforma eletrônica (“</w:t>
      </w:r>
      <w:r w:rsidRPr="00233635">
        <w:rPr>
          <w:rFonts w:eastAsia="Arial"/>
          <w:sz w:val="22"/>
          <w:szCs w:val="22"/>
          <w:u w:val="single"/>
        </w:rPr>
        <w:t>Plataforma QI</w:t>
      </w:r>
      <w:r w:rsidRPr="00233635">
        <w:rPr>
          <w:rFonts w:eastAsia="Arial"/>
          <w:sz w:val="22"/>
          <w:szCs w:val="22"/>
        </w:rPr>
        <w:t xml:space="preserve">”), bem como a prestação de serviços de cobrança de créditos de terceiros; </w:t>
      </w:r>
    </w:p>
    <w:p w14:paraId="243A00F4"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sz w:val="22"/>
          <w:szCs w:val="22"/>
        </w:rPr>
      </w:pPr>
    </w:p>
    <w:p w14:paraId="60435187" w14:textId="06DF8031"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 xml:space="preserve">para assegurar o cumprimento das obrigações derivadas da relação contratual existente entre Credor e o Titular, </w:t>
      </w:r>
      <w:r w:rsidRPr="00233635">
        <w:rPr>
          <w:rFonts w:eastAsia="Arial"/>
          <w:sz w:val="22"/>
          <w:szCs w:val="22"/>
        </w:rPr>
        <w:t>os Contratantes desejam contratar a QI SCD como instituição responsável pela atividade de cobrança, junto a devedores do Titular (“</w:t>
      </w:r>
      <w:r w:rsidRPr="00233635">
        <w:rPr>
          <w:rFonts w:eastAsia="Arial"/>
          <w:sz w:val="22"/>
          <w:szCs w:val="22"/>
          <w:u w:val="single"/>
        </w:rPr>
        <w:t>Devedores</w:t>
      </w:r>
      <w:r w:rsidRPr="00233635">
        <w:rPr>
          <w:rFonts w:eastAsia="Arial"/>
          <w:sz w:val="22"/>
          <w:szCs w:val="22"/>
        </w:rPr>
        <w:t>”), de recursos a que o Titular tem direito de receber (“</w:t>
      </w:r>
      <w:r w:rsidRPr="00233635">
        <w:rPr>
          <w:rFonts w:eastAsia="Arial"/>
          <w:sz w:val="22"/>
          <w:szCs w:val="22"/>
          <w:u w:val="single"/>
        </w:rPr>
        <w:t>Recursos</w:t>
      </w:r>
      <w:r w:rsidRPr="00233635">
        <w:rPr>
          <w:rFonts w:eastAsia="Arial"/>
          <w:sz w:val="22"/>
          <w:szCs w:val="22"/>
        </w:rPr>
        <w:t xml:space="preserve">”), por meio de disponibilização de Conta Fiduciária </w:t>
      </w:r>
      <w:r w:rsidRPr="00233635">
        <w:rPr>
          <w:rFonts w:eastAsia="Arial"/>
          <w:color w:val="000000"/>
          <w:sz w:val="22"/>
          <w:szCs w:val="22"/>
        </w:rPr>
        <w:t xml:space="preserve">(conforme definição abaixo) com o </w:t>
      </w:r>
      <w:r w:rsidRPr="00233635">
        <w:rPr>
          <w:rFonts w:eastAsia="Arial"/>
          <w:color w:val="000000"/>
          <w:sz w:val="22"/>
          <w:szCs w:val="22"/>
        </w:rPr>
        <w:lastRenderedPageBreak/>
        <w:t xml:space="preserve">propósito de </w:t>
      </w:r>
      <w:r w:rsidRPr="00233635">
        <w:rPr>
          <w:rFonts w:eastAsia="Arial"/>
          <w:sz w:val="22"/>
          <w:szCs w:val="22"/>
        </w:rPr>
        <w:t>receber os  respectivos valores  dos Devedores e administrá-los, nos termos deste Instrumento</w:t>
      </w:r>
      <w:r w:rsidRPr="00233635">
        <w:rPr>
          <w:rFonts w:eastAsia="Arial"/>
          <w:color w:val="000000"/>
          <w:sz w:val="22"/>
          <w:szCs w:val="22"/>
        </w:rPr>
        <w:t xml:space="preserve">; </w:t>
      </w:r>
    </w:p>
    <w:p w14:paraId="119B8D6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1BDDBD7F" w14:textId="225DF3A6" w:rsidR="004507DB" w:rsidRPr="00000A9F" w:rsidRDefault="00DF632D" w:rsidP="00000A9F">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BF27E8">
        <w:rPr>
          <w:sz w:val="22"/>
          <w:szCs w:val="22"/>
        </w:rPr>
        <w:t xml:space="preserve">Nesta data, </w:t>
      </w:r>
      <w:r>
        <w:rPr>
          <w:sz w:val="22"/>
          <w:szCs w:val="22"/>
        </w:rPr>
        <w:t xml:space="preserve">o Titular </w:t>
      </w:r>
      <w:r w:rsidRPr="00BF27E8">
        <w:rPr>
          <w:sz w:val="22"/>
          <w:szCs w:val="22"/>
        </w:rPr>
        <w:t xml:space="preserve">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w:t>
      </w:r>
      <w:r w:rsidRPr="00455418">
        <w:rPr>
          <w:rFonts w:eastAsia="MS Mincho"/>
          <w:i/>
          <w:sz w:val="22"/>
          <w:szCs w:val="22"/>
          <w:highlight w:val="yellow"/>
        </w:rPr>
        <w:t>Bernoulli/ Ouvidor</w:t>
      </w:r>
      <w:r>
        <w:rPr>
          <w:rFonts w:eastAsia="MS Mincho"/>
          <w:i/>
          <w:sz w:val="22"/>
          <w:szCs w:val="22"/>
        </w:rPr>
        <w:t>] Energia</w:t>
      </w:r>
      <w:r w:rsidRPr="00502B3E">
        <w:rPr>
          <w:rFonts w:eastAsia="MS Mincho"/>
          <w:i/>
          <w:sz w:val="22"/>
          <w:szCs w:val="22"/>
        </w:rPr>
        <w:t xml:space="preserve"> Ltda.</w:t>
      </w:r>
      <w:r w:rsidRPr="00BF27E8">
        <w:rPr>
          <w:sz w:val="22"/>
          <w:szCs w:val="22"/>
        </w:rPr>
        <w:t xml:space="preserve">” </w:t>
      </w:r>
      <w:r>
        <w:rPr>
          <w:sz w:val="22"/>
          <w:szCs w:val="22"/>
        </w:rPr>
        <w:t>cuja</w:t>
      </w:r>
      <w:r w:rsidRPr="00BF27E8">
        <w:rPr>
          <w:sz w:val="22"/>
          <w:szCs w:val="22"/>
        </w:rPr>
        <w:t xml:space="preserve"> destinação de recursos </w:t>
      </w:r>
      <w:r>
        <w:rPr>
          <w:sz w:val="22"/>
          <w:szCs w:val="22"/>
        </w:rPr>
        <w:t xml:space="preserve">será integralmente </w:t>
      </w:r>
      <w:r w:rsidRPr="00BF27E8">
        <w:rPr>
          <w:sz w:val="22"/>
          <w:szCs w:val="22"/>
        </w:rPr>
        <w:t xml:space="preserve">para </w:t>
      </w:r>
      <w:r>
        <w:rPr>
          <w:sz w:val="22"/>
          <w:szCs w:val="22"/>
        </w:rPr>
        <w:t>o desenvolvimento de empreendimento imobiliário</w:t>
      </w:r>
      <w:r w:rsidRPr="00BF27E8">
        <w:rPr>
          <w:bCs/>
          <w:sz w:val="22"/>
          <w:szCs w:val="22"/>
        </w:rPr>
        <w:t xml:space="preserve"> </w:t>
      </w:r>
      <w:r w:rsidRPr="00BF27E8">
        <w:rPr>
          <w:sz w:val="22"/>
          <w:szCs w:val="22"/>
        </w:rPr>
        <w:t>(</w:t>
      </w:r>
      <w:r>
        <w:rPr>
          <w:sz w:val="22"/>
          <w:szCs w:val="22"/>
        </w:rPr>
        <w:t xml:space="preserve"> “</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00112FE5">
        <w:rPr>
          <w:rFonts w:eastAsia="Arial"/>
          <w:color w:val="000000"/>
          <w:sz w:val="22"/>
          <w:szCs w:val="22"/>
        </w:rPr>
        <w:t xml:space="preserve">. Por meio do Instrumento de Emissão </w:t>
      </w:r>
      <w:r w:rsidR="00446762">
        <w:rPr>
          <w:rFonts w:eastAsia="Arial"/>
          <w:color w:val="000000"/>
          <w:sz w:val="22"/>
          <w:szCs w:val="22"/>
        </w:rPr>
        <w:t>o Titular</w:t>
      </w:r>
      <w:r w:rsidR="00000A9F" w:rsidRPr="00000A9F">
        <w:rPr>
          <w:rFonts w:eastAsia="Arial"/>
          <w:color w:val="000000"/>
          <w:sz w:val="22"/>
          <w:szCs w:val="22"/>
        </w:rPr>
        <w:t xml:space="preserve"> assumiu, perante </w:t>
      </w:r>
      <w:r w:rsidR="00446762">
        <w:rPr>
          <w:rFonts w:eastAsia="Arial"/>
          <w:color w:val="000000"/>
          <w:sz w:val="22"/>
          <w:szCs w:val="22"/>
        </w:rPr>
        <w:t>a Credora</w:t>
      </w:r>
      <w:r w:rsidR="00000A9F" w:rsidRPr="00000A9F">
        <w:rPr>
          <w:rFonts w:eastAsia="Arial"/>
          <w:color w:val="000000"/>
          <w:sz w:val="22"/>
          <w:szCs w:val="22"/>
        </w:rPr>
        <w:t xml:space="preserve">, </w:t>
      </w:r>
      <w:r w:rsidR="00000A9F" w:rsidRPr="00000A9F">
        <w:rPr>
          <w:sz w:val="22"/>
          <w:szCs w:val="22"/>
        </w:rPr>
        <w:t xml:space="preserve">a </w:t>
      </w:r>
      <w:r w:rsidR="004507DB" w:rsidRPr="00000A9F">
        <w:rPr>
          <w:sz w:val="22"/>
          <w:szCs w:val="22"/>
        </w:rPr>
        <w:t>totalidade das obrigações principais e acessórias, presentes e futuras, em razão das Notas Comerciais, no âmbito do Instrumento de Emissão, incluindo, mas sem se limitar, ao saldo devedor atualizado e à remuneração das Notas Comerciais, bem como a todos e quaisquer valores devidos aos titulares de Notas Comerciais a qualquer título, e todos os custos e despesas para fins da cobrança dos créditos oriundos das Notas Comerciais e da excussão das Garantias</w:t>
      </w:r>
      <w:r w:rsidR="004F3C52" w:rsidRPr="00000A9F">
        <w:rPr>
          <w:sz w:val="22"/>
          <w:szCs w:val="22"/>
        </w:rPr>
        <w:t xml:space="preserve"> (conforme abaixo definido)</w:t>
      </w:r>
      <w:r w:rsidR="004507DB" w:rsidRPr="00000A9F">
        <w:rPr>
          <w:sz w:val="22"/>
          <w:szCs w:val="22"/>
        </w:rPr>
        <w:t xml:space="preserve">, incluindo encargos moratórios, penas convencionais, honorários advocatícios, custas e despesas judiciais ou extrajudiciais e tributos, bem como todo e qualquer custo incorrido </w:t>
      </w:r>
      <w:r w:rsidR="00B92A31" w:rsidRPr="00000A9F">
        <w:rPr>
          <w:sz w:val="22"/>
          <w:szCs w:val="22"/>
        </w:rPr>
        <w:t>pel</w:t>
      </w:r>
      <w:r w:rsidR="00B92A31">
        <w:rPr>
          <w:sz w:val="22"/>
          <w:szCs w:val="22"/>
        </w:rPr>
        <w:t>a</w:t>
      </w:r>
      <w:r w:rsidR="00B92A31" w:rsidRPr="00000A9F">
        <w:rPr>
          <w:sz w:val="22"/>
          <w:szCs w:val="22"/>
        </w:rPr>
        <w:t xml:space="preserve"> </w:t>
      </w:r>
      <w:r w:rsidR="004507DB" w:rsidRPr="00000A9F">
        <w:rPr>
          <w:sz w:val="22"/>
          <w:szCs w:val="22"/>
        </w:rPr>
        <w:t>Fiduciári</w:t>
      </w:r>
      <w:r w:rsidR="00B92A31">
        <w:rPr>
          <w:sz w:val="22"/>
          <w:szCs w:val="22"/>
        </w:rPr>
        <w:t>a</w:t>
      </w:r>
      <w:r w:rsidR="004507DB" w:rsidRPr="00000A9F">
        <w:rPr>
          <w:sz w:val="22"/>
          <w:szCs w:val="22"/>
        </w:rPr>
        <w:t xml:space="preserve"> (“</w:t>
      </w:r>
      <w:r w:rsidR="004507DB" w:rsidRPr="00000A9F">
        <w:rPr>
          <w:sz w:val="22"/>
          <w:szCs w:val="22"/>
          <w:u w:val="single"/>
        </w:rPr>
        <w:t>Obrigações Garantidas</w:t>
      </w:r>
      <w:r w:rsidR="004507DB" w:rsidRPr="00000A9F">
        <w:rPr>
          <w:sz w:val="22"/>
          <w:szCs w:val="22"/>
        </w:rPr>
        <w:t>”);</w:t>
      </w:r>
    </w:p>
    <w:p w14:paraId="25FE1CA7" w14:textId="77777777" w:rsidR="004507DB" w:rsidRPr="00233635" w:rsidRDefault="004507DB" w:rsidP="008A7A32">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jc w:val="both"/>
        <w:rPr>
          <w:rFonts w:eastAsia="Arial"/>
          <w:sz w:val="22"/>
          <w:szCs w:val="22"/>
        </w:rPr>
      </w:pPr>
    </w:p>
    <w:p w14:paraId="5CA3D395" w14:textId="22EB8052" w:rsidR="004507DB" w:rsidRPr="007A792B" w:rsidRDefault="004507DB" w:rsidP="007A792B">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color w:val="000000"/>
          <w:sz w:val="22"/>
          <w:szCs w:val="22"/>
        </w:rPr>
      </w:pPr>
      <w:r w:rsidRPr="00D3069A">
        <w:rPr>
          <w:rFonts w:eastAsia="Arial"/>
          <w:color w:val="000000"/>
          <w:sz w:val="22"/>
          <w:szCs w:val="22"/>
        </w:rPr>
        <w:t xml:space="preserve">Em garantia ao fiel, pontual e integral cumprimento das Obrigações Garantidas </w:t>
      </w:r>
      <w:r w:rsidR="00112FE5">
        <w:rPr>
          <w:rFonts w:eastAsia="Arial"/>
          <w:color w:val="000000"/>
          <w:sz w:val="22"/>
          <w:szCs w:val="22"/>
        </w:rPr>
        <w:t>foi</w:t>
      </w:r>
      <w:r w:rsidR="00112FE5" w:rsidRPr="00D3069A">
        <w:rPr>
          <w:rFonts w:eastAsia="Arial"/>
          <w:color w:val="000000"/>
          <w:sz w:val="22"/>
          <w:szCs w:val="22"/>
        </w:rPr>
        <w:t xml:space="preserve"> </w:t>
      </w:r>
      <w:r w:rsidRPr="00D3069A">
        <w:rPr>
          <w:rFonts w:eastAsia="Arial"/>
          <w:color w:val="000000"/>
          <w:sz w:val="22"/>
          <w:szCs w:val="22"/>
        </w:rPr>
        <w:t xml:space="preserve">constituída: (i) fiança outorgada, </w:t>
      </w:r>
      <w:r w:rsidR="003B172A">
        <w:rPr>
          <w:rFonts w:eastAsia="Arial"/>
          <w:color w:val="000000"/>
          <w:sz w:val="22"/>
          <w:szCs w:val="22"/>
        </w:rPr>
        <w:t xml:space="preserve">pela </w:t>
      </w:r>
      <w:r w:rsidRPr="00D3069A">
        <w:rPr>
          <w:rFonts w:eastAsia="Arial"/>
          <w:color w:val="000000"/>
          <w:sz w:val="22"/>
          <w:szCs w:val="22"/>
        </w:rPr>
        <w:t>EMAM Participações Ltda, inscrita no CNPJ/ME sob o nº 36.475.062/0001-05 (“</w:t>
      </w:r>
      <w:r w:rsidRPr="00D009D2">
        <w:rPr>
          <w:rFonts w:eastAsia="Arial"/>
          <w:color w:val="000000"/>
          <w:sz w:val="22"/>
          <w:szCs w:val="22"/>
          <w:u w:val="single"/>
        </w:rPr>
        <w:t>EMAM</w:t>
      </w:r>
      <w:r w:rsidRPr="00D3069A">
        <w:rPr>
          <w:rFonts w:eastAsia="Arial"/>
          <w:color w:val="000000"/>
          <w:sz w:val="22"/>
          <w:szCs w:val="22"/>
        </w:rPr>
        <w:t>”),</w:t>
      </w:r>
      <w:r>
        <w:rPr>
          <w:rFonts w:eastAsia="Arial"/>
          <w:color w:val="000000"/>
          <w:sz w:val="22"/>
          <w:szCs w:val="22"/>
        </w:rPr>
        <w:t xml:space="preserve"> </w:t>
      </w:r>
      <w:r w:rsidR="003B172A">
        <w:rPr>
          <w:rFonts w:eastAsia="Arial"/>
          <w:color w:val="000000"/>
          <w:sz w:val="22"/>
          <w:szCs w:val="22"/>
        </w:rPr>
        <w:t xml:space="preserve">pela </w:t>
      </w:r>
      <w:r w:rsidRPr="00D3069A">
        <w:rPr>
          <w:rFonts w:eastAsia="Arial"/>
          <w:color w:val="000000"/>
          <w:sz w:val="22"/>
          <w:szCs w:val="22"/>
        </w:rPr>
        <w:t>Ilumine Participações Ltda., inscrita no CNPJ/ME sob o nº 33.826.296/0001-53 (“</w:t>
      </w:r>
      <w:r w:rsidRPr="00D009D2">
        <w:rPr>
          <w:rFonts w:eastAsia="Arial"/>
          <w:color w:val="000000"/>
          <w:sz w:val="22"/>
          <w:szCs w:val="22"/>
          <w:u w:val="single"/>
        </w:rPr>
        <w:t>Ilumine</w:t>
      </w:r>
      <w:r w:rsidRPr="00D3069A">
        <w:rPr>
          <w:rFonts w:eastAsia="Arial"/>
          <w:color w:val="000000"/>
          <w:sz w:val="22"/>
          <w:szCs w:val="22"/>
        </w:rPr>
        <w:t>”</w:t>
      </w:r>
      <w:r w:rsidR="00CE749B">
        <w:rPr>
          <w:rFonts w:eastAsia="Arial"/>
          <w:color w:val="000000"/>
          <w:sz w:val="22"/>
          <w:szCs w:val="22"/>
        </w:rPr>
        <w:t xml:space="preserve">), pela Welt Energia Ltda., inscrita no CNPJ/ME sob o nº </w:t>
      </w:r>
      <w:r w:rsidR="00540ED1">
        <w:rPr>
          <w:sz w:val="22"/>
          <w:szCs w:val="22"/>
        </w:rPr>
        <w:t>19</w:t>
      </w:r>
      <w:r w:rsidR="00540ED1" w:rsidRPr="00E244BD">
        <w:rPr>
          <w:sz w:val="22"/>
          <w:szCs w:val="22"/>
        </w:rPr>
        <w:t>.</w:t>
      </w:r>
      <w:r w:rsidR="00540ED1">
        <w:rPr>
          <w:sz w:val="22"/>
          <w:szCs w:val="22"/>
        </w:rPr>
        <w:t>696</w:t>
      </w:r>
      <w:r w:rsidR="00540ED1" w:rsidRPr="00E244BD">
        <w:rPr>
          <w:sz w:val="22"/>
          <w:szCs w:val="22"/>
        </w:rPr>
        <w:t>.</w:t>
      </w:r>
      <w:r w:rsidR="00540ED1">
        <w:rPr>
          <w:sz w:val="22"/>
          <w:szCs w:val="22"/>
        </w:rPr>
        <w:t>542</w:t>
      </w:r>
      <w:r w:rsidR="00540ED1" w:rsidRPr="00E244BD">
        <w:rPr>
          <w:sz w:val="22"/>
          <w:szCs w:val="22"/>
        </w:rPr>
        <w:t>/0001-</w:t>
      </w:r>
      <w:r w:rsidR="00540ED1">
        <w:rPr>
          <w:sz w:val="22"/>
          <w:szCs w:val="22"/>
        </w:rPr>
        <w:t>79 (“</w:t>
      </w:r>
      <w:r w:rsidR="00540ED1" w:rsidRPr="0096570D">
        <w:rPr>
          <w:sz w:val="22"/>
          <w:szCs w:val="22"/>
          <w:u w:val="single"/>
        </w:rPr>
        <w:t>Welt</w:t>
      </w:r>
      <w:r w:rsidR="00540ED1">
        <w:rPr>
          <w:sz w:val="22"/>
          <w:szCs w:val="22"/>
        </w:rPr>
        <w:t xml:space="preserve">”), </w:t>
      </w:r>
      <w:r w:rsidR="00CE749B" w:rsidRPr="00D3069A">
        <w:rPr>
          <w:rFonts w:eastAsia="Arial"/>
          <w:color w:val="000000"/>
          <w:sz w:val="22"/>
          <w:szCs w:val="22"/>
        </w:rPr>
        <w:t>pelo Sr. Elvio</w:t>
      </w:r>
      <w:r w:rsidR="00CE749B">
        <w:rPr>
          <w:rFonts w:eastAsia="Arial"/>
          <w:color w:val="000000"/>
          <w:sz w:val="22"/>
          <w:szCs w:val="22"/>
        </w:rPr>
        <w:t xml:space="preserve"> José Machado, inscrito no Cadastro de Pessoas Físicas do Ministério da Economia (“</w:t>
      </w:r>
      <w:r w:rsidR="00CE749B" w:rsidRPr="008A7A32">
        <w:rPr>
          <w:rFonts w:eastAsia="Arial"/>
          <w:color w:val="000000"/>
          <w:sz w:val="22"/>
          <w:szCs w:val="22"/>
          <w:u w:val="single"/>
        </w:rPr>
        <w:t>CPF/ME</w:t>
      </w:r>
      <w:r w:rsidR="00CE749B">
        <w:rPr>
          <w:rFonts w:eastAsia="Arial"/>
          <w:color w:val="000000"/>
          <w:sz w:val="22"/>
          <w:szCs w:val="22"/>
        </w:rPr>
        <w:t>”) sob o nº 333.300.261-20 (“</w:t>
      </w:r>
      <w:r w:rsidR="00CE749B" w:rsidRPr="008A7A32">
        <w:rPr>
          <w:rFonts w:eastAsia="Arial"/>
          <w:color w:val="000000"/>
          <w:sz w:val="22"/>
          <w:szCs w:val="22"/>
          <w:u w:val="single"/>
        </w:rPr>
        <w:t>Sr. Elvio</w:t>
      </w:r>
      <w:r w:rsidR="00CE749B">
        <w:rPr>
          <w:rFonts w:eastAsia="Arial"/>
          <w:color w:val="000000"/>
          <w:sz w:val="22"/>
          <w:szCs w:val="22"/>
        </w:rPr>
        <w:t>”)</w:t>
      </w:r>
      <w:r w:rsidR="00540ED1">
        <w:rPr>
          <w:rFonts w:eastAsia="Arial"/>
          <w:color w:val="000000"/>
          <w:sz w:val="22"/>
          <w:szCs w:val="22"/>
        </w:rPr>
        <w:t>, pelo Sr. Hugo Carvalho</w:t>
      </w:r>
      <w:r w:rsidR="00806011">
        <w:rPr>
          <w:rFonts w:eastAsia="Arial"/>
          <w:color w:val="000000"/>
          <w:sz w:val="22"/>
          <w:szCs w:val="22"/>
        </w:rPr>
        <w:t xml:space="preserve"> </w:t>
      </w:r>
      <w:r w:rsidR="00CC1FCC" w:rsidRPr="007F15DE">
        <w:rPr>
          <w:bCs/>
          <w:sz w:val="22"/>
          <w:szCs w:val="22"/>
        </w:rPr>
        <w:t>inscrito no CPF/ME sob</w:t>
      </w:r>
      <w:r w:rsidR="00CC1FCC">
        <w:rPr>
          <w:bCs/>
          <w:sz w:val="22"/>
          <w:szCs w:val="22"/>
        </w:rPr>
        <w:t xml:space="preserve"> </w:t>
      </w:r>
      <w:r w:rsidR="00CC1FCC" w:rsidRPr="007F15DE">
        <w:rPr>
          <w:bCs/>
          <w:sz w:val="22"/>
          <w:szCs w:val="22"/>
        </w:rPr>
        <w:t>o nº</w:t>
      </w:r>
      <w:r w:rsidR="00806011">
        <w:rPr>
          <w:rFonts w:eastAsia="Arial"/>
          <w:color w:val="000000"/>
          <w:sz w:val="22"/>
          <w:szCs w:val="22"/>
        </w:rPr>
        <w:t xml:space="preserve"> </w:t>
      </w:r>
      <w:r w:rsidR="00806011" w:rsidRPr="007F15DE">
        <w:rPr>
          <w:bCs/>
          <w:sz w:val="22"/>
          <w:szCs w:val="22"/>
        </w:rPr>
        <w:t xml:space="preserve">587.150.961-49 </w:t>
      </w:r>
      <w:r w:rsidR="00806011">
        <w:rPr>
          <w:sz w:val="22"/>
          <w:szCs w:val="22"/>
        </w:rPr>
        <w:t>(“</w:t>
      </w:r>
      <w:r w:rsidR="00806011">
        <w:rPr>
          <w:sz w:val="22"/>
          <w:szCs w:val="22"/>
          <w:u w:val="single"/>
        </w:rPr>
        <w:t>Sr. Hugo</w:t>
      </w:r>
      <w:r w:rsidR="00806011">
        <w:rPr>
          <w:sz w:val="22"/>
          <w:szCs w:val="22"/>
        </w:rPr>
        <w:t>”)</w:t>
      </w:r>
      <w:r w:rsidR="00806011" w:rsidRPr="002759C3">
        <w:rPr>
          <w:b/>
          <w:sz w:val="22"/>
        </w:rPr>
        <w:t xml:space="preserve"> </w:t>
      </w:r>
      <w:r w:rsidR="0089372D">
        <w:rPr>
          <w:bCs/>
          <w:sz w:val="22"/>
          <w:szCs w:val="22"/>
        </w:rPr>
        <w:t>[</w:t>
      </w:r>
      <w:r w:rsidR="0089372D" w:rsidRPr="0096570D">
        <w:rPr>
          <w:bCs/>
          <w:sz w:val="22"/>
          <w:szCs w:val="22"/>
          <w:highlight w:val="yellow"/>
        </w:rPr>
        <w:t>Bernoulli/Ouvidor] (“</w:t>
      </w:r>
      <w:r w:rsidR="0089372D" w:rsidRPr="0096570D">
        <w:rPr>
          <w:bCs/>
          <w:sz w:val="22"/>
          <w:szCs w:val="22"/>
          <w:highlight w:val="yellow"/>
          <w:u w:val="single"/>
        </w:rPr>
        <w:t>Bernoulli</w:t>
      </w:r>
      <w:r w:rsidR="0089372D" w:rsidRPr="0096570D">
        <w:rPr>
          <w:bCs/>
          <w:sz w:val="22"/>
          <w:szCs w:val="22"/>
          <w:highlight w:val="yellow"/>
        </w:rPr>
        <w:t>”/ “</w:t>
      </w:r>
      <w:r w:rsidR="0089372D" w:rsidRPr="0096570D">
        <w:rPr>
          <w:bCs/>
          <w:sz w:val="22"/>
          <w:szCs w:val="22"/>
          <w:highlight w:val="yellow"/>
          <w:u w:val="single"/>
        </w:rPr>
        <w:t>Ouvidor</w:t>
      </w:r>
      <w:r w:rsidR="0089372D" w:rsidRPr="0096570D">
        <w:rPr>
          <w:bCs/>
          <w:sz w:val="22"/>
          <w:szCs w:val="22"/>
          <w:highlight w:val="yellow"/>
        </w:rPr>
        <w:t>”</w:t>
      </w:r>
      <w:r w:rsidR="0089372D">
        <w:rPr>
          <w:bCs/>
          <w:sz w:val="22"/>
          <w:szCs w:val="22"/>
        </w:rPr>
        <w:t xml:space="preserve"> </w:t>
      </w:r>
      <w:r w:rsidRPr="00D3069A">
        <w:rPr>
          <w:rFonts w:eastAsia="Arial"/>
          <w:color w:val="000000"/>
          <w:sz w:val="22"/>
          <w:szCs w:val="22"/>
        </w:rPr>
        <w:t xml:space="preserve">e quando em conjunto com </w:t>
      </w:r>
      <w:r w:rsidR="009408F3">
        <w:rPr>
          <w:bCs/>
          <w:sz w:val="22"/>
          <w:szCs w:val="22"/>
        </w:rPr>
        <w:t xml:space="preserve">Sr. Elvio, </w:t>
      </w:r>
      <w:r w:rsidR="00EB4BFA">
        <w:rPr>
          <w:bCs/>
          <w:sz w:val="22"/>
          <w:szCs w:val="22"/>
        </w:rPr>
        <w:t xml:space="preserve">Sr. Hugo, EMAM, Welt e Ilumine </w:t>
      </w:r>
      <w:r w:rsidRPr="00D3069A">
        <w:rPr>
          <w:rFonts w:eastAsia="Arial"/>
          <w:color w:val="000000"/>
          <w:sz w:val="22"/>
          <w:szCs w:val="22"/>
        </w:rPr>
        <w:t>simplesmente “</w:t>
      </w:r>
      <w:r w:rsidRPr="00D009D2">
        <w:rPr>
          <w:rFonts w:eastAsia="Arial"/>
          <w:color w:val="000000"/>
          <w:sz w:val="22"/>
          <w:szCs w:val="22"/>
          <w:u w:val="single"/>
        </w:rPr>
        <w:t>Fiadores</w:t>
      </w:r>
      <w:r w:rsidRPr="00D3069A">
        <w:rPr>
          <w:rFonts w:eastAsia="Arial"/>
          <w:color w:val="000000"/>
          <w:sz w:val="22"/>
          <w:szCs w:val="22"/>
        </w:rPr>
        <w:t>”); (</w:t>
      </w:r>
      <w:proofErr w:type="spellStart"/>
      <w:r w:rsidRPr="00D3069A">
        <w:rPr>
          <w:rFonts w:eastAsia="Arial"/>
          <w:color w:val="000000"/>
          <w:sz w:val="22"/>
          <w:szCs w:val="22"/>
        </w:rPr>
        <w:t>ii</w:t>
      </w:r>
      <w:proofErr w:type="spellEnd"/>
      <w:r w:rsidRPr="00D3069A">
        <w:rPr>
          <w:rFonts w:eastAsia="Arial"/>
          <w:color w:val="000000"/>
          <w:sz w:val="22"/>
          <w:szCs w:val="22"/>
        </w:rPr>
        <w:t xml:space="preserve">) cessão fiduciária </w:t>
      </w:r>
      <w:r w:rsidR="00662588">
        <w:rPr>
          <w:rFonts w:eastAsia="Arial"/>
          <w:color w:val="000000"/>
          <w:sz w:val="22"/>
          <w:szCs w:val="22"/>
        </w:rPr>
        <w:t xml:space="preserve">do montante equivalente a </w:t>
      </w:r>
      <w:r w:rsidR="009408F3">
        <w:rPr>
          <w:rFonts w:eastAsia="Arial"/>
          <w:color w:val="000000"/>
          <w:sz w:val="22"/>
          <w:szCs w:val="22"/>
        </w:rPr>
        <w:t>100</w:t>
      </w:r>
      <w:r w:rsidR="00662588">
        <w:rPr>
          <w:rFonts w:eastAsia="Arial"/>
          <w:color w:val="000000"/>
          <w:sz w:val="22"/>
          <w:szCs w:val="22"/>
        </w:rPr>
        <w:t>% (</w:t>
      </w:r>
      <w:r w:rsidR="009408F3">
        <w:rPr>
          <w:rFonts w:eastAsia="Arial"/>
          <w:color w:val="000000"/>
          <w:sz w:val="22"/>
          <w:szCs w:val="22"/>
        </w:rPr>
        <w:t>cem</w:t>
      </w:r>
      <w:r w:rsidR="00662588">
        <w:rPr>
          <w:rFonts w:eastAsia="Arial"/>
          <w:color w:val="000000"/>
          <w:sz w:val="22"/>
          <w:szCs w:val="22"/>
        </w:rPr>
        <w:t xml:space="preserve"> por cento)</w:t>
      </w:r>
      <w:r w:rsidR="009408F3">
        <w:rPr>
          <w:rFonts w:eastAsia="Arial"/>
          <w:color w:val="000000"/>
          <w:sz w:val="22"/>
          <w:szCs w:val="22"/>
        </w:rPr>
        <w:t xml:space="preserve"> </w:t>
      </w:r>
      <w:r w:rsidRPr="00D3069A">
        <w:rPr>
          <w:rFonts w:eastAsia="Arial"/>
          <w:color w:val="000000"/>
          <w:sz w:val="22"/>
          <w:szCs w:val="22"/>
        </w:rPr>
        <w:t>dos direitos creditórios decorrentes dos contratos de fornecimento de energia (“</w:t>
      </w:r>
      <w:r w:rsidRPr="008A7A32">
        <w:rPr>
          <w:rFonts w:eastAsia="Arial"/>
          <w:color w:val="000000"/>
          <w:sz w:val="22"/>
          <w:szCs w:val="22"/>
          <w:u w:val="single"/>
        </w:rPr>
        <w:t>PPA</w:t>
      </w:r>
      <w:r w:rsidRPr="00D3069A">
        <w:rPr>
          <w:rFonts w:eastAsia="Arial"/>
          <w:color w:val="000000"/>
          <w:sz w:val="22"/>
          <w:szCs w:val="22"/>
        </w:rPr>
        <w:t>”)</w:t>
      </w:r>
      <w:r w:rsidR="006E4FAF">
        <w:rPr>
          <w:sz w:val="22"/>
          <w:szCs w:val="22"/>
        </w:rPr>
        <w:t>, presente e futuros</w:t>
      </w:r>
      <w:r w:rsidR="006E4FAF" w:rsidRPr="00E244BD">
        <w:rPr>
          <w:sz w:val="22"/>
          <w:szCs w:val="22"/>
        </w:rPr>
        <w:t xml:space="preserve">, </w:t>
      </w:r>
      <w:r w:rsidR="006E4FAF">
        <w:rPr>
          <w:sz w:val="22"/>
          <w:szCs w:val="22"/>
        </w:rPr>
        <w:t xml:space="preserve">celebrados ou que venham a ser celebrados, </w:t>
      </w:r>
      <w:r w:rsidR="006E4FAF" w:rsidRPr="00E244BD">
        <w:rPr>
          <w:sz w:val="22"/>
          <w:szCs w:val="22"/>
        </w:rPr>
        <w:t xml:space="preserve">relacionadas </w:t>
      </w:r>
      <w:r w:rsidR="006E4FAF">
        <w:rPr>
          <w:sz w:val="22"/>
          <w:szCs w:val="22"/>
        </w:rPr>
        <w:t xml:space="preserve">e a serem </w:t>
      </w:r>
      <w:r w:rsidRPr="00D3069A">
        <w:rPr>
          <w:rFonts w:eastAsia="Arial"/>
          <w:color w:val="000000"/>
          <w:sz w:val="22"/>
          <w:szCs w:val="22"/>
        </w:rPr>
        <w:t xml:space="preserve"> relacionadas no Anexo I ao Contrato de Cessão Fiduciária de Recebíveis (abaixo definido), incluindo a totalidade dos respectivos acessórios, tais como atualização monetária, encargos moratórios, multas, penalidades, indenizações, seguros, garantias e demais encargos previstos nos PPA</w:t>
      </w:r>
      <w:r w:rsidR="009D0B59">
        <w:rPr>
          <w:rFonts w:eastAsia="Arial"/>
          <w:color w:val="000000"/>
          <w:sz w:val="22"/>
          <w:szCs w:val="22"/>
        </w:rPr>
        <w:t>, bem como das contas vinculadas onde tra</w:t>
      </w:r>
      <w:r w:rsidR="00157A6F">
        <w:rPr>
          <w:rFonts w:eastAsia="Arial"/>
          <w:color w:val="000000"/>
          <w:sz w:val="22"/>
          <w:szCs w:val="22"/>
        </w:rPr>
        <w:t>n</w:t>
      </w:r>
      <w:r w:rsidR="009D0B59">
        <w:rPr>
          <w:rFonts w:eastAsia="Arial"/>
          <w:color w:val="000000"/>
          <w:sz w:val="22"/>
          <w:szCs w:val="22"/>
        </w:rPr>
        <w:t>sitarão</w:t>
      </w:r>
      <w:r w:rsidR="00157A6F">
        <w:rPr>
          <w:rFonts w:eastAsia="Arial"/>
          <w:color w:val="000000"/>
          <w:sz w:val="22"/>
          <w:szCs w:val="22"/>
        </w:rPr>
        <w:t xml:space="preserve"> referidos direitos creditórios e quaisquer valores depositados nas contas vinculadas</w:t>
      </w:r>
      <w:r w:rsidR="009D0B59">
        <w:rPr>
          <w:rFonts w:eastAsia="Arial"/>
          <w:color w:val="000000"/>
          <w:sz w:val="22"/>
          <w:szCs w:val="22"/>
        </w:rPr>
        <w:t xml:space="preserve"> </w:t>
      </w:r>
      <w:r w:rsidRPr="00D3069A">
        <w:rPr>
          <w:rFonts w:eastAsia="Arial"/>
          <w:color w:val="000000"/>
          <w:sz w:val="22"/>
          <w:szCs w:val="22"/>
        </w:rPr>
        <w:t>(“</w:t>
      </w:r>
      <w:r w:rsidRPr="008A7A32">
        <w:rPr>
          <w:rFonts w:eastAsia="Arial"/>
          <w:color w:val="000000"/>
          <w:sz w:val="22"/>
          <w:szCs w:val="22"/>
          <w:u w:val="single"/>
        </w:rPr>
        <w:t>Recebíveis</w:t>
      </w:r>
      <w:r w:rsidRPr="00D3069A">
        <w:rPr>
          <w:rFonts w:eastAsia="Arial"/>
          <w:color w:val="000000"/>
          <w:sz w:val="22"/>
          <w:szCs w:val="22"/>
        </w:rPr>
        <w:t>”), através da celebração nesta data, do “</w:t>
      </w:r>
      <w:r w:rsidRPr="008A7A32">
        <w:rPr>
          <w:rFonts w:eastAsia="Arial"/>
          <w:i/>
          <w:iCs/>
          <w:color w:val="000000"/>
          <w:sz w:val="22"/>
          <w:szCs w:val="22"/>
        </w:rPr>
        <w:t>Instrumento Particular de Cessão Fiduciária de Recebíveis em Garantia e Outras Avenças</w:t>
      </w:r>
      <w:r w:rsidRPr="00D3069A">
        <w:rPr>
          <w:rFonts w:eastAsia="Arial"/>
          <w:color w:val="000000"/>
          <w:sz w:val="22"/>
          <w:szCs w:val="22"/>
        </w:rPr>
        <w:t xml:space="preserve">”, entre </w:t>
      </w:r>
      <w:r w:rsidR="0091399A">
        <w:rPr>
          <w:rFonts w:eastAsia="Arial"/>
          <w:color w:val="000000"/>
          <w:sz w:val="22"/>
          <w:szCs w:val="22"/>
        </w:rPr>
        <w:t xml:space="preserve">o </w:t>
      </w:r>
      <w:r w:rsidR="0091399A" w:rsidRPr="00455418">
        <w:rPr>
          <w:bCs/>
          <w:sz w:val="22"/>
          <w:szCs w:val="22"/>
          <w:u w:val="single"/>
        </w:rPr>
        <w:t>Bernoulli</w:t>
      </w:r>
      <w:r w:rsidR="002A3DAD" w:rsidRPr="00455418">
        <w:rPr>
          <w:bCs/>
          <w:sz w:val="22"/>
          <w:szCs w:val="22"/>
          <w:u w:val="single"/>
        </w:rPr>
        <w:t xml:space="preserve">, </w:t>
      </w:r>
      <w:r w:rsidR="0091399A" w:rsidRPr="00455418">
        <w:rPr>
          <w:bCs/>
          <w:sz w:val="22"/>
          <w:szCs w:val="22"/>
          <w:u w:val="single"/>
        </w:rPr>
        <w:t>Ouvidor</w:t>
      </w:r>
      <w:r w:rsidR="00120611" w:rsidRPr="002A3DAD">
        <w:rPr>
          <w:bCs/>
          <w:sz w:val="22"/>
          <w:szCs w:val="22"/>
          <w:u w:val="single"/>
        </w:rPr>
        <w:t xml:space="preserve"> </w:t>
      </w:r>
      <w:r w:rsidRPr="00D3069A">
        <w:rPr>
          <w:rFonts w:eastAsia="Arial"/>
          <w:color w:val="000000"/>
          <w:sz w:val="22"/>
          <w:szCs w:val="22"/>
        </w:rPr>
        <w:t xml:space="preserve">e </w:t>
      </w:r>
      <w:r w:rsidR="00120611">
        <w:rPr>
          <w:rFonts w:eastAsia="Arial"/>
          <w:color w:val="000000"/>
          <w:sz w:val="22"/>
          <w:szCs w:val="22"/>
        </w:rPr>
        <w:t>a</w:t>
      </w:r>
      <w:r w:rsidR="00120611" w:rsidRPr="00D3069A">
        <w:rPr>
          <w:rFonts w:eastAsia="Arial"/>
          <w:color w:val="000000"/>
          <w:sz w:val="22"/>
          <w:szCs w:val="22"/>
        </w:rPr>
        <w:t xml:space="preserve"> </w:t>
      </w:r>
      <w:r w:rsidR="00120611">
        <w:rPr>
          <w:rFonts w:eastAsia="Arial"/>
          <w:color w:val="000000"/>
          <w:sz w:val="22"/>
          <w:szCs w:val="22"/>
        </w:rPr>
        <w:t>Credora</w:t>
      </w:r>
      <w:r w:rsidRPr="00D3069A">
        <w:rPr>
          <w:rFonts w:eastAsia="Arial"/>
          <w:color w:val="000000"/>
          <w:sz w:val="22"/>
          <w:szCs w:val="22"/>
        </w:rPr>
        <w:t xml:space="preserve"> (“</w:t>
      </w:r>
      <w:r w:rsidRPr="004E0AC1">
        <w:rPr>
          <w:rFonts w:eastAsia="Arial"/>
          <w:color w:val="000000"/>
          <w:sz w:val="22"/>
          <w:szCs w:val="22"/>
          <w:u w:val="single"/>
        </w:rPr>
        <w:t>Contrato de Cessão Fiduciária de Recebíveis</w:t>
      </w:r>
      <w:r w:rsidRPr="00D3069A">
        <w:rPr>
          <w:rFonts w:eastAsia="Arial"/>
          <w:color w:val="000000"/>
          <w:sz w:val="22"/>
          <w:szCs w:val="22"/>
        </w:rPr>
        <w:t>”</w:t>
      </w:r>
      <w:bookmarkStart w:id="3" w:name="_Hlk101362128"/>
      <w:r w:rsidRPr="00D3069A">
        <w:rPr>
          <w:rFonts w:eastAsia="Arial"/>
          <w:color w:val="000000"/>
          <w:sz w:val="22"/>
          <w:szCs w:val="22"/>
        </w:rPr>
        <w:t>); (</w:t>
      </w:r>
      <w:proofErr w:type="spellStart"/>
      <w:r w:rsidRPr="00D3069A">
        <w:rPr>
          <w:rFonts w:eastAsia="Arial"/>
          <w:color w:val="000000"/>
          <w:sz w:val="22"/>
          <w:szCs w:val="22"/>
        </w:rPr>
        <w:t>ii</w:t>
      </w:r>
      <w:r w:rsidR="007C5DF4">
        <w:rPr>
          <w:rFonts w:eastAsia="Arial"/>
          <w:color w:val="000000"/>
          <w:sz w:val="22"/>
          <w:szCs w:val="22"/>
        </w:rPr>
        <w:t>i</w:t>
      </w:r>
      <w:proofErr w:type="spellEnd"/>
      <w:r w:rsidRPr="00D3069A">
        <w:rPr>
          <w:rFonts w:eastAsia="Arial"/>
          <w:color w:val="000000"/>
          <w:sz w:val="22"/>
          <w:szCs w:val="22"/>
        </w:rPr>
        <w:t xml:space="preserve">) alienação fiduciária da propriedade, do domínio resolúvel e da posse indireta de </w:t>
      </w:r>
      <w:bookmarkStart w:id="4" w:name="_Hlk101268129"/>
      <w:r w:rsidR="0001034E">
        <w:rPr>
          <w:rFonts w:eastAsia="Arial"/>
          <w:color w:val="000000"/>
          <w:sz w:val="22"/>
          <w:szCs w:val="22"/>
        </w:rPr>
        <w:t>da totalidade</w:t>
      </w:r>
      <w:r w:rsidR="00E20D87">
        <w:rPr>
          <w:rFonts w:eastAsia="Arial"/>
          <w:color w:val="000000"/>
          <w:sz w:val="22"/>
          <w:szCs w:val="22"/>
        </w:rPr>
        <w:t xml:space="preserve"> das</w:t>
      </w:r>
      <w:bookmarkEnd w:id="4"/>
      <w:r w:rsidR="00E20D87">
        <w:rPr>
          <w:rFonts w:eastAsia="Arial"/>
          <w:color w:val="000000"/>
          <w:sz w:val="22"/>
          <w:szCs w:val="22"/>
        </w:rPr>
        <w:t xml:space="preserve"> </w:t>
      </w:r>
      <w:r w:rsidRPr="00D3069A">
        <w:rPr>
          <w:rFonts w:eastAsia="Arial"/>
          <w:color w:val="000000"/>
          <w:sz w:val="22"/>
          <w:szCs w:val="22"/>
        </w:rPr>
        <w:t xml:space="preserve">quotas emitidas pela </w:t>
      </w:r>
      <w:r w:rsidR="00120611" w:rsidRPr="00455418">
        <w:rPr>
          <w:bCs/>
          <w:sz w:val="22"/>
          <w:szCs w:val="22"/>
          <w:u w:val="single"/>
        </w:rPr>
        <w:t>Bernoulli</w:t>
      </w:r>
      <w:r w:rsidR="0001034E">
        <w:rPr>
          <w:sz w:val="22"/>
          <w:szCs w:val="22"/>
        </w:rPr>
        <w:t>,</w:t>
      </w:r>
      <w:r w:rsidRPr="00D3069A">
        <w:rPr>
          <w:rFonts w:eastAsia="Arial"/>
          <w:color w:val="000000"/>
          <w:sz w:val="22"/>
          <w:szCs w:val="22"/>
        </w:rPr>
        <w:t xml:space="preserve"> de titularidade do </w:t>
      </w:r>
      <w:r w:rsidR="00120611">
        <w:rPr>
          <w:rFonts w:eastAsia="Arial"/>
          <w:color w:val="000000"/>
          <w:sz w:val="22"/>
          <w:szCs w:val="22"/>
        </w:rPr>
        <w:t>[</w:t>
      </w:r>
      <w:r w:rsidR="00120611" w:rsidRPr="00455418">
        <w:rPr>
          <w:rFonts w:eastAsia="Arial"/>
          <w:color w:val="000000"/>
          <w:sz w:val="22"/>
          <w:szCs w:val="22"/>
          <w:highlight w:val="yellow"/>
        </w:rPr>
        <w:t>completar</w:t>
      </w:r>
      <w:r w:rsidR="00120611">
        <w:rPr>
          <w:rFonts w:eastAsia="Arial"/>
          <w:color w:val="000000"/>
          <w:sz w:val="22"/>
          <w:szCs w:val="22"/>
        </w:rPr>
        <w:t>]</w:t>
      </w:r>
      <w:r w:rsidR="006B2975" w:rsidRPr="007E6535">
        <w:rPr>
          <w:sz w:val="22"/>
          <w:szCs w:val="22"/>
        </w:rPr>
        <w:t>,</w:t>
      </w:r>
      <w:r w:rsidR="006B2975" w:rsidRPr="00296F7D">
        <w:rPr>
          <w:sz w:val="22"/>
          <w:szCs w:val="22"/>
        </w:rPr>
        <w:t xml:space="preserve"> </w:t>
      </w:r>
      <w:r w:rsidR="00120611">
        <w:rPr>
          <w:sz w:val="22"/>
          <w:szCs w:val="22"/>
        </w:rPr>
        <w:t>(</w:t>
      </w:r>
      <w:r w:rsidR="006B2975" w:rsidRPr="007E6535">
        <w:rPr>
          <w:sz w:val="22"/>
          <w:szCs w:val="22"/>
        </w:rPr>
        <w:t>“</w:t>
      </w:r>
      <w:r w:rsidR="006B2975" w:rsidRPr="00E90970">
        <w:rPr>
          <w:sz w:val="22"/>
          <w:szCs w:val="22"/>
          <w:u w:val="single"/>
        </w:rPr>
        <w:t>Fiduciantes</w:t>
      </w:r>
      <w:r w:rsidR="006B2975">
        <w:rPr>
          <w:sz w:val="22"/>
          <w:szCs w:val="22"/>
        </w:rPr>
        <w:t>”)</w:t>
      </w:r>
      <w:r w:rsidR="0001034E">
        <w:rPr>
          <w:sz w:val="22"/>
          <w:szCs w:val="22"/>
        </w:rPr>
        <w:t xml:space="preserve">, correspondente a </w:t>
      </w:r>
      <w:r w:rsidR="00120611">
        <w:rPr>
          <w:sz w:val="22"/>
          <w:szCs w:val="22"/>
        </w:rPr>
        <w:t>100</w:t>
      </w:r>
      <w:r w:rsidR="0001034E">
        <w:rPr>
          <w:sz w:val="22"/>
          <w:szCs w:val="22"/>
        </w:rPr>
        <w:t>% (</w:t>
      </w:r>
      <w:r w:rsidR="00120611">
        <w:rPr>
          <w:sz w:val="22"/>
          <w:szCs w:val="22"/>
        </w:rPr>
        <w:t>cem</w:t>
      </w:r>
      <w:r w:rsidR="0001034E">
        <w:rPr>
          <w:sz w:val="22"/>
          <w:szCs w:val="22"/>
        </w:rPr>
        <w:t xml:space="preserve"> por cento) do capital social da </w:t>
      </w:r>
      <w:r w:rsidR="00CC150F">
        <w:rPr>
          <w:sz w:val="22"/>
          <w:szCs w:val="22"/>
        </w:rPr>
        <w:t>Bernoulli</w:t>
      </w:r>
      <w:r w:rsidR="006B2975">
        <w:rPr>
          <w:sz w:val="22"/>
          <w:szCs w:val="22"/>
        </w:rPr>
        <w:t xml:space="preserve">,  </w:t>
      </w:r>
      <w:r w:rsidRPr="00D3069A">
        <w:rPr>
          <w:rFonts w:eastAsia="Arial"/>
          <w:color w:val="000000"/>
          <w:sz w:val="22"/>
          <w:szCs w:val="22"/>
        </w:rPr>
        <w:t xml:space="preserve"> através da celebração d</w:t>
      </w:r>
      <w:r w:rsidR="00A50A36">
        <w:rPr>
          <w:rFonts w:eastAsia="Arial"/>
          <w:color w:val="000000"/>
          <w:sz w:val="22"/>
          <w:szCs w:val="22"/>
        </w:rPr>
        <w:t>e</w:t>
      </w:r>
      <w:r w:rsidRPr="00D3069A">
        <w:rPr>
          <w:rFonts w:eastAsia="Arial"/>
          <w:color w:val="000000"/>
          <w:sz w:val="22"/>
          <w:szCs w:val="22"/>
        </w:rPr>
        <w:t xml:space="preserve"> “</w:t>
      </w:r>
      <w:r w:rsidRPr="008A7A32">
        <w:rPr>
          <w:rFonts w:eastAsia="Arial"/>
          <w:i/>
          <w:iCs/>
          <w:color w:val="000000"/>
          <w:sz w:val="22"/>
          <w:szCs w:val="22"/>
        </w:rPr>
        <w:t>Instrumento Particular de Alienação Fiduciária de Quotas em Garantia</w:t>
      </w:r>
      <w:r w:rsidRPr="00D3069A">
        <w:rPr>
          <w:rFonts w:eastAsia="Arial"/>
          <w:color w:val="000000"/>
          <w:sz w:val="22"/>
          <w:szCs w:val="22"/>
        </w:rPr>
        <w:t xml:space="preserve">” celebrado nesta data entre os Fiduciantes, </w:t>
      </w:r>
      <w:r w:rsidR="00120611">
        <w:rPr>
          <w:rFonts w:eastAsia="Arial"/>
          <w:color w:val="000000"/>
          <w:sz w:val="22"/>
          <w:szCs w:val="22"/>
        </w:rPr>
        <w:t>a</w:t>
      </w:r>
      <w:r w:rsidRPr="00D3069A">
        <w:rPr>
          <w:rFonts w:eastAsia="Arial"/>
          <w:color w:val="000000"/>
          <w:sz w:val="22"/>
          <w:szCs w:val="22"/>
        </w:rPr>
        <w:t xml:space="preserve"> </w:t>
      </w:r>
      <w:r w:rsidR="00120611" w:rsidRPr="00D3069A">
        <w:rPr>
          <w:rFonts w:eastAsia="Arial"/>
          <w:color w:val="000000"/>
          <w:sz w:val="22"/>
          <w:szCs w:val="22"/>
        </w:rPr>
        <w:t>Fiduciári</w:t>
      </w:r>
      <w:r w:rsidR="00120611">
        <w:rPr>
          <w:rFonts w:eastAsia="Arial"/>
          <w:color w:val="000000"/>
          <w:sz w:val="22"/>
          <w:szCs w:val="22"/>
        </w:rPr>
        <w:t>a</w:t>
      </w:r>
      <w:r w:rsidRPr="00D3069A">
        <w:rPr>
          <w:rFonts w:eastAsia="Arial"/>
          <w:color w:val="000000"/>
          <w:sz w:val="22"/>
          <w:szCs w:val="22"/>
        </w:rPr>
        <w:t xml:space="preserve">, e a </w:t>
      </w:r>
      <w:r w:rsidR="00120611" w:rsidRPr="00455418">
        <w:rPr>
          <w:bCs/>
          <w:sz w:val="22"/>
          <w:szCs w:val="22"/>
          <w:u w:val="single"/>
        </w:rPr>
        <w:t>Bernoulli</w:t>
      </w:r>
      <w:r w:rsidRPr="00D3069A">
        <w:rPr>
          <w:rFonts w:eastAsia="Arial"/>
          <w:color w:val="000000"/>
          <w:sz w:val="22"/>
          <w:szCs w:val="22"/>
        </w:rPr>
        <w:t xml:space="preserve"> (“</w:t>
      </w:r>
      <w:r w:rsidRPr="004E0AC1">
        <w:rPr>
          <w:rFonts w:eastAsia="Arial"/>
          <w:color w:val="000000"/>
          <w:sz w:val="22"/>
          <w:szCs w:val="22"/>
          <w:u w:val="single"/>
        </w:rPr>
        <w:t>Contrato de Alienação Fiduciária de Quotas</w:t>
      </w:r>
      <w:r w:rsidR="007A792B">
        <w:rPr>
          <w:rFonts w:eastAsia="Arial"/>
          <w:color w:val="000000"/>
          <w:sz w:val="22"/>
          <w:szCs w:val="22"/>
          <w:u w:val="single"/>
        </w:rPr>
        <w:t xml:space="preserve"> Bernoulli</w:t>
      </w:r>
      <w:r w:rsidRPr="00D3069A">
        <w:rPr>
          <w:rFonts w:eastAsia="Arial"/>
          <w:color w:val="000000"/>
          <w:sz w:val="22"/>
          <w:szCs w:val="22"/>
        </w:rPr>
        <w:t>” e “</w:t>
      </w:r>
      <w:r w:rsidRPr="004E0AC1">
        <w:rPr>
          <w:rFonts w:eastAsia="Arial"/>
          <w:color w:val="000000"/>
          <w:sz w:val="22"/>
          <w:szCs w:val="22"/>
          <w:u w:val="single"/>
        </w:rPr>
        <w:t>Alienação Fiduciária de Quotas</w:t>
      </w:r>
      <w:r w:rsidR="007A792B">
        <w:rPr>
          <w:rFonts w:eastAsia="Arial"/>
          <w:color w:val="000000"/>
          <w:sz w:val="22"/>
          <w:szCs w:val="22"/>
          <w:u w:val="single"/>
        </w:rPr>
        <w:t xml:space="preserve"> Bernoulli</w:t>
      </w:r>
      <w:r w:rsidRPr="00D3069A">
        <w:rPr>
          <w:rFonts w:eastAsia="Arial"/>
          <w:color w:val="000000"/>
          <w:sz w:val="22"/>
          <w:szCs w:val="22"/>
        </w:rPr>
        <w:t>”, respectivamente</w:t>
      </w:r>
      <w:r w:rsidR="007A792B">
        <w:rPr>
          <w:rFonts w:eastAsia="Arial"/>
          <w:color w:val="000000"/>
          <w:sz w:val="22"/>
          <w:szCs w:val="22"/>
        </w:rPr>
        <w:t>)</w:t>
      </w:r>
      <w:r w:rsidR="00492797">
        <w:rPr>
          <w:rFonts w:eastAsia="Arial"/>
          <w:color w:val="000000"/>
          <w:sz w:val="22"/>
          <w:szCs w:val="22"/>
        </w:rPr>
        <w:t xml:space="preserve">; </w:t>
      </w:r>
      <w:r w:rsidR="006E29B4" w:rsidRPr="00455418">
        <w:rPr>
          <w:rFonts w:eastAsia="Arial"/>
          <w:color w:val="000000"/>
          <w:sz w:val="22"/>
          <w:szCs w:val="22"/>
          <w:highlight w:val="yellow"/>
        </w:rPr>
        <w:t>OU</w:t>
      </w:r>
      <w:r w:rsidR="00492797">
        <w:rPr>
          <w:rFonts w:eastAsia="Arial"/>
          <w:color w:val="000000"/>
          <w:sz w:val="22"/>
          <w:szCs w:val="22"/>
        </w:rPr>
        <w:t xml:space="preserve"> (</w:t>
      </w:r>
      <w:proofErr w:type="spellStart"/>
      <w:r w:rsidR="00492797">
        <w:rPr>
          <w:rFonts w:eastAsia="Arial"/>
          <w:color w:val="000000"/>
          <w:sz w:val="22"/>
          <w:szCs w:val="22"/>
        </w:rPr>
        <w:t>i</w:t>
      </w:r>
      <w:r w:rsidR="006E29B4">
        <w:rPr>
          <w:rFonts w:eastAsia="Arial"/>
          <w:color w:val="000000"/>
          <w:sz w:val="22"/>
          <w:szCs w:val="22"/>
        </w:rPr>
        <w:t>ii</w:t>
      </w:r>
      <w:proofErr w:type="spellEnd"/>
      <w:r w:rsidR="00492797">
        <w:rPr>
          <w:rFonts w:eastAsia="Arial"/>
          <w:color w:val="000000"/>
          <w:sz w:val="22"/>
          <w:szCs w:val="22"/>
        </w:rPr>
        <w:t xml:space="preserve">) </w:t>
      </w:r>
      <w:r w:rsidRPr="007A792B">
        <w:rPr>
          <w:rFonts w:eastAsia="Arial"/>
          <w:color w:val="000000"/>
          <w:sz w:val="22"/>
          <w:szCs w:val="22"/>
        </w:rPr>
        <w:t xml:space="preserve"> </w:t>
      </w:r>
      <w:r w:rsidR="00492797" w:rsidRPr="00D3069A">
        <w:rPr>
          <w:rFonts w:eastAsia="Arial"/>
          <w:color w:val="000000"/>
          <w:sz w:val="22"/>
          <w:szCs w:val="22"/>
        </w:rPr>
        <w:t xml:space="preserve">alienação fiduciária da propriedade, do domínio resolúvel e da posse indireta de </w:t>
      </w:r>
      <w:r w:rsidR="00492797">
        <w:rPr>
          <w:rFonts w:eastAsia="Arial"/>
          <w:color w:val="000000"/>
          <w:sz w:val="22"/>
          <w:szCs w:val="22"/>
        </w:rPr>
        <w:t xml:space="preserve">da totalidade das </w:t>
      </w:r>
      <w:r w:rsidR="00492797" w:rsidRPr="00D3069A">
        <w:rPr>
          <w:rFonts w:eastAsia="Arial"/>
          <w:color w:val="000000"/>
          <w:sz w:val="22"/>
          <w:szCs w:val="22"/>
        </w:rPr>
        <w:t xml:space="preserve">quotas emitidas pela </w:t>
      </w:r>
      <w:r w:rsidR="00492797">
        <w:rPr>
          <w:bCs/>
          <w:sz w:val="22"/>
          <w:szCs w:val="22"/>
          <w:u w:val="single"/>
        </w:rPr>
        <w:t>Ouvidor</w:t>
      </w:r>
      <w:r w:rsidR="00492797">
        <w:rPr>
          <w:sz w:val="22"/>
          <w:szCs w:val="22"/>
        </w:rPr>
        <w:t>,</w:t>
      </w:r>
      <w:r w:rsidR="00492797" w:rsidRPr="00D3069A">
        <w:rPr>
          <w:rFonts w:eastAsia="Arial"/>
          <w:color w:val="000000"/>
          <w:sz w:val="22"/>
          <w:szCs w:val="22"/>
        </w:rPr>
        <w:t xml:space="preserve"> de titularidade do </w:t>
      </w:r>
      <w:r w:rsidR="00492797">
        <w:rPr>
          <w:rFonts w:eastAsia="Arial"/>
          <w:color w:val="000000"/>
          <w:sz w:val="22"/>
          <w:szCs w:val="22"/>
        </w:rPr>
        <w:t>[</w:t>
      </w:r>
      <w:r w:rsidR="00492797" w:rsidRPr="0096570D">
        <w:rPr>
          <w:rFonts w:eastAsia="Arial"/>
          <w:color w:val="000000"/>
          <w:sz w:val="22"/>
          <w:szCs w:val="22"/>
          <w:highlight w:val="yellow"/>
        </w:rPr>
        <w:t>completar</w:t>
      </w:r>
      <w:r w:rsidR="00492797">
        <w:rPr>
          <w:rFonts w:eastAsia="Arial"/>
          <w:color w:val="000000"/>
          <w:sz w:val="22"/>
          <w:szCs w:val="22"/>
        </w:rPr>
        <w:t>]</w:t>
      </w:r>
      <w:r w:rsidR="00492797" w:rsidRPr="007E6535">
        <w:rPr>
          <w:sz w:val="22"/>
          <w:szCs w:val="22"/>
        </w:rPr>
        <w:t>,</w:t>
      </w:r>
      <w:r w:rsidR="00492797" w:rsidRPr="00296F7D">
        <w:rPr>
          <w:sz w:val="22"/>
          <w:szCs w:val="22"/>
        </w:rPr>
        <w:t xml:space="preserve"> </w:t>
      </w:r>
      <w:r w:rsidR="00492797">
        <w:rPr>
          <w:sz w:val="22"/>
          <w:szCs w:val="22"/>
        </w:rPr>
        <w:t>(</w:t>
      </w:r>
      <w:r w:rsidR="00492797" w:rsidRPr="007E6535">
        <w:rPr>
          <w:sz w:val="22"/>
          <w:szCs w:val="22"/>
        </w:rPr>
        <w:t>“</w:t>
      </w:r>
      <w:r w:rsidR="00492797" w:rsidRPr="00E90970">
        <w:rPr>
          <w:sz w:val="22"/>
          <w:szCs w:val="22"/>
          <w:u w:val="single"/>
        </w:rPr>
        <w:t>Fiduciantes</w:t>
      </w:r>
      <w:r w:rsidR="00492797">
        <w:rPr>
          <w:sz w:val="22"/>
          <w:szCs w:val="22"/>
        </w:rPr>
        <w:t xml:space="preserve">”), correspondente a 100% (cem por cento) do capital social da </w:t>
      </w:r>
      <w:r w:rsidR="006E29B4">
        <w:rPr>
          <w:sz w:val="22"/>
          <w:szCs w:val="22"/>
        </w:rPr>
        <w:t>Ouvidor</w:t>
      </w:r>
      <w:r w:rsidR="00492797">
        <w:rPr>
          <w:sz w:val="22"/>
          <w:szCs w:val="22"/>
        </w:rPr>
        <w:t xml:space="preserve">,  </w:t>
      </w:r>
      <w:r w:rsidR="00492797" w:rsidRPr="00D3069A">
        <w:rPr>
          <w:rFonts w:eastAsia="Arial"/>
          <w:color w:val="000000"/>
          <w:sz w:val="22"/>
          <w:szCs w:val="22"/>
        </w:rPr>
        <w:t xml:space="preserve"> através da celebração d</w:t>
      </w:r>
      <w:r w:rsidR="00492797">
        <w:rPr>
          <w:rFonts w:eastAsia="Arial"/>
          <w:color w:val="000000"/>
          <w:sz w:val="22"/>
          <w:szCs w:val="22"/>
        </w:rPr>
        <w:t>e</w:t>
      </w:r>
      <w:r w:rsidR="00492797" w:rsidRPr="00D3069A">
        <w:rPr>
          <w:rFonts w:eastAsia="Arial"/>
          <w:color w:val="000000"/>
          <w:sz w:val="22"/>
          <w:szCs w:val="22"/>
        </w:rPr>
        <w:t xml:space="preserve"> “</w:t>
      </w:r>
      <w:r w:rsidR="00492797" w:rsidRPr="008A7A32">
        <w:rPr>
          <w:rFonts w:eastAsia="Arial"/>
          <w:i/>
          <w:iCs/>
          <w:color w:val="000000"/>
          <w:sz w:val="22"/>
          <w:szCs w:val="22"/>
        </w:rPr>
        <w:t>Instrumento Particular de Alienação Fiduciária de Quotas em Garantia</w:t>
      </w:r>
      <w:r w:rsidR="00492797" w:rsidRPr="00D3069A">
        <w:rPr>
          <w:rFonts w:eastAsia="Arial"/>
          <w:color w:val="000000"/>
          <w:sz w:val="22"/>
          <w:szCs w:val="22"/>
        </w:rPr>
        <w:t xml:space="preserve">” celebrado nesta data entre os Fiduciantes, </w:t>
      </w:r>
      <w:r w:rsidR="00492797">
        <w:rPr>
          <w:rFonts w:eastAsia="Arial"/>
          <w:color w:val="000000"/>
          <w:sz w:val="22"/>
          <w:szCs w:val="22"/>
        </w:rPr>
        <w:t>a</w:t>
      </w:r>
      <w:r w:rsidR="00492797" w:rsidRPr="00D3069A">
        <w:rPr>
          <w:rFonts w:eastAsia="Arial"/>
          <w:color w:val="000000"/>
          <w:sz w:val="22"/>
          <w:szCs w:val="22"/>
        </w:rPr>
        <w:t xml:space="preserve"> Fiduciári</w:t>
      </w:r>
      <w:r w:rsidR="00492797">
        <w:rPr>
          <w:rFonts w:eastAsia="Arial"/>
          <w:color w:val="000000"/>
          <w:sz w:val="22"/>
          <w:szCs w:val="22"/>
        </w:rPr>
        <w:t>a</w:t>
      </w:r>
      <w:r w:rsidR="00492797" w:rsidRPr="00D3069A">
        <w:rPr>
          <w:rFonts w:eastAsia="Arial"/>
          <w:color w:val="000000"/>
          <w:sz w:val="22"/>
          <w:szCs w:val="22"/>
        </w:rPr>
        <w:t xml:space="preserve">, e a </w:t>
      </w:r>
      <w:r w:rsidR="004D6C39">
        <w:rPr>
          <w:bCs/>
          <w:sz w:val="22"/>
          <w:szCs w:val="22"/>
          <w:u w:val="single"/>
        </w:rPr>
        <w:t>Ouvidor</w:t>
      </w:r>
      <w:r w:rsidR="00492797" w:rsidRPr="00D3069A">
        <w:rPr>
          <w:rFonts w:eastAsia="Arial"/>
          <w:color w:val="000000"/>
          <w:sz w:val="22"/>
          <w:szCs w:val="22"/>
        </w:rPr>
        <w:t xml:space="preserve"> (“</w:t>
      </w:r>
      <w:r w:rsidR="00492797" w:rsidRPr="004E0AC1">
        <w:rPr>
          <w:rFonts w:eastAsia="Arial"/>
          <w:color w:val="000000"/>
          <w:sz w:val="22"/>
          <w:szCs w:val="22"/>
          <w:u w:val="single"/>
        </w:rPr>
        <w:t>Contrato de 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e “</w:t>
      </w:r>
      <w:r w:rsidR="00492797" w:rsidRPr="004E0AC1">
        <w:rPr>
          <w:rFonts w:eastAsia="Arial"/>
          <w:color w:val="000000"/>
          <w:sz w:val="22"/>
          <w:szCs w:val="22"/>
          <w:u w:val="single"/>
        </w:rPr>
        <w:t>Alienação Fiduciária de Quotas</w:t>
      </w:r>
      <w:r w:rsidR="00492797">
        <w:rPr>
          <w:rFonts w:eastAsia="Arial"/>
          <w:color w:val="000000"/>
          <w:sz w:val="22"/>
          <w:szCs w:val="22"/>
          <w:u w:val="single"/>
        </w:rPr>
        <w:t xml:space="preserve"> </w:t>
      </w:r>
      <w:r w:rsidR="004D6C39">
        <w:rPr>
          <w:rFonts w:eastAsia="Arial"/>
          <w:color w:val="000000"/>
          <w:sz w:val="22"/>
          <w:szCs w:val="22"/>
          <w:u w:val="single"/>
        </w:rPr>
        <w:t>Ouvidor</w:t>
      </w:r>
      <w:r w:rsidR="00492797" w:rsidRPr="00D3069A">
        <w:rPr>
          <w:rFonts w:eastAsia="Arial"/>
          <w:color w:val="000000"/>
          <w:sz w:val="22"/>
          <w:szCs w:val="22"/>
        </w:rPr>
        <w:t>”, respectivamente</w:t>
      </w:r>
      <w:r w:rsidR="00492797">
        <w:rPr>
          <w:rFonts w:eastAsia="Arial"/>
          <w:color w:val="000000"/>
          <w:sz w:val="22"/>
          <w:szCs w:val="22"/>
        </w:rPr>
        <w:t>)</w:t>
      </w:r>
      <w:r w:rsidRPr="007A792B">
        <w:rPr>
          <w:rFonts w:eastAsia="Arial"/>
          <w:color w:val="000000"/>
          <w:sz w:val="22"/>
          <w:szCs w:val="22"/>
        </w:rPr>
        <w:t>;</w:t>
      </w:r>
      <w:bookmarkEnd w:id="3"/>
    </w:p>
    <w:p w14:paraId="1FCB147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4CDD943D" w14:textId="77777777" w:rsidR="00BC6BE1" w:rsidRPr="00233635" w:rsidRDefault="00D30263" w:rsidP="00233635">
      <w:pPr>
        <w:widowControl w:val="0"/>
        <w:numPr>
          <w:ilvl w:val="0"/>
          <w:numId w:val="11"/>
        </w:numPr>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09" w:hanging="709"/>
        <w:jc w:val="both"/>
        <w:rPr>
          <w:rFonts w:eastAsia="Arial"/>
          <w:sz w:val="22"/>
          <w:szCs w:val="22"/>
        </w:rPr>
      </w:pPr>
      <w:r w:rsidRPr="00233635">
        <w:rPr>
          <w:rFonts w:eastAsia="Arial"/>
          <w:color w:val="000000"/>
          <w:sz w:val="22"/>
          <w:szCs w:val="22"/>
        </w:rPr>
        <w:t>a QI SCD aceita prestar os serviços acima referidos, sendo de interesse das Partes descrever os procedimentos operacionais que serão executados pela QI SCD,</w:t>
      </w:r>
    </w:p>
    <w:p w14:paraId="6B8CD507"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4D56AD3" w14:textId="02F307E9" w:rsidR="00BC6BE1" w:rsidRPr="00233635" w:rsidRDefault="00D30263" w:rsidP="00233635">
      <w:pPr>
        <w:widowControl w:val="0"/>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sidRPr="00233635">
        <w:rPr>
          <w:rFonts w:eastAsia="Arial"/>
          <w:color w:val="000000"/>
          <w:sz w:val="22"/>
          <w:szCs w:val="22"/>
        </w:rPr>
        <w:t xml:space="preserve">Resolvem as Partes celebrar o presente Contrato de Prestação de Serviço de Cobrança de Recebíveis e Outras Avenças Nº </w:t>
      </w:r>
      <w:r w:rsidR="003B7272">
        <w:rPr>
          <w:rFonts w:eastAsia="Arial"/>
          <w:color w:val="000000"/>
          <w:sz w:val="22"/>
          <w:szCs w:val="22"/>
        </w:rPr>
        <w:t>58891</w:t>
      </w:r>
      <w:r w:rsidR="003B7272" w:rsidRPr="00233635">
        <w:rPr>
          <w:rFonts w:eastAsia="Arial"/>
          <w:i/>
          <w:color w:val="000000"/>
          <w:sz w:val="22"/>
          <w:szCs w:val="22"/>
        </w:rPr>
        <w:t xml:space="preserve"> </w:t>
      </w:r>
      <w:r w:rsidRPr="00233635">
        <w:rPr>
          <w:rFonts w:eastAsia="Arial"/>
          <w:color w:val="000000"/>
          <w:sz w:val="22"/>
          <w:szCs w:val="22"/>
        </w:rPr>
        <w:t>(“</w:t>
      </w:r>
      <w:r w:rsidRPr="00233635">
        <w:rPr>
          <w:rFonts w:eastAsia="Arial"/>
          <w:color w:val="000000"/>
          <w:sz w:val="22"/>
          <w:szCs w:val="22"/>
          <w:u w:val="single"/>
        </w:rPr>
        <w:t>Instrumento</w:t>
      </w:r>
      <w:r w:rsidRPr="00233635">
        <w:rPr>
          <w:rFonts w:eastAsia="Arial"/>
          <w:color w:val="000000"/>
          <w:sz w:val="22"/>
          <w:szCs w:val="22"/>
        </w:rPr>
        <w:t>”), de acordo com as seguintes cláusulas e condições:</w:t>
      </w:r>
    </w:p>
    <w:p w14:paraId="5A6FEF1A"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334991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OBJETO</w:t>
      </w:r>
    </w:p>
    <w:p w14:paraId="63E2606C"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p w14:paraId="7E99F13D" w14:textId="7D0EAEE3" w:rsidR="00BC6BE1" w:rsidRPr="00233635" w:rsidRDefault="00D30263" w:rsidP="00233635">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 presente Instrumento tem por objeto regular a prestação de serviços de cobrança dos Recursos pela QI SCD por meio da disponibilização de conta para pagamento dos valores devidos pelos Devedores, consoante instruções do Credor, nos termos da Cláusula 3 (“</w:t>
      </w:r>
      <w:r w:rsidRPr="00233635">
        <w:rPr>
          <w:rFonts w:eastAsia="Arial"/>
          <w:color w:val="000000"/>
          <w:sz w:val="22"/>
          <w:szCs w:val="22"/>
          <w:u w:val="single"/>
        </w:rPr>
        <w:t>Serviços</w:t>
      </w:r>
      <w:r w:rsidRPr="00233635">
        <w:rPr>
          <w:rFonts w:eastAsia="Arial"/>
          <w:color w:val="000000"/>
          <w:sz w:val="22"/>
          <w:szCs w:val="22"/>
        </w:rPr>
        <w:t>”).</w:t>
      </w:r>
    </w:p>
    <w:p w14:paraId="72C8A17A"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5E7A9F4" w14:textId="4E91A073" w:rsidR="00BC6BE1" w:rsidRPr="00233635" w:rsidRDefault="004B076F" w:rsidP="00233635">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Pr>
          <w:rFonts w:eastAsia="Arial"/>
          <w:color w:val="000000"/>
          <w:sz w:val="22"/>
          <w:szCs w:val="22"/>
        </w:rPr>
        <w:t>A</w:t>
      </w:r>
      <w:r w:rsidRPr="00233635">
        <w:rPr>
          <w:rFonts w:eastAsia="Arial"/>
          <w:color w:val="000000"/>
          <w:sz w:val="22"/>
          <w:szCs w:val="22"/>
        </w:rPr>
        <w:t xml:space="preserve"> cobrança dos Recursos de que trata a Cláusula 1.1 acima </w:t>
      </w:r>
      <w:r w:rsidR="00112FE5">
        <w:rPr>
          <w:rFonts w:eastAsia="Arial"/>
          <w:color w:val="000000"/>
          <w:sz w:val="22"/>
          <w:szCs w:val="22"/>
        </w:rPr>
        <w:t>será</w:t>
      </w:r>
      <w:r w:rsidR="00112FE5" w:rsidRPr="00233635">
        <w:rPr>
          <w:rFonts w:eastAsia="Arial"/>
          <w:color w:val="000000"/>
          <w:sz w:val="22"/>
          <w:szCs w:val="22"/>
        </w:rPr>
        <w:t xml:space="preserve"> </w:t>
      </w:r>
      <w:r>
        <w:rPr>
          <w:rFonts w:eastAsia="Arial"/>
          <w:color w:val="000000"/>
          <w:sz w:val="22"/>
          <w:szCs w:val="22"/>
        </w:rPr>
        <w:t>realizad</w:t>
      </w:r>
      <w:r w:rsidR="00112FE5">
        <w:rPr>
          <w:rFonts w:eastAsia="Arial"/>
          <w:color w:val="000000"/>
          <w:sz w:val="22"/>
          <w:szCs w:val="22"/>
        </w:rPr>
        <w:t>a</w:t>
      </w:r>
      <w:r>
        <w:rPr>
          <w:rFonts w:eastAsia="Arial"/>
          <w:color w:val="000000"/>
          <w:sz w:val="22"/>
          <w:szCs w:val="22"/>
        </w:rPr>
        <w:t xml:space="preserve"> diretamente pela </w:t>
      </w:r>
      <w:r w:rsidR="00112FE5">
        <w:rPr>
          <w:rFonts w:eastAsia="Arial"/>
          <w:color w:val="000000"/>
          <w:sz w:val="22"/>
          <w:szCs w:val="22"/>
        </w:rPr>
        <w:t>Emissora</w:t>
      </w:r>
      <w:r w:rsidR="00D30263" w:rsidRPr="00233635">
        <w:rPr>
          <w:rFonts w:eastAsia="Arial"/>
          <w:color w:val="000000"/>
          <w:sz w:val="22"/>
          <w:szCs w:val="22"/>
        </w:rPr>
        <w:t xml:space="preserve"> por meio de cobrança direta junto aos Devedores para que efetuem os devidos pagamentos via Transferência Eletrônica Disponível – TED e/ou outra modalidade de transferência de recursos permitida pelo Banco Central, ou qualquer outro meio legítimo para assegurar o correto recebimento dos Recursos.</w:t>
      </w:r>
    </w:p>
    <w:p w14:paraId="736FA704"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1D673932" w14:textId="77777777" w:rsidR="00BC6BE1" w:rsidRPr="00233635" w:rsidRDefault="00D30263" w:rsidP="00233635">
      <w:pPr>
        <w:widowControl w:val="0"/>
        <w:numPr>
          <w:ilvl w:val="1"/>
          <w:numId w:val="6"/>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233635">
        <w:rPr>
          <w:rFonts w:eastAsia="Arial"/>
          <w:color w:val="000000"/>
          <w:sz w:val="22"/>
          <w:szCs w:val="22"/>
          <w:u w:val="single"/>
        </w:rPr>
        <w:t>Conta Fiduciária</w:t>
      </w:r>
      <w:r w:rsidRPr="00233635">
        <w:rPr>
          <w:rFonts w:eastAsia="Arial"/>
          <w:color w:val="000000"/>
          <w:sz w:val="22"/>
          <w:szCs w:val="22"/>
        </w:rPr>
        <w:t>”):</w:t>
      </w:r>
    </w:p>
    <w:p w14:paraId="1C09E6A4"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p>
    <w:tbl>
      <w:tblPr>
        <w:tblStyle w:val="a"/>
        <w:tblW w:w="9683" w:type="dxa"/>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109"/>
        <w:gridCol w:w="1486"/>
        <w:gridCol w:w="1687"/>
        <w:gridCol w:w="3401"/>
      </w:tblGrid>
      <w:tr w:rsidR="00BC6BE1" w:rsidRPr="00233635" w14:paraId="7F5EEAD4" w14:textId="77777777" w:rsidTr="00BC6BE1">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109" w:type="dxa"/>
          </w:tcPr>
          <w:p w14:paraId="42E1F340"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Instituição</w:t>
            </w:r>
          </w:p>
        </w:tc>
        <w:tc>
          <w:tcPr>
            <w:tcW w:w="1486" w:type="dxa"/>
          </w:tcPr>
          <w:p w14:paraId="713DB7A3"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Agência</w:t>
            </w:r>
          </w:p>
        </w:tc>
        <w:tc>
          <w:tcPr>
            <w:tcW w:w="1687" w:type="dxa"/>
          </w:tcPr>
          <w:p w14:paraId="67BADCCD"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 xml:space="preserve">Conta </w:t>
            </w:r>
          </w:p>
        </w:tc>
        <w:tc>
          <w:tcPr>
            <w:tcW w:w="3401" w:type="dxa"/>
          </w:tcPr>
          <w:p w14:paraId="06B59698"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100000000000" w:firstRow="1" w:lastRow="0" w:firstColumn="0" w:lastColumn="0" w:oddVBand="0" w:evenVBand="0" w:oddHBand="0" w:evenHBand="0" w:firstRowFirstColumn="0" w:firstRowLastColumn="0" w:lastRowFirstColumn="0" w:lastRowLastColumn="0"/>
              <w:rPr>
                <w:rFonts w:eastAsia="Arial"/>
                <w:b w:val="0"/>
                <w:color w:val="000000"/>
                <w:sz w:val="22"/>
                <w:szCs w:val="22"/>
              </w:rPr>
            </w:pPr>
            <w:r w:rsidRPr="00233635">
              <w:rPr>
                <w:rFonts w:eastAsia="Arial"/>
                <w:color w:val="000000"/>
                <w:sz w:val="22"/>
                <w:szCs w:val="22"/>
              </w:rPr>
              <w:t>Identificação da Conta</w:t>
            </w:r>
          </w:p>
        </w:tc>
      </w:tr>
      <w:tr w:rsidR="00BC6BE1" w:rsidRPr="00233635" w14:paraId="61934A32" w14:textId="77777777" w:rsidTr="00BC6BE1">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3109" w:type="dxa"/>
          </w:tcPr>
          <w:p w14:paraId="7763CE42"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val="0"/>
                <w:color w:val="000000"/>
                <w:sz w:val="22"/>
                <w:szCs w:val="22"/>
              </w:rPr>
            </w:pPr>
            <w:r w:rsidRPr="00233635">
              <w:rPr>
                <w:rFonts w:eastAsia="Arial"/>
                <w:color w:val="000000"/>
                <w:sz w:val="22"/>
                <w:szCs w:val="22"/>
              </w:rPr>
              <w:t>QI SCD S.A. (329)</w:t>
            </w:r>
          </w:p>
        </w:tc>
        <w:tc>
          <w:tcPr>
            <w:tcW w:w="1486" w:type="dxa"/>
          </w:tcPr>
          <w:p w14:paraId="4AECB4EF"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0001</w:t>
            </w:r>
          </w:p>
        </w:tc>
        <w:tc>
          <w:tcPr>
            <w:tcW w:w="1687" w:type="dxa"/>
          </w:tcPr>
          <w:p w14:paraId="75E61182" w14:textId="569A48C6" w:rsidR="00BC6BE1" w:rsidRPr="00233635" w:rsidRDefault="00BC7245"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455418">
              <w:rPr>
                <w:rFonts w:eastAsia="Arial"/>
                <w:b/>
                <w:sz w:val="22"/>
                <w:szCs w:val="22"/>
                <w:highlight w:val="yellow"/>
              </w:rPr>
              <w:t>[</w:t>
            </w:r>
            <w:r w:rsidR="004024F3">
              <w:rPr>
                <w:rFonts w:eastAsia="Arial"/>
                <w:b/>
                <w:sz w:val="22"/>
                <w:szCs w:val="22"/>
                <w:highlight w:val="yellow"/>
              </w:rPr>
              <w:t>completar</w:t>
            </w:r>
            <w:r w:rsidRPr="00455418">
              <w:rPr>
                <w:rFonts w:eastAsia="Arial"/>
                <w:b/>
                <w:sz w:val="22"/>
                <w:szCs w:val="22"/>
                <w:highlight w:val="yellow"/>
              </w:rPr>
              <w:t>]</w:t>
            </w:r>
          </w:p>
        </w:tc>
        <w:tc>
          <w:tcPr>
            <w:tcW w:w="3401" w:type="dxa"/>
          </w:tcPr>
          <w:p w14:paraId="163A9C85" w14:textId="77777777" w:rsidR="00BC6BE1" w:rsidRPr="00233635" w:rsidRDefault="00D30263"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cnfStyle w:val="000000100000" w:firstRow="0" w:lastRow="0" w:firstColumn="0" w:lastColumn="0" w:oddVBand="0" w:evenVBand="0" w:oddHBand="1" w:evenHBand="0" w:firstRowFirstColumn="0" w:firstRowLastColumn="0" w:lastRowFirstColumn="0" w:lastRowLastColumn="0"/>
              <w:rPr>
                <w:rFonts w:eastAsia="Arial"/>
                <w:b/>
                <w:color w:val="000000"/>
                <w:sz w:val="22"/>
                <w:szCs w:val="22"/>
              </w:rPr>
            </w:pPr>
            <w:r w:rsidRPr="00233635">
              <w:rPr>
                <w:rFonts w:eastAsia="Arial"/>
                <w:b/>
                <w:color w:val="000000"/>
                <w:sz w:val="22"/>
                <w:szCs w:val="22"/>
              </w:rPr>
              <w:t>“Conta Fiduciária ou Conta”</w:t>
            </w:r>
          </w:p>
        </w:tc>
      </w:tr>
    </w:tbl>
    <w:p w14:paraId="56D64ED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bookmarkStart w:id="5" w:name="_heading=h.gjdgxs" w:colFirst="0" w:colLast="0"/>
      <w:bookmarkEnd w:id="5"/>
    </w:p>
    <w:p w14:paraId="769B1CB7" w14:textId="77777777" w:rsidR="00BC6BE1" w:rsidRPr="00233635" w:rsidRDefault="00D30263" w:rsidP="00233635">
      <w:pPr>
        <w:widowControl w:val="0"/>
        <w:numPr>
          <w:ilvl w:val="2"/>
          <w:numId w:val="6"/>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6" w:name="_heading=h.30j0zll" w:colFirst="0" w:colLast="0"/>
      <w:bookmarkEnd w:id="6"/>
      <w:r w:rsidRPr="00233635">
        <w:rPr>
          <w:rFonts w:eastAsia="Arial"/>
          <w:color w:val="000000"/>
          <w:sz w:val="22"/>
          <w:szCs w:val="22"/>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37A9826E" w14:textId="77777777" w:rsidR="00BC6BE1" w:rsidRPr="00233635" w:rsidRDefault="00BC6BE1" w:rsidP="0023363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7CFD89CD" w14:textId="77777777" w:rsidR="00BC6BE1" w:rsidRPr="00233635" w:rsidRDefault="00D30263" w:rsidP="00233635">
      <w:pPr>
        <w:widowControl w:val="0"/>
        <w:numPr>
          <w:ilvl w:val="1"/>
          <w:numId w:val="6"/>
        </w:numPr>
        <w:pBdr>
          <w:top w:val="nil"/>
          <w:left w:val="nil"/>
          <w:bottom w:val="nil"/>
          <w:right w:val="nil"/>
          <w:between w:val="nil"/>
        </w:pBdr>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Partes acordam que não faz parte do objeto do presente Instrumento o monitoramento, pela QI SCD, dos Recursos para fins de controle de garantia.</w:t>
      </w:r>
    </w:p>
    <w:p w14:paraId="259C877E" w14:textId="77777777" w:rsidR="00BC6BE1" w:rsidRPr="00233635" w:rsidRDefault="00D30263" w:rsidP="00233635">
      <w:pPr>
        <w:widowControl w:val="0"/>
        <w:tabs>
          <w:tab w:val="left" w:pos="0"/>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b/>
          <w:color w:val="000000"/>
          <w:sz w:val="22"/>
          <w:szCs w:val="22"/>
        </w:rPr>
      </w:pPr>
      <w:r w:rsidRPr="00233635">
        <w:rPr>
          <w:rFonts w:eastAsia="Arial"/>
          <w:sz w:val="22"/>
          <w:szCs w:val="22"/>
        </w:rPr>
        <w:t xml:space="preserve"> </w:t>
      </w:r>
    </w:p>
    <w:p w14:paraId="0106B6BB"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b/>
          <w:color w:val="000000"/>
          <w:sz w:val="22"/>
          <w:szCs w:val="22"/>
        </w:rPr>
      </w:pPr>
      <w:r w:rsidRPr="00233635">
        <w:rPr>
          <w:rFonts w:eastAsia="Arial"/>
          <w:b/>
          <w:color w:val="000000"/>
          <w:sz w:val="22"/>
          <w:szCs w:val="22"/>
        </w:rPr>
        <w:t>DA NOMEAÇÃO DE DEPOSITÁRIO</w:t>
      </w:r>
    </w:p>
    <w:p w14:paraId="799CE21F"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b/>
          <w:color w:val="000000"/>
          <w:sz w:val="22"/>
          <w:szCs w:val="22"/>
        </w:rPr>
      </w:pPr>
    </w:p>
    <w:p w14:paraId="129BB654" w14:textId="4AA8FC6B" w:rsidR="00BC6BE1" w:rsidRPr="00233635" w:rsidRDefault="00D3026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Os </w:t>
      </w:r>
      <w:r w:rsidR="00090C74" w:rsidRPr="00233635">
        <w:rPr>
          <w:rFonts w:eastAsia="Arial"/>
          <w:color w:val="000000"/>
          <w:sz w:val="22"/>
          <w:szCs w:val="22"/>
        </w:rPr>
        <w:t>Contratantes nomeiam</w:t>
      </w:r>
      <w:r w:rsidRPr="00233635">
        <w:rPr>
          <w:rFonts w:eastAsia="Arial"/>
          <w:color w:val="000000"/>
          <w:sz w:val="22"/>
          <w:szCs w:val="22"/>
        </w:rPr>
        <w:t>,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7AAE654A"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20" w:hanging="708"/>
        <w:jc w:val="both"/>
        <w:rPr>
          <w:rFonts w:eastAsia="Arial"/>
          <w:color w:val="000000"/>
          <w:sz w:val="22"/>
          <w:szCs w:val="22"/>
        </w:rPr>
      </w:pPr>
    </w:p>
    <w:p w14:paraId="0F70D19B" w14:textId="77777777"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Caberá à QI SCD monitorar, reter e transferir, até o limite do saldo existente na Conta Fiduciária, todos e quaisquer Recursos lá creditados, nos termos deste Instrumento.</w:t>
      </w:r>
    </w:p>
    <w:p w14:paraId="7625D563"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24782C01" w14:textId="77777777"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Não será autorizada a utilização dos Recursos depositados na Conta Fiduciária para qualquer pagamento ou transferência a terceiros, salvo nos termos e condições contidas neste Instrumento. </w:t>
      </w:r>
    </w:p>
    <w:p w14:paraId="313CF1B7"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hanging="708"/>
        <w:jc w:val="both"/>
        <w:rPr>
          <w:rFonts w:eastAsia="Arial"/>
          <w:color w:val="000000"/>
          <w:sz w:val="22"/>
          <w:szCs w:val="22"/>
        </w:rPr>
      </w:pPr>
    </w:p>
    <w:p w14:paraId="0A11BAAC" w14:textId="77777777" w:rsidR="00BC6BE1" w:rsidRPr="00233635" w:rsidRDefault="00D30263" w:rsidP="00233635">
      <w:pPr>
        <w:widowControl w:val="0"/>
        <w:numPr>
          <w:ilvl w:val="2"/>
          <w:numId w:val="2"/>
        </w:numPr>
        <w:pBdr>
          <w:top w:val="nil"/>
          <w:left w:val="nil"/>
          <w:bottom w:val="nil"/>
          <w:right w:val="nil"/>
          <w:between w:val="nil"/>
        </w:pBdr>
        <w:tabs>
          <w:tab w:val="left" w:pos="-1080"/>
          <w:tab w:val="left" w:pos="-371"/>
          <w:tab w:val="left" w:pos="851"/>
          <w:tab w:val="left" w:pos="1701"/>
          <w:tab w:val="left" w:pos="2520"/>
          <w:tab w:val="left" w:pos="3240"/>
          <w:tab w:val="left" w:pos="3960"/>
          <w:tab w:val="left" w:pos="4680"/>
          <w:tab w:val="left" w:pos="5400"/>
          <w:tab w:val="left" w:pos="6120"/>
          <w:tab w:val="left" w:pos="6840"/>
          <w:tab w:val="left" w:pos="7560"/>
        </w:tabs>
        <w:spacing w:line="300" w:lineRule="auto"/>
        <w:ind w:left="851" w:firstLine="0"/>
        <w:jc w:val="both"/>
        <w:rPr>
          <w:rFonts w:eastAsia="Arial"/>
          <w:color w:val="000000"/>
          <w:sz w:val="22"/>
          <w:szCs w:val="22"/>
        </w:rPr>
      </w:pPr>
      <w:r w:rsidRPr="00233635">
        <w:rPr>
          <w:rFonts w:eastAsia="Arial"/>
          <w:color w:val="000000"/>
          <w:sz w:val="22"/>
          <w:szCs w:val="22"/>
        </w:rPr>
        <w:t xml:space="preserve">As Partes se comprometem a observar a legislação, regulamentação e políticas de prevenção e combate à lavagem de dinheiro, incluindo, porém não se limitando, à Lei nº 9.613, de 03 de março de 1998, conforme alterada. </w:t>
      </w:r>
    </w:p>
    <w:p w14:paraId="65330D0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708" w:hanging="708"/>
        <w:jc w:val="both"/>
        <w:rPr>
          <w:rFonts w:eastAsia="Arial"/>
          <w:color w:val="000000"/>
          <w:sz w:val="22"/>
          <w:szCs w:val="22"/>
        </w:rPr>
      </w:pPr>
    </w:p>
    <w:p w14:paraId="7286EC3A" w14:textId="77777777" w:rsidR="00BC6BE1" w:rsidRPr="00233635" w:rsidRDefault="00D30263" w:rsidP="00233635">
      <w:pPr>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7" w:name="_heading=h.1fob9te" w:colFirst="0" w:colLast="0"/>
      <w:bookmarkEnd w:id="7"/>
      <w:r w:rsidRPr="00233635">
        <w:rPr>
          <w:rFonts w:eastAsia="Arial"/>
          <w:color w:val="000000"/>
          <w:sz w:val="22"/>
          <w:szCs w:val="22"/>
        </w:rPr>
        <w:t xml:space="preserve">A QI SCD deverá disponibilizar ao Credor e ao Titular, em tempo real e por meio da Plataforma QI, os extratos de movimentação da Conta Fiduciária, compreendendo créditos, débitos e saldo. </w:t>
      </w:r>
    </w:p>
    <w:p w14:paraId="3D21597E" w14:textId="77777777" w:rsidR="00BC6BE1" w:rsidRPr="00233635" w:rsidRDefault="00BC6BE1" w:rsidP="00233635">
      <w:p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3730A52" w14:textId="77777777" w:rsidR="00BC6BE1" w:rsidRPr="00233635" w:rsidRDefault="00D30263" w:rsidP="00233635">
      <w:pPr>
        <w:widowControl w:val="0"/>
        <w:numPr>
          <w:ilvl w:val="1"/>
          <w:numId w:val="2"/>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Para fins do disposto na Cláusula 2.2 acima, o Titular, neste ato, libera a QI SCD de sua obrigação de sigilo bancário nos termos da legislação vigente, isentando a QI SCD de qualquer responsabilidade decorrente da violação de sigilo bancário de tais informações, de acordo com o Artigo 1º, §3º, inciso V, da Lei Complementar nº 105, de 10 de janeiro de 2001.</w:t>
      </w:r>
    </w:p>
    <w:p w14:paraId="2F5FB392" w14:textId="77777777" w:rsidR="00BC6BE1" w:rsidRPr="00233635" w:rsidRDefault="00BC6BE1" w:rsidP="00233635">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hanging="708"/>
        <w:jc w:val="both"/>
        <w:rPr>
          <w:rFonts w:eastAsia="Arial"/>
          <w:color w:val="000000"/>
          <w:sz w:val="22"/>
          <w:szCs w:val="22"/>
        </w:rPr>
      </w:pPr>
    </w:p>
    <w:p w14:paraId="0578C255" w14:textId="77777777" w:rsidR="00BC6BE1" w:rsidRPr="00233635" w:rsidRDefault="00D30263" w:rsidP="00233635">
      <w:pPr>
        <w:widowControl w:val="0"/>
        <w:numPr>
          <w:ilvl w:val="3"/>
          <w:numId w:val="11"/>
        </w:numPr>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851" w:hanging="851"/>
        <w:jc w:val="both"/>
        <w:rPr>
          <w:rFonts w:eastAsia="Arial"/>
          <w:color w:val="000000"/>
          <w:sz w:val="22"/>
          <w:szCs w:val="22"/>
        </w:rPr>
      </w:pPr>
      <w:bookmarkStart w:id="8" w:name="_heading=h.3znysh7" w:colFirst="0" w:colLast="0"/>
      <w:bookmarkEnd w:id="8"/>
      <w:r w:rsidRPr="00233635">
        <w:rPr>
          <w:rFonts w:eastAsia="Arial"/>
          <w:b/>
          <w:color w:val="000000"/>
          <w:sz w:val="22"/>
          <w:szCs w:val="22"/>
        </w:rPr>
        <w:t xml:space="preserve">ADMINISTRAÇÃO E MOVIMENTAÇÃO DAS CONTAS </w:t>
      </w:r>
    </w:p>
    <w:p w14:paraId="04C3E5A3" w14:textId="77777777" w:rsidR="00BC6BE1" w:rsidRPr="00233635" w:rsidRDefault="00BC6BE1" w:rsidP="00233635">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A4D5EE0" w14:textId="77777777" w:rsidR="00BC6BE1" w:rsidRPr="00233635" w:rsidRDefault="00D30263" w:rsidP="00233635">
      <w:pPr>
        <w:widowControl w:val="0"/>
        <w:numPr>
          <w:ilvl w:val="1"/>
          <w:numId w:val="8"/>
        </w:numPr>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QI SCD se obriga a administrar a Conta Fiduciária e os Recursos nela mantidos em conformidade com as regras e procedimentos descritos nesta Cláusula 3.</w:t>
      </w:r>
    </w:p>
    <w:p w14:paraId="353DAE3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A512A9B"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9" w:name="_heading=h.2et92p0" w:colFirst="0" w:colLast="0"/>
      <w:bookmarkEnd w:id="9"/>
      <w:r w:rsidRPr="00233635">
        <w:rPr>
          <w:rFonts w:eastAsia="Arial"/>
          <w:color w:val="000000"/>
          <w:sz w:val="22"/>
          <w:szCs w:val="22"/>
        </w:rPr>
        <w:t>Os Recursos creditados na Conta Fiduciária serão administrados pela QI SCD de acordo com os procedimentos descritos abaixo:</w:t>
      </w:r>
    </w:p>
    <w:p w14:paraId="36DC3FBF"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8FAB671" w14:textId="0521EA9D" w:rsidR="00474B57" w:rsidRDefault="000A5C42" w:rsidP="00474B57">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firstLine="0"/>
        <w:jc w:val="both"/>
        <w:rPr>
          <w:rFonts w:eastAsia="Arial"/>
          <w:sz w:val="22"/>
        </w:rPr>
      </w:pPr>
      <w:r>
        <w:rPr>
          <w:rFonts w:eastAsia="Arial"/>
          <w:sz w:val="22"/>
        </w:rPr>
        <w:t>A</w:t>
      </w:r>
      <w:r w:rsidRPr="001B309F">
        <w:rPr>
          <w:rFonts w:eastAsia="Arial"/>
          <w:sz w:val="22"/>
        </w:rPr>
        <w:t xml:space="preserve"> QI SCD fará, </w:t>
      </w:r>
      <w:r>
        <w:rPr>
          <w:rFonts w:eastAsia="Arial"/>
          <w:sz w:val="22"/>
        </w:rPr>
        <w:t xml:space="preserve">mediante solicitação </w:t>
      </w:r>
      <w:r w:rsidR="00CC150F">
        <w:rPr>
          <w:rFonts w:eastAsia="Arial"/>
          <w:sz w:val="22"/>
        </w:rPr>
        <w:t>da Fiduciária</w:t>
      </w:r>
      <w:r w:rsidR="00BE27EF">
        <w:rPr>
          <w:rFonts w:eastAsia="Arial"/>
          <w:sz w:val="22"/>
        </w:rPr>
        <w:t>,</w:t>
      </w:r>
      <w:r w:rsidR="00CC150F">
        <w:rPr>
          <w:rFonts w:eastAsia="Arial"/>
          <w:sz w:val="22"/>
        </w:rPr>
        <w:t xml:space="preserve"> via p</w:t>
      </w:r>
      <w:r w:rsidR="00BE27EF">
        <w:rPr>
          <w:rFonts w:eastAsia="Arial"/>
          <w:sz w:val="22"/>
        </w:rPr>
        <w:t>l</w:t>
      </w:r>
      <w:r w:rsidR="00CC150F">
        <w:rPr>
          <w:rFonts w:eastAsia="Arial"/>
          <w:sz w:val="22"/>
        </w:rPr>
        <w:t>ataforma</w:t>
      </w:r>
      <w:r w:rsidRPr="001B309F">
        <w:rPr>
          <w:rFonts w:eastAsia="Arial"/>
          <w:sz w:val="22"/>
        </w:rPr>
        <w:t xml:space="preserve">, a transferência dos Recursos para a(s) Conta(s) Autorizada(s) discriminada(s) no Anexo I, </w:t>
      </w:r>
      <w:r>
        <w:rPr>
          <w:rFonts w:eastAsia="Arial"/>
          <w:sz w:val="22"/>
        </w:rPr>
        <w:t xml:space="preserve">nos valores a serem informados </w:t>
      </w:r>
      <w:r w:rsidR="00AA1635">
        <w:rPr>
          <w:rFonts w:eastAsia="Arial"/>
          <w:sz w:val="22"/>
        </w:rPr>
        <w:t>pela Fiduciária</w:t>
      </w:r>
      <w:r w:rsidRPr="001B309F">
        <w:rPr>
          <w:rFonts w:eastAsia="Arial"/>
          <w:sz w:val="22"/>
        </w:rPr>
        <w:t xml:space="preserve">, sendo certo que qualquer alteração na(s) Conta(s) Autorizada(s) será implementada apenas no dia útil subsequente ao recebimento, pela QI SCD, da solicitação encaminhada pelo </w:t>
      </w:r>
      <w:r>
        <w:rPr>
          <w:rFonts w:eastAsia="Arial"/>
          <w:sz w:val="22"/>
        </w:rPr>
        <w:t>Titular</w:t>
      </w:r>
      <w:r w:rsidR="00474B57" w:rsidRPr="001B309F">
        <w:rPr>
          <w:rFonts w:eastAsia="Arial"/>
          <w:sz w:val="22"/>
        </w:rPr>
        <w:t>;</w:t>
      </w:r>
    </w:p>
    <w:p w14:paraId="0FE9A07E" w14:textId="77777777" w:rsidR="00474B57" w:rsidRPr="001B309F" w:rsidRDefault="00474B57" w:rsidP="008A7A32">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276" w:lineRule="auto"/>
        <w:ind w:left="851"/>
        <w:jc w:val="both"/>
        <w:rPr>
          <w:rFonts w:eastAsia="Arial"/>
          <w:sz w:val="22"/>
        </w:rPr>
      </w:pPr>
    </w:p>
    <w:p w14:paraId="3A864825" w14:textId="77777777" w:rsidR="00BC6BE1" w:rsidRPr="00233635" w:rsidRDefault="00D30263"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O Credor poderá transmitir, via Plataforma QI, uma ordem de saque especificando o valor e a(s) Conta(s) Autorizada(s) (conforme definição abaixo) relativas ao saque (“</w:t>
      </w:r>
      <w:r w:rsidRPr="00233635">
        <w:rPr>
          <w:rFonts w:eastAsia="Arial"/>
          <w:sz w:val="22"/>
          <w:szCs w:val="22"/>
          <w:u w:val="single"/>
        </w:rPr>
        <w:t>Ordem de Saque</w:t>
      </w:r>
      <w:r w:rsidRPr="00233635">
        <w:rPr>
          <w:rFonts w:eastAsia="Arial"/>
          <w:sz w:val="22"/>
          <w:szCs w:val="22"/>
        </w:rPr>
        <w:t xml:space="preserve">”); </w:t>
      </w:r>
    </w:p>
    <w:p w14:paraId="4C8A9167"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F8EDB6" w14:textId="11DB2888"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I</w:t>
      </w:r>
      <w:r w:rsidR="00D30263" w:rsidRPr="00233635">
        <w:rPr>
          <w:rFonts w:eastAsia="Arial"/>
          <w:sz w:val="22"/>
          <w:szCs w:val="22"/>
        </w:rPr>
        <w:t>ndependente de autorização do Titular, o Credor poderá, sob sua exclusiva responsabilidade, emitir Ordem de Saque para pagamento das obrigações garantidas pelos Recursos; e</w:t>
      </w:r>
    </w:p>
    <w:p w14:paraId="3AC46264" w14:textId="77777777" w:rsidR="00BC6BE1" w:rsidRPr="00233635" w:rsidRDefault="00BC6BE1" w:rsidP="00233635">
      <w:pPr>
        <w:widowControl w:val="0"/>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sz w:val="22"/>
          <w:szCs w:val="22"/>
        </w:rPr>
      </w:pPr>
    </w:p>
    <w:p w14:paraId="1AFF7929" w14:textId="091B97E6" w:rsidR="00BC6BE1" w:rsidRPr="00233635" w:rsidRDefault="00B31E20" w:rsidP="00233635">
      <w:pPr>
        <w:widowControl w:val="0"/>
        <w:numPr>
          <w:ilvl w:val="0"/>
          <w:numId w:val="12"/>
        </w:numP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Pr>
          <w:rFonts w:eastAsia="Arial"/>
          <w:sz w:val="22"/>
          <w:szCs w:val="22"/>
        </w:rPr>
        <w:t>A</w:t>
      </w:r>
      <w:r w:rsidR="00D30263" w:rsidRPr="00233635">
        <w:rPr>
          <w:rFonts w:eastAsia="Arial"/>
          <w:sz w:val="22"/>
          <w:szCs w:val="22"/>
        </w:rPr>
        <w:t xml:space="preserve"> QI SCD, mediante o recebimento da Ordem de Saque, promoverá a transferência dos respectivos valores para a(s) Conta(s) Autorizada(s);</w:t>
      </w:r>
    </w:p>
    <w:p w14:paraId="55D7E3C6"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bookmarkStart w:id="10" w:name="_heading=h.tyjcwt" w:colFirst="0" w:colLast="0"/>
      <w:bookmarkEnd w:id="10"/>
    </w:p>
    <w:p w14:paraId="564A0084" w14:textId="77777777" w:rsidR="00BC6BE1" w:rsidRPr="00233635"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Para os fins deste Instrumento, consideram-se “</w:t>
      </w:r>
      <w:r w:rsidRPr="00233635">
        <w:rPr>
          <w:rFonts w:eastAsia="Arial"/>
          <w:color w:val="000000"/>
          <w:sz w:val="22"/>
          <w:szCs w:val="22"/>
          <w:u w:val="single"/>
        </w:rPr>
        <w:t>Contas Autorizadas</w:t>
      </w:r>
      <w:r w:rsidRPr="00233635">
        <w:rPr>
          <w:rFonts w:eastAsia="Arial"/>
          <w:color w:val="000000"/>
          <w:sz w:val="22"/>
          <w:szCs w:val="22"/>
        </w:rPr>
        <w:t xml:space="preserve">” as contas listadas no Anexo I, conforme atualizado de tempos em tempos pelas Partes, sem a necessidade de aditamento do presente Instrumento. </w:t>
      </w:r>
    </w:p>
    <w:p w14:paraId="70029CC5"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F452316" w14:textId="4BB7D13A" w:rsidR="00BC6BE1"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estabelecem que (i) o Titular não está autorizado a dar qualquer ordem de movimentação da Conta Fiduciária, cabendo-lhe apenas o direito de solicitar ordens ao Credor, e (</w:t>
      </w:r>
      <w:proofErr w:type="spellStart"/>
      <w:r w:rsidRPr="00233635">
        <w:rPr>
          <w:rFonts w:eastAsia="Arial"/>
          <w:color w:val="000000"/>
          <w:sz w:val="22"/>
          <w:szCs w:val="22"/>
        </w:rPr>
        <w:t>ii</w:t>
      </w:r>
      <w:proofErr w:type="spellEnd"/>
      <w:r w:rsidRPr="00233635">
        <w:rPr>
          <w:rFonts w:eastAsia="Arial"/>
          <w:color w:val="000000"/>
          <w:sz w:val="22"/>
          <w:szCs w:val="22"/>
        </w:rPr>
        <w:t>)</w:t>
      </w:r>
      <w:r w:rsidRPr="00233635">
        <w:rPr>
          <w:rFonts w:eastAsia="Arial"/>
          <w:b/>
          <w:color w:val="000000"/>
          <w:sz w:val="22"/>
          <w:szCs w:val="22"/>
        </w:rPr>
        <w:t xml:space="preserve"> </w:t>
      </w:r>
      <w:r w:rsidRPr="00233635">
        <w:rPr>
          <w:rFonts w:eastAsia="Arial"/>
          <w:color w:val="000000"/>
          <w:sz w:val="22"/>
          <w:szCs w:val="22"/>
        </w:rPr>
        <w:t>a QI SCD não poderá acatar qualquer ordem de movimentação da Conta Fiduciária sem a observância dos procedimentos previstos na Cláusula 3.2 acima.</w:t>
      </w:r>
    </w:p>
    <w:p w14:paraId="5943BDE7" w14:textId="77777777" w:rsidR="00493AD8" w:rsidRPr="00233635" w:rsidRDefault="00493AD8" w:rsidP="008A7A32">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0A5FBDAA"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5FBDEDA"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 Titular e o Credor, desde já, autorizam de forma irrevogável e irretratável, (i) que os Recursos depositados na Conta Fiduciária sejam utilizados para pagamento da Remuneração (conforme definição abaixo), e (</w:t>
      </w:r>
      <w:proofErr w:type="spellStart"/>
      <w:r w:rsidRPr="00233635">
        <w:rPr>
          <w:rFonts w:eastAsia="Arial"/>
          <w:color w:val="000000"/>
          <w:sz w:val="22"/>
          <w:szCs w:val="22"/>
        </w:rPr>
        <w:t>ii</w:t>
      </w:r>
      <w:proofErr w:type="spellEnd"/>
      <w:r w:rsidRPr="00233635">
        <w:rPr>
          <w:rFonts w:eastAsia="Arial"/>
          <w:color w:val="000000"/>
          <w:sz w:val="22"/>
          <w:szCs w:val="22"/>
        </w:rPr>
        <w:t>) a QI SCD a debitar da Conta Fiduciária todo e qualquer valor disponível até o limite dos valores cujo pagamento ou reembolso for devido em razão deste Instrumento.</w:t>
      </w:r>
    </w:p>
    <w:p w14:paraId="7AA11E98" w14:textId="77777777" w:rsidR="00BC6BE1" w:rsidRPr="00233635" w:rsidRDefault="00BC6BE1" w:rsidP="00233635">
      <w:pPr>
        <w:widowControl w:val="0"/>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121F9F6A" w14:textId="77777777" w:rsidR="00BC6BE1" w:rsidRPr="00233635" w:rsidRDefault="00D30263" w:rsidP="001F7D6D">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 QI SCD poderá debitar a Conta Fiduciária sempre que uma Remuneração for devida, nos termos da Cláusula 5, independentemente do recebimento de ordens dos Contratantes.</w:t>
      </w:r>
    </w:p>
    <w:p w14:paraId="62335217" w14:textId="77777777" w:rsidR="00BC6BE1" w:rsidRPr="00233635" w:rsidRDefault="00BC6BE1" w:rsidP="001C2A4A">
      <w:pPr>
        <w:widowControl w:val="0"/>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5E1191D" w14:textId="77777777" w:rsidR="00BC6BE1" w:rsidRPr="00233635" w:rsidRDefault="00D30263" w:rsidP="001F7D6D">
      <w:pPr>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subsequente, se a instrução for recebida após o referido horário, a contar do recebimento da respectiva ordem.</w:t>
      </w:r>
    </w:p>
    <w:p w14:paraId="078D68CC" w14:textId="77777777" w:rsidR="00BC6BE1" w:rsidRPr="00233635" w:rsidRDefault="00BC6BE1" w:rsidP="001C2A4A">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6FA05DE" w14:textId="77777777" w:rsidR="00BC6BE1" w:rsidRPr="008A7A32" w:rsidRDefault="00D30263" w:rsidP="001C2A4A">
      <w:pPr>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firstLine="0"/>
        <w:jc w:val="both"/>
        <w:rPr>
          <w:rFonts w:eastAsia="Arial"/>
          <w:color w:val="000000"/>
          <w:sz w:val="22"/>
          <w:szCs w:val="22"/>
        </w:rPr>
      </w:pPr>
      <w:r w:rsidRPr="00905591">
        <w:rPr>
          <w:rFonts w:eastAsia="Arial"/>
          <w:color w:val="000000"/>
          <w:sz w:val="22"/>
          <w:szCs w:val="22"/>
        </w:rPr>
        <w:t>No caso de transferências entre contas mantidas junto à QI SCD, as ordens poderão ser realizadas pelo Credor por meio da Plataforma QI até as 18 (dezoito) horas, ressalvada indisponibilidade da Plataforma QI por qualquer motivo.</w:t>
      </w:r>
    </w:p>
    <w:p w14:paraId="50BFF27C" w14:textId="77777777" w:rsidR="00BC6BE1" w:rsidRPr="00233635" w:rsidRDefault="00BC6BE1" w:rsidP="00233635">
      <w:p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p>
    <w:p w14:paraId="6EC65AE8"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As ordens de movimentação da Conta Fiduciária que não atendam aos critérios previstos neste Instrumento não serão acatadas pela QI SCD, sendo os Recursos, neste caso, mantidos na respectiva conta.</w:t>
      </w:r>
    </w:p>
    <w:p w14:paraId="4A9A6AA5"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0FA193B" w14:textId="77777777" w:rsidR="00BC6BE1" w:rsidRPr="00233635" w:rsidRDefault="00D30263" w:rsidP="00233635">
      <w:pPr>
        <w:widowControl w:val="0"/>
        <w:numPr>
          <w:ilvl w:val="1"/>
          <w:numId w:val="8"/>
        </w:numPr>
        <w:pBdr>
          <w:top w:val="nil"/>
          <w:left w:val="nil"/>
          <w:bottom w:val="nil"/>
          <w:right w:val="nil"/>
          <w:between w:val="nil"/>
        </w:pBdr>
        <w:tabs>
          <w:tab w:val="left" w:pos="0"/>
          <w:tab w:val="left" w:pos="709"/>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35A6A561"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552355E0" w14:textId="77777777" w:rsidR="00BC6BE1" w:rsidRPr="00233635" w:rsidRDefault="00D30263" w:rsidP="00233635">
      <w:pPr>
        <w:widowControl w:val="0"/>
        <w:numPr>
          <w:ilvl w:val="0"/>
          <w:numId w:val="8"/>
        </w:numPr>
        <w:pBdr>
          <w:top w:val="nil"/>
          <w:left w:val="nil"/>
          <w:bottom w:val="nil"/>
          <w:right w:val="nil"/>
          <w:between w:val="nil"/>
        </w:pBdr>
        <w:tabs>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color w:val="000000"/>
          <w:sz w:val="22"/>
          <w:szCs w:val="22"/>
        </w:rPr>
      </w:pPr>
      <w:r w:rsidRPr="00233635">
        <w:rPr>
          <w:rFonts w:eastAsia="Arial"/>
          <w:b/>
          <w:color w:val="000000"/>
          <w:sz w:val="22"/>
          <w:szCs w:val="22"/>
        </w:rPr>
        <w:t>OBRIGAÇÕES E RESPONSABILIDADES</w:t>
      </w:r>
    </w:p>
    <w:p w14:paraId="47A251D5" w14:textId="77777777" w:rsidR="00BC6BE1" w:rsidRPr="00233635" w:rsidRDefault="00BC6BE1" w:rsidP="00233635">
      <w:pPr>
        <w:widowControl w:val="0"/>
        <w:tabs>
          <w:tab w:val="left" w:pos="709"/>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92A41F4" w14:textId="77777777" w:rsidR="00BC6BE1" w:rsidRPr="00233635" w:rsidRDefault="00D30263" w:rsidP="00233635">
      <w:pPr>
        <w:widowControl w:val="0"/>
        <w:numPr>
          <w:ilvl w:val="1"/>
          <w:numId w:val="8"/>
        </w:numPr>
        <w:pBdr>
          <w:top w:val="nil"/>
          <w:left w:val="nil"/>
          <w:bottom w:val="nil"/>
          <w:right w:val="nil"/>
          <w:between w:val="nil"/>
        </w:pBd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bookmarkStart w:id="11" w:name="_heading=h.3dy6vkm" w:colFirst="0" w:colLast="0"/>
      <w:bookmarkEnd w:id="11"/>
      <w:r w:rsidRPr="00233635">
        <w:rPr>
          <w:rFonts w:eastAsia="Arial"/>
          <w:color w:val="000000"/>
          <w:sz w:val="22"/>
          <w:szCs w:val="22"/>
        </w:rPr>
        <w:t>Para cumprimento do disposto neste Instrumento, a QI SCD realizará as seguintes atividades:</w:t>
      </w:r>
    </w:p>
    <w:p w14:paraId="253104DC" w14:textId="77777777" w:rsidR="00BC6BE1" w:rsidRPr="00233635" w:rsidRDefault="00BC6BE1" w:rsidP="00233635">
      <w:pPr>
        <w:widowControl w:val="0"/>
        <w:tabs>
          <w:tab w:val="left" w:pos="709"/>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942FE1" w14:textId="77777777"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recebimento dos valores decorrentes dos Recursos o e administração dos recursos existentes na Conta Fiduciária, nos termos e condições previstos neste Instrumento;</w:t>
      </w:r>
    </w:p>
    <w:p w14:paraId="23FDC147" w14:textId="77777777" w:rsidR="00BC6BE1" w:rsidRPr="00233635" w:rsidRDefault="00BC6BE1" w:rsidP="00233635">
      <w:pPr>
        <w:widowControl w:val="0"/>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58EC81E8" w14:textId="77777777"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movimentação da Conta Fiduciária, conforme as regras estabelecidas neste Instrumento; e</w:t>
      </w:r>
    </w:p>
    <w:p w14:paraId="04407534" w14:textId="77777777" w:rsidR="00BC6BE1" w:rsidRPr="00233635" w:rsidRDefault="00BC6BE1" w:rsidP="00233635">
      <w:pPr>
        <w:pBdr>
          <w:top w:val="nil"/>
          <w:left w:val="nil"/>
          <w:bottom w:val="nil"/>
          <w:right w:val="nil"/>
          <w:between w:val="nil"/>
        </w:pBdr>
        <w:tabs>
          <w:tab w:val="left" w:pos="-4678"/>
          <w:tab w:val="left" w:pos="1701"/>
        </w:tabs>
        <w:spacing w:line="300" w:lineRule="auto"/>
        <w:ind w:left="851" w:hanging="720"/>
        <w:rPr>
          <w:rFonts w:eastAsia="Arial"/>
          <w:color w:val="000000"/>
          <w:sz w:val="22"/>
          <w:szCs w:val="22"/>
        </w:rPr>
      </w:pPr>
    </w:p>
    <w:p w14:paraId="37DD1027" w14:textId="77777777" w:rsidR="00BC6BE1" w:rsidRPr="00233635" w:rsidRDefault="00D30263" w:rsidP="00233635">
      <w:pPr>
        <w:widowControl w:val="0"/>
        <w:numPr>
          <w:ilvl w:val="0"/>
          <w:numId w:val="1"/>
        </w:numPr>
        <w:tabs>
          <w:tab w:val="left" w:pos="-4678"/>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2" w:name="_heading=h.1t3h5sf" w:colFirst="0" w:colLast="0"/>
      <w:bookmarkEnd w:id="12"/>
      <w:r w:rsidRPr="00233635">
        <w:rPr>
          <w:rFonts w:eastAsia="Arial"/>
          <w:color w:val="000000"/>
          <w:sz w:val="22"/>
          <w:szCs w:val="22"/>
        </w:rPr>
        <w:t xml:space="preserve">disponibilização dos extratos das Contas; </w:t>
      </w:r>
    </w:p>
    <w:p w14:paraId="36C16DDA"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5A01B30"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As Partes reconhecem como válida e legítima qualquer Ordem de Saque emitida nos termos da </w:t>
      </w:r>
      <w:r w:rsidRPr="00233635">
        <w:rPr>
          <w:rFonts w:eastAsia="Arial"/>
          <w:color w:val="000000"/>
          <w:sz w:val="22"/>
          <w:szCs w:val="22"/>
        </w:rPr>
        <w:t>Cláusula 3.2 acima, especialmente nos termos da alínea “</w:t>
      </w:r>
      <w:proofErr w:type="spellStart"/>
      <w:r w:rsidRPr="00233635">
        <w:rPr>
          <w:rFonts w:eastAsia="Arial"/>
          <w:color w:val="000000"/>
          <w:sz w:val="22"/>
          <w:szCs w:val="22"/>
        </w:rPr>
        <w:t>ii</w:t>
      </w:r>
      <w:proofErr w:type="spellEnd"/>
      <w:r w:rsidRPr="00233635">
        <w:rPr>
          <w:rFonts w:eastAsia="Arial"/>
          <w:color w:val="000000"/>
          <w:sz w:val="22"/>
          <w:szCs w:val="22"/>
        </w:rPr>
        <w:t>”, eximindo a QI SCD de qualquer reponsabilidade pela execução da referida Ordem de Saque.</w:t>
      </w:r>
    </w:p>
    <w:p w14:paraId="5A3FD5DB"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5DFC0F18"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29DBF213"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5E27B0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0C9670E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0275C142"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A83C010"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B6C23C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determinação judicial, caberá à QI SCD informar aos Contratantes o recebimento da respectiva notificação ou intimação, desde que não esteja obrigado a conservar sigilo.</w:t>
      </w:r>
    </w:p>
    <w:p w14:paraId="6EA51401"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4DFD6997"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0DC8B02F"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71BA4E2"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 QI SCD não terá qualquer responsabilidade pela manutenção ou eventual inexistência de Recursos na Conta Fiduciária ou pela insuficiência das garantias prestadas pelo Titular ao Credor.</w:t>
      </w:r>
    </w:p>
    <w:p w14:paraId="2A91599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252656B0"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3" w:name="_heading=h.4d34og8" w:colFirst="0" w:colLast="0"/>
      <w:bookmarkEnd w:id="13"/>
      <w:r w:rsidRPr="00233635">
        <w:rPr>
          <w:rFonts w:eastAsia="Arial"/>
          <w:sz w:val="22"/>
          <w:szCs w:val="22"/>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4AD862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6A3C0435"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Para cumprimento do disposto neste Instrumento, o Titular obriga-se a:</w:t>
      </w:r>
    </w:p>
    <w:p w14:paraId="1B7A629D"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4125D017" w14:textId="7587841C"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manter aberta a Conta Fiduciária, durante a vigência deste Instrumento; </w:t>
      </w:r>
      <w:r w:rsidR="00AE79EF" w:rsidRPr="00233635">
        <w:rPr>
          <w:rFonts w:eastAsia="Arial"/>
          <w:color w:val="000000"/>
          <w:sz w:val="22"/>
          <w:szCs w:val="22"/>
        </w:rPr>
        <w:t>e</w:t>
      </w:r>
    </w:p>
    <w:p w14:paraId="62ACDEE4"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CEFB72F" w14:textId="0A274708" w:rsidR="00BC6BE1" w:rsidRPr="00233635" w:rsidRDefault="00D30263" w:rsidP="00233635">
      <w:pPr>
        <w:widowControl w:val="0"/>
        <w:numPr>
          <w:ilvl w:val="0"/>
          <w:numId w:val="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responsabilizar-se pelo pagamento de quaisquer tributos e contribuições exigidos ou que vierem a ser exigidos em decorrência do cumprimento deste Instrumento e/ou da movimentação de Recursos na Conta Fiduciária, durante o prazo de vigência deste Instrumento; </w:t>
      </w:r>
    </w:p>
    <w:p w14:paraId="33533E32" w14:textId="77777777" w:rsidR="00BC6BE1" w:rsidRPr="00233635" w:rsidRDefault="00BC6BE1" w:rsidP="00233635">
      <w:pPr>
        <w:widowControl w:val="0"/>
        <w:pBdr>
          <w:top w:val="nil"/>
          <w:left w:val="nil"/>
          <w:bottom w:val="nil"/>
          <w:right w:val="nil"/>
          <w:between w:val="nil"/>
        </w:pBdr>
        <w:tabs>
          <w:tab w:val="left" w:pos="0"/>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hanging="708"/>
        <w:jc w:val="both"/>
        <w:rPr>
          <w:rFonts w:eastAsia="Arial"/>
          <w:color w:val="000000"/>
          <w:sz w:val="22"/>
          <w:szCs w:val="22"/>
        </w:rPr>
      </w:pPr>
    </w:p>
    <w:p w14:paraId="1B85DFE1" w14:textId="77777777" w:rsidR="00BC6BE1" w:rsidRPr="00233635" w:rsidRDefault="00D30263" w:rsidP="00233635">
      <w:pPr>
        <w:widowControl w:val="0"/>
        <w:numPr>
          <w:ilvl w:val="1"/>
          <w:numId w:val="8"/>
        </w:numPr>
        <w:tabs>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Sem prejuízo das demais obrigações previstas ao longo deste Instrumento, o Credor e o Titular, obrigam-se, individualmente, a:</w:t>
      </w:r>
    </w:p>
    <w:p w14:paraId="79EA7ACC" w14:textId="77777777" w:rsidR="00BC6BE1" w:rsidRPr="00233635" w:rsidRDefault="00BC6BE1" w:rsidP="00233635">
      <w:pPr>
        <w:widowControl w:val="0"/>
        <w:tabs>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375EFED"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efetuar cadastro para obtenção de acesso à Plataforma QI; </w:t>
      </w:r>
    </w:p>
    <w:p w14:paraId="4E822ED7" w14:textId="77777777" w:rsidR="00BC6BE1" w:rsidRPr="00233635" w:rsidRDefault="00BC6BE1" w:rsidP="00233635">
      <w:pPr>
        <w:widowControl w:val="0"/>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734BBC7A" w14:textId="1FDCAC3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utilizar a Plataforma QI em conformidade com este Instrumento; e</w:t>
      </w:r>
    </w:p>
    <w:p w14:paraId="3B8A946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4E6AEAAF" w14:textId="77777777" w:rsidR="00BC6BE1" w:rsidRPr="00233635" w:rsidRDefault="00D30263" w:rsidP="00233635">
      <w:pPr>
        <w:widowControl w:val="0"/>
        <w:numPr>
          <w:ilvl w:val="0"/>
          <w:numId w:val="14"/>
        </w:numPr>
        <w:pBdr>
          <w:top w:val="nil"/>
          <w:left w:val="nil"/>
          <w:bottom w:val="nil"/>
          <w:right w:val="nil"/>
          <w:between w:val="nil"/>
        </w:pBdr>
        <w:tabs>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4" w:name="_heading=h.2s8eyo1" w:colFirst="0" w:colLast="0"/>
      <w:bookmarkEnd w:id="14"/>
      <w:r w:rsidRPr="00233635">
        <w:rPr>
          <w:rFonts w:eastAsia="Arial"/>
          <w:color w:val="000000"/>
          <w:sz w:val="22"/>
          <w:szCs w:val="22"/>
        </w:rPr>
        <w:t>não fornecer suas respectivas senhas e logins de acesso a terceiros e adotar todas as providências necessárias de forma a manter a segurança das informações disponibilizadas por meio da Plataforma QI;</w:t>
      </w:r>
    </w:p>
    <w:p w14:paraId="76BA242C"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5E0A9BB3"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O Titular autoriza expressamente a QI SCD, de forma irrevogável e irretratável, a informar e disponibilizar os extratos da Conta Fiduciária ao Credor, bem como </w:t>
      </w:r>
      <w:r w:rsidRPr="00233635">
        <w:rPr>
          <w:rFonts w:eastAsia="Arial"/>
          <w:sz w:val="22"/>
          <w:szCs w:val="22"/>
        </w:rPr>
        <w:t xml:space="preserve">permitir o acesso </w:t>
      </w:r>
      <w:r w:rsidRPr="00233635">
        <w:rPr>
          <w:rFonts w:eastAsia="Arial"/>
          <w:color w:val="000000"/>
          <w:sz w:val="22"/>
          <w:szCs w:val="22"/>
        </w:rPr>
        <w:t xml:space="preserve">do Credor às informações da Conta Fiduciária por meio da Plataforma QI, </w:t>
      </w:r>
      <w:r w:rsidRPr="00233635">
        <w:rPr>
          <w:rFonts w:eastAsia="Arial"/>
          <w:sz w:val="22"/>
          <w:szCs w:val="22"/>
        </w:rPr>
        <w:t>exclusivamente para consulta da movimentação e Ordem de Saque dos Recursos da</w:t>
      </w:r>
      <w:r w:rsidRPr="00233635">
        <w:rPr>
          <w:rFonts w:eastAsia="Arial"/>
          <w:color w:val="000000"/>
          <w:sz w:val="22"/>
          <w:szCs w:val="22"/>
        </w:rPr>
        <w:t xml:space="preserve"> Conta Fiduciária, reconhecendo que estes procedimentos não constituem infração às regras que disciplinam o sigilo bancário, tendo em vista o escopo dos Serviços prestados de acordo com este Instrumento. </w:t>
      </w:r>
    </w:p>
    <w:p w14:paraId="58041BA3" w14:textId="77777777" w:rsidR="00BC6BE1" w:rsidRPr="00233635" w:rsidRDefault="00BC6BE1" w:rsidP="00233635">
      <w:pPr>
        <w:widowControl w:val="0"/>
        <w:tabs>
          <w:tab w:val="left" w:pos="0"/>
          <w:tab w:val="left" w:pos="709"/>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30A50E7D"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autoriza a QI SCD, de forma irrevogável e irretratável, a acatar as ordens de movimentação da Conta Fiduciária emitidas pelo Credor, de acordo com o disposto na Cláusula 3.2 e com os demais termos e condições deste Instrumento.</w:t>
      </w:r>
    </w:p>
    <w:p w14:paraId="472995D2"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21656CE9"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ordens de manutenção e transferência dos Recursos depositados na Conta Fiduciária.</w:t>
      </w:r>
    </w:p>
    <w:p w14:paraId="4B0FF565"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E45F9DC"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 xml:space="preserve">O Titular autoriza expressamente, de forma irrevogável e irretratável, o Credor, a qualquer tempo, a ceder e transferir os direitos e obrigações estabelecidas no presente Instrumento, sendo que, neste caso, o Titular se compromete a celebrar os aditamentos necessários para refletir tal cessão e transferência. </w:t>
      </w:r>
    </w:p>
    <w:p w14:paraId="1D8F426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BF3C00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O Titular não poderá ceder, alienar, transferir, vender, onerar, caucionar, empenhar e/ou por qualquer forma negociar os recursos existentes na Conta Fiduciária, sob nenhuma hipótese.</w:t>
      </w:r>
    </w:p>
    <w:p w14:paraId="711A1551"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10B0C9A7"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6934BDA5"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highlight w:val="yellow"/>
        </w:rPr>
      </w:pPr>
    </w:p>
    <w:p w14:paraId="275C42B4"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No caso de descumprimento das disposições contidas neste Instrumento, a Parte infratora deverá indenizar as Partes prejudicadas, bem como eventuais terceiros prejudicados, pelas perdas e danos comprovados sofridos em decorrência direta de tal fato.</w:t>
      </w:r>
    </w:p>
    <w:p w14:paraId="1977AC1D"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F129B45"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5" w:name="_heading=h.17dp8vu" w:colFirst="0" w:colLast="0"/>
      <w:bookmarkEnd w:id="15"/>
      <w:r w:rsidRPr="00233635">
        <w:rPr>
          <w:rFonts w:eastAsia="Arial"/>
          <w:b/>
          <w:color w:val="000000"/>
          <w:sz w:val="22"/>
          <w:szCs w:val="22"/>
        </w:rPr>
        <w:t>REMUNERAÇÃO</w:t>
      </w:r>
    </w:p>
    <w:p w14:paraId="27DB6B87"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7B8DC22" w14:textId="758F682E"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Em contraprestação aos serviços prestados nos termos deste Instrumento, a QI SCD fará jus a taxa de administração de R</w:t>
      </w:r>
      <w:r w:rsidR="006A3EB0" w:rsidRPr="00233635">
        <w:rPr>
          <w:rFonts w:eastAsia="Arial"/>
          <w:color w:val="000000"/>
          <w:sz w:val="22"/>
          <w:szCs w:val="22"/>
        </w:rPr>
        <w:t>$</w:t>
      </w:r>
      <w:r w:rsidR="00F764F9">
        <w:rPr>
          <w:rFonts w:eastAsia="Arial"/>
          <w:color w:val="000000"/>
          <w:sz w:val="22"/>
          <w:szCs w:val="22"/>
        </w:rPr>
        <w:t xml:space="preserve"> </w:t>
      </w:r>
      <w:r w:rsidR="006A3EB0">
        <w:rPr>
          <w:rFonts w:eastAsia="Arial"/>
          <w:sz w:val="22"/>
          <w:szCs w:val="22"/>
        </w:rPr>
        <w:t>550,00</w:t>
      </w:r>
      <w:r w:rsidR="00F764F9">
        <w:rPr>
          <w:rFonts w:eastAsia="Arial"/>
          <w:sz w:val="22"/>
          <w:szCs w:val="22"/>
        </w:rPr>
        <w:t xml:space="preserve"> </w:t>
      </w:r>
      <w:r w:rsidR="00F764F9" w:rsidRPr="00233635">
        <w:rPr>
          <w:rFonts w:eastAsia="Arial"/>
          <w:sz w:val="22"/>
          <w:szCs w:val="22"/>
        </w:rPr>
        <w:t>(</w:t>
      </w:r>
      <w:r w:rsidR="00F764F9">
        <w:rPr>
          <w:rFonts w:eastAsia="Arial"/>
          <w:sz w:val="22"/>
          <w:szCs w:val="22"/>
        </w:rPr>
        <w:t>quinhentos e cinquenta reais</w:t>
      </w:r>
      <w:r w:rsidR="00F764F9" w:rsidRPr="00233635">
        <w:rPr>
          <w:rFonts w:eastAsia="Arial"/>
          <w:sz w:val="22"/>
          <w:szCs w:val="22"/>
        </w:rPr>
        <w:t xml:space="preserve">) </w:t>
      </w:r>
      <w:r w:rsidRPr="00233635">
        <w:rPr>
          <w:rFonts w:eastAsia="Arial"/>
          <w:color w:val="000000"/>
          <w:sz w:val="22"/>
          <w:szCs w:val="22"/>
        </w:rPr>
        <w:t>por mês relativa à Conta Fiduciária (“</w:t>
      </w:r>
      <w:r w:rsidRPr="00233635">
        <w:rPr>
          <w:rFonts w:eastAsia="Arial"/>
          <w:color w:val="000000"/>
          <w:sz w:val="22"/>
          <w:szCs w:val="22"/>
          <w:u w:val="single"/>
        </w:rPr>
        <w:t>Taxa de Administração</w:t>
      </w:r>
      <w:r w:rsidRPr="00233635">
        <w:rPr>
          <w:rFonts w:eastAsia="Arial"/>
          <w:color w:val="000000"/>
          <w:sz w:val="22"/>
          <w:szCs w:val="22"/>
        </w:rPr>
        <w:t xml:space="preserve">”), sem prejuízo das tarifas por serviço, conforme tabela de tarifas disponível em </w:t>
      </w:r>
      <w:r w:rsidRPr="00455418">
        <w:rPr>
          <w:rFonts w:eastAsia="Arial"/>
          <w:color w:val="000000"/>
          <w:sz w:val="22"/>
          <w:szCs w:val="22"/>
        </w:rPr>
        <w:t>www</w:t>
      </w:r>
      <w:r w:rsidR="00F764F9" w:rsidRPr="00455418">
        <w:rPr>
          <w:rFonts w:eastAsia="Arial"/>
          <w:color w:val="000000"/>
          <w:sz w:val="22"/>
          <w:szCs w:val="22"/>
        </w:rPr>
        <w:t>qitech.</w:t>
      </w:r>
      <w:r w:rsidRPr="00455418">
        <w:rPr>
          <w:rFonts w:eastAsia="Arial"/>
          <w:color w:val="000000"/>
          <w:sz w:val="22"/>
          <w:szCs w:val="22"/>
        </w:rPr>
        <w:t>com.br</w:t>
      </w:r>
      <w:r w:rsidRPr="00233635">
        <w:rPr>
          <w:rFonts w:eastAsia="Arial"/>
          <w:color w:val="000000"/>
          <w:sz w:val="22"/>
          <w:szCs w:val="22"/>
        </w:rPr>
        <w:t xml:space="preserve"> (“</w:t>
      </w:r>
      <w:r w:rsidRPr="00233635">
        <w:rPr>
          <w:rFonts w:eastAsia="Arial"/>
          <w:color w:val="000000"/>
          <w:sz w:val="22"/>
          <w:szCs w:val="22"/>
          <w:u w:val="single"/>
        </w:rPr>
        <w:t>Tabela de Tarifas</w:t>
      </w:r>
      <w:r w:rsidRPr="00233635">
        <w:rPr>
          <w:rFonts w:eastAsia="Arial"/>
          <w:color w:val="000000"/>
          <w:sz w:val="22"/>
          <w:szCs w:val="22"/>
        </w:rPr>
        <w:t>”), a serem cobradas nas periodicidades lá descritas (“</w:t>
      </w:r>
      <w:r w:rsidRPr="00233635">
        <w:rPr>
          <w:rFonts w:eastAsia="Arial"/>
          <w:color w:val="000000"/>
          <w:sz w:val="22"/>
          <w:szCs w:val="22"/>
          <w:u w:val="single"/>
        </w:rPr>
        <w:t>Tarifas</w:t>
      </w:r>
      <w:r w:rsidRPr="00233635">
        <w:rPr>
          <w:rFonts w:eastAsia="Arial"/>
          <w:color w:val="000000"/>
          <w:sz w:val="22"/>
          <w:szCs w:val="22"/>
        </w:rPr>
        <w:t>” e em conjunto com a Taxa de Administração, “</w:t>
      </w:r>
      <w:r w:rsidRPr="00233635">
        <w:rPr>
          <w:rFonts w:eastAsia="Arial"/>
          <w:color w:val="000000"/>
          <w:sz w:val="22"/>
          <w:szCs w:val="22"/>
          <w:u w:val="single"/>
        </w:rPr>
        <w:t>Remuneração</w:t>
      </w:r>
      <w:r w:rsidRPr="00233635">
        <w:rPr>
          <w:rFonts w:eastAsia="Arial"/>
          <w:color w:val="000000"/>
          <w:sz w:val="22"/>
          <w:szCs w:val="22"/>
        </w:rPr>
        <w:t>”).</w:t>
      </w:r>
      <w:r w:rsidR="0094361F">
        <w:rPr>
          <w:rFonts w:eastAsia="Arial"/>
          <w:color w:val="000000"/>
          <w:sz w:val="22"/>
          <w:szCs w:val="22"/>
        </w:rPr>
        <w:t xml:space="preserve"> </w:t>
      </w:r>
    </w:p>
    <w:p w14:paraId="79E1BFC4"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6486C3FA"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21193EBD"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6088A83B" w14:textId="0F80FCEC"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Os Contratantes reconhecem expressamente que as Tarifas previstas na Tabela de Tarifas poderão ter seus valores atualizados, sem aviso prévio, os quais serão vinculantes mediante mera publicação dos novos valores no </w:t>
      </w:r>
      <w:r w:rsidRPr="00455418">
        <w:rPr>
          <w:rFonts w:eastAsia="Arial"/>
          <w:color w:val="000000"/>
          <w:sz w:val="22"/>
          <w:szCs w:val="22"/>
        </w:rPr>
        <w:t>www</w:t>
      </w:r>
      <w:r w:rsidR="00010134" w:rsidRPr="00455418">
        <w:rPr>
          <w:rFonts w:eastAsia="Arial"/>
          <w:color w:val="000000"/>
          <w:sz w:val="22"/>
          <w:szCs w:val="22"/>
        </w:rPr>
        <w:t>.qitech.</w:t>
      </w:r>
      <w:r w:rsidRPr="00455418">
        <w:rPr>
          <w:rFonts w:eastAsia="Arial"/>
          <w:color w:val="000000"/>
          <w:sz w:val="22"/>
          <w:szCs w:val="22"/>
        </w:rPr>
        <w:t>com.br</w:t>
      </w:r>
      <w:r w:rsidRPr="00233635">
        <w:rPr>
          <w:rFonts w:eastAsia="Arial"/>
          <w:color w:val="000000"/>
          <w:sz w:val="22"/>
          <w:szCs w:val="22"/>
        </w:rPr>
        <w:t xml:space="preserve"> pela QI SCD.</w:t>
      </w:r>
      <w:r w:rsidR="0094361F">
        <w:rPr>
          <w:rFonts w:eastAsia="Arial"/>
          <w:color w:val="000000"/>
          <w:sz w:val="22"/>
          <w:szCs w:val="22"/>
        </w:rPr>
        <w:t xml:space="preserve"> </w:t>
      </w:r>
    </w:p>
    <w:p w14:paraId="75AADBE3"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36C2885B" w14:textId="77777777"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color w:val="000000"/>
          <w:sz w:val="22"/>
          <w:szCs w:val="22"/>
        </w:rPr>
        <w:t xml:space="preserve">A Remuneração devida à QI SCD será debitada da Conta Fiduciária, ou, caso esta não apresente saldo suficiente, de outras contas de titularidade do Titular mantidas junto à QI SCD, sem prejuízo do disposto na Cláusula 5.2.1 abaixo. </w:t>
      </w:r>
    </w:p>
    <w:p w14:paraId="5FF5CC52"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73AC47A5"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33456753"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0899A1AA" w14:textId="500713C5"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 dedução dos valores devidos à QI SCD será feita mensalmente, no </w:t>
      </w:r>
      <w:r w:rsidR="00F41554" w:rsidRPr="00233635">
        <w:rPr>
          <w:rFonts w:eastAsia="Arial"/>
          <w:sz w:val="22"/>
          <w:szCs w:val="22"/>
        </w:rPr>
        <w:t>1</w:t>
      </w:r>
      <w:r w:rsidRPr="00233635">
        <w:rPr>
          <w:rFonts w:eastAsia="Arial"/>
          <w:sz w:val="22"/>
          <w:szCs w:val="22"/>
        </w:rPr>
        <w:t>º (</w:t>
      </w:r>
      <w:r w:rsidR="00F41554" w:rsidRPr="00233635">
        <w:rPr>
          <w:rFonts w:eastAsia="Arial"/>
          <w:sz w:val="22"/>
          <w:szCs w:val="22"/>
        </w:rPr>
        <w:t>primeiro</w:t>
      </w:r>
      <w:r w:rsidRPr="00233635">
        <w:rPr>
          <w:rFonts w:eastAsia="Arial"/>
          <w:sz w:val="22"/>
          <w:szCs w:val="22"/>
        </w:rPr>
        <w:t xml:space="preserve">) dia do mês ou no dia útil seguinte subsequente ao vencido, no caso da Taxa de Administração, e na periodicidade da respectiva Tarifa, conforme descrita na </w:t>
      </w:r>
      <w:r w:rsidRPr="00233635">
        <w:rPr>
          <w:rFonts w:eastAsia="Arial"/>
          <w:color w:val="000000"/>
          <w:sz w:val="22"/>
          <w:szCs w:val="22"/>
        </w:rPr>
        <w:t>Tabela de Tarifas</w:t>
      </w:r>
      <w:r w:rsidRPr="00233635">
        <w:rPr>
          <w:rFonts w:eastAsia="Arial"/>
          <w:sz w:val="22"/>
          <w:szCs w:val="22"/>
        </w:rPr>
        <w:t>, ou quando da ocorrência de qualquer outro evento que exija o pagamento da Tarifa por parte do Titular.</w:t>
      </w:r>
    </w:p>
    <w:p w14:paraId="08DBA751" w14:textId="77777777" w:rsidR="00BC6BE1" w:rsidRPr="00233635" w:rsidRDefault="00BC6BE1" w:rsidP="00233635">
      <w:pPr>
        <w:spacing w:line="300" w:lineRule="auto"/>
        <w:rPr>
          <w:rFonts w:eastAsia="Arial"/>
          <w:sz w:val="22"/>
          <w:szCs w:val="22"/>
        </w:rPr>
      </w:pPr>
    </w:p>
    <w:p w14:paraId="6DAE7683" w14:textId="01E70A8A"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Caso o Titular não venha a aportar recursos na Conta Fiduciária ou caso os recursos aportados não sejam suficientes para quitar o valor da Remuneração devida, então o Titular deverá paga</w:t>
      </w:r>
      <w:r w:rsidR="009E6F65">
        <w:rPr>
          <w:rFonts w:eastAsia="Arial"/>
          <w:sz w:val="22"/>
          <w:szCs w:val="22"/>
        </w:rPr>
        <w:t>r</w:t>
      </w:r>
      <w:r w:rsidRPr="00233635">
        <w:rPr>
          <w:rFonts w:eastAsia="Arial"/>
          <w:sz w:val="22"/>
          <w:szCs w:val="22"/>
        </w:rPr>
        <w:t xml:space="preserve"> à QI SCD na forma que vier a ser por esta indicada.</w:t>
      </w:r>
    </w:p>
    <w:p w14:paraId="5905603F" w14:textId="77777777" w:rsidR="00BC6BE1" w:rsidRPr="00233635" w:rsidRDefault="00BC6BE1" w:rsidP="00233635">
      <w:pPr>
        <w:pBdr>
          <w:top w:val="nil"/>
          <w:left w:val="nil"/>
          <w:bottom w:val="nil"/>
          <w:right w:val="nil"/>
          <w:between w:val="nil"/>
        </w:pBdr>
        <w:tabs>
          <w:tab w:val="left" w:pos="851"/>
        </w:tabs>
        <w:spacing w:line="300" w:lineRule="auto"/>
        <w:ind w:left="708" w:hanging="708"/>
        <w:rPr>
          <w:rFonts w:eastAsia="Arial"/>
          <w:color w:val="000000"/>
          <w:sz w:val="22"/>
          <w:szCs w:val="22"/>
        </w:rPr>
      </w:pPr>
    </w:p>
    <w:p w14:paraId="3E4A3704" w14:textId="29319CEC" w:rsidR="00BC6BE1" w:rsidRPr="00233635" w:rsidRDefault="00D30263" w:rsidP="00233635">
      <w:pPr>
        <w:widowControl w:val="0"/>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233635">
        <w:rPr>
          <w:rFonts w:eastAsia="Arial"/>
          <w:i/>
          <w:sz w:val="22"/>
          <w:szCs w:val="22"/>
        </w:rPr>
        <w:t>pro rata temporis</w:t>
      </w:r>
      <w:r w:rsidRPr="00233635">
        <w:rPr>
          <w:rFonts w:eastAsia="Arial"/>
          <w:sz w:val="22"/>
          <w:szCs w:val="22"/>
        </w:rPr>
        <w:t xml:space="preserve"> desde a data em que o pagamento era devido até o seu integral recebimento pela Parte credora; e (</w:t>
      </w:r>
      <w:proofErr w:type="spellStart"/>
      <w:r w:rsidRPr="00233635">
        <w:rPr>
          <w:rFonts w:eastAsia="Arial"/>
          <w:sz w:val="22"/>
          <w:szCs w:val="22"/>
        </w:rPr>
        <w:t>ii</w:t>
      </w:r>
      <w:proofErr w:type="spellEnd"/>
      <w:r w:rsidRPr="00233635">
        <w:rPr>
          <w:rFonts w:eastAsia="Arial"/>
          <w:sz w:val="22"/>
          <w:szCs w:val="22"/>
        </w:rPr>
        <w:t>) multa convencional, não compensatória, de 2% (dois por cento), calculada sobre o valor devido</w:t>
      </w:r>
      <w:r w:rsidR="002B33D7" w:rsidRPr="002B33D7">
        <w:rPr>
          <w:rFonts w:eastAsia="Arial"/>
          <w:sz w:val="22"/>
          <w:szCs w:val="22"/>
        </w:rPr>
        <w:t xml:space="preserve"> </w:t>
      </w:r>
      <w:r w:rsidR="002B33D7" w:rsidRPr="0006280F">
        <w:rPr>
          <w:rFonts w:eastAsia="Arial"/>
          <w:sz w:val="22"/>
          <w:szCs w:val="22"/>
        </w:rPr>
        <w:t>ou ainda, tais valores poderão ser cobrados do Credor</w:t>
      </w:r>
      <w:r w:rsidR="008E10E4">
        <w:rPr>
          <w:rFonts w:eastAsia="Arial"/>
          <w:sz w:val="22"/>
          <w:szCs w:val="22"/>
        </w:rPr>
        <w:t>, com recursos do patrimônio separado dos CRI</w:t>
      </w:r>
      <w:r w:rsidR="002B33D7" w:rsidRPr="0006280F">
        <w:rPr>
          <w:rFonts w:eastAsia="Arial"/>
          <w:sz w:val="22"/>
          <w:szCs w:val="22"/>
        </w:rPr>
        <w:t>, o qual se compromete a realizar o pagamento no prazo de 5 (cinco) dias da comunicação da QI SCD neste sentido</w:t>
      </w:r>
      <w:r w:rsidRPr="00233635">
        <w:rPr>
          <w:rFonts w:eastAsia="Arial"/>
          <w:sz w:val="22"/>
          <w:szCs w:val="22"/>
        </w:rPr>
        <w:t>.</w:t>
      </w:r>
    </w:p>
    <w:p w14:paraId="402D5E08"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bookmarkStart w:id="16" w:name="_heading=h.3rdcrjn" w:colFirst="0" w:colLast="0"/>
      <w:bookmarkEnd w:id="16"/>
    </w:p>
    <w:p w14:paraId="277D40FC"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VIGÊNCIA E RESCISÃO</w:t>
      </w:r>
    </w:p>
    <w:p w14:paraId="0B32C27D" w14:textId="77777777" w:rsidR="00BC6BE1" w:rsidRPr="00233635" w:rsidRDefault="00BC6BE1" w:rsidP="00233635">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031C6A79" w14:textId="6FC77732" w:rsidR="00A27407" w:rsidRPr="00233635" w:rsidRDefault="00A27407" w:rsidP="00A27407">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Este Instrumento entra em vigor na data de sua celebração, o qual permanecerá em pleno vigor e eficácia enquanto as obrigações </w:t>
      </w:r>
      <w:r>
        <w:rPr>
          <w:rFonts w:eastAsia="Arial"/>
          <w:sz w:val="22"/>
          <w:szCs w:val="22"/>
        </w:rPr>
        <w:t xml:space="preserve">garantidas pelos </w:t>
      </w:r>
      <w:r w:rsidRPr="00233635">
        <w:rPr>
          <w:rFonts w:eastAsia="Arial"/>
          <w:sz w:val="22"/>
          <w:szCs w:val="22"/>
        </w:rPr>
        <w:t>Créditos Cedidos não tiverem sido integralmente quitadas e/ou satisfeitas</w:t>
      </w:r>
      <w:r>
        <w:rPr>
          <w:rFonts w:eastAsia="Arial"/>
          <w:sz w:val="22"/>
          <w:szCs w:val="22"/>
        </w:rPr>
        <w:t>, conforme comunicação enviada nos termos da cláusula 6.2 abaixo</w:t>
      </w:r>
      <w:r w:rsidRPr="00233635">
        <w:rPr>
          <w:rFonts w:eastAsia="Arial"/>
          <w:sz w:val="22"/>
          <w:szCs w:val="22"/>
        </w:rPr>
        <w:t>.</w:t>
      </w:r>
    </w:p>
    <w:p w14:paraId="742D4898" w14:textId="77777777" w:rsidR="00A27407" w:rsidRPr="00233635" w:rsidRDefault="00A27407" w:rsidP="00A27407">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163FDC0E" w14:textId="4845A486" w:rsidR="00BC6BE1" w:rsidRDefault="00A27407" w:rsidP="00A27407">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Após o pagamento e satisfação integral </w:t>
      </w:r>
      <w:r>
        <w:rPr>
          <w:rFonts w:eastAsia="Arial"/>
          <w:sz w:val="22"/>
          <w:szCs w:val="22"/>
        </w:rPr>
        <w:t xml:space="preserve">das obrigações garantidas pelos </w:t>
      </w:r>
      <w:r w:rsidRPr="00233635">
        <w:rPr>
          <w:rFonts w:eastAsia="Arial"/>
          <w:sz w:val="22"/>
          <w:szCs w:val="22"/>
        </w:rPr>
        <w:t>Créditos Cedidos, deverá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r>
        <w:rPr>
          <w:rFonts w:eastAsia="Arial"/>
          <w:sz w:val="22"/>
          <w:szCs w:val="22"/>
        </w:rPr>
        <w:t>.</w:t>
      </w:r>
    </w:p>
    <w:p w14:paraId="1696CAE5" w14:textId="77777777" w:rsidR="00A27407" w:rsidRPr="00233635" w:rsidRDefault="00A27407" w:rsidP="00A27407">
      <w:pPr>
        <w:widowControl w:val="0"/>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2AE9CA3F"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bookmarkStart w:id="17" w:name="_heading=h.26in1rg" w:colFirst="0" w:colLast="0"/>
      <w:bookmarkEnd w:id="17"/>
      <w:r w:rsidRPr="00233635">
        <w:rPr>
          <w:rFonts w:eastAsia="Arial"/>
          <w:sz w:val="22"/>
          <w:szCs w:val="22"/>
        </w:rPr>
        <w:t>O presente Instrumento poderá ser resilido, a qualquer momento: (i) pelo Titular, desde que autorizado pelo Credor; (</w:t>
      </w:r>
      <w:proofErr w:type="spellStart"/>
      <w:r w:rsidRPr="00233635">
        <w:rPr>
          <w:rFonts w:eastAsia="Arial"/>
          <w:sz w:val="22"/>
          <w:szCs w:val="22"/>
        </w:rPr>
        <w:t>ii</w:t>
      </w:r>
      <w:proofErr w:type="spellEnd"/>
      <w:r w:rsidRPr="00233635">
        <w:rPr>
          <w:rFonts w:eastAsia="Arial"/>
          <w:sz w:val="22"/>
          <w:szCs w:val="22"/>
        </w:rPr>
        <w:t>) pelo Credor, isoladamente; ou (</w:t>
      </w:r>
      <w:proofErr w:type="spellStart"/>
      <w:r w:rsidRPr="00233635">
        <w:rPr>
          <w:rFonts w:eastAsia="Arial"/>
          <w:sz w:val="22"/>
          <w:szCs w:val="22"/>
        </w:rPr>
        <w:t>iii</w:t>
      </w:r>
      <w:proofErr w:type="spellEnd"/>
      <w:r w:rsidRPr="00233635">
        <w:rPr>
          <w:rFonts w:eastAsia="Arial"/>
          <w:sz w:val="22"/>
          <w:szCs w:val="22"/>
        </w:rPr>
        <w:t>) pela QI SCD, isoladamente,  sem quaisquer ônus,  mediante o envio de aviso prévio às demais Partes com antecedência de pelo menos 30 (trinta)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66009F76"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40F26422"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Se a resilição for de iniciativa da QI SCD, nos termos da Cláusula 6.3, caberá a ela </w:t>
      </w:r>
      <w:proofErr w:type="spellStart"/>
      <w:r w:rsidRPr="00233635">
        <w:rPr>
          <w:rFonts w:eastAsia="Arial"/>
          <w:color w:val="000000"/>
          <w:sz w:val="22"/>
          <w:szCs w:val="22"/>
        </w:rPr>
        <w:t>fornecer</w:t>
      </w:r>
      <w:proofErr w:type="spellEnd"/>
      <w:r w:rsidRPr="00233635">
        <w:rPr>
          <w:rFonts w:eastAsia="Arial"/>
          <w:color w:val="000000"/>
          <w:sz w:val="22"/>
          <w:szCs w:val="22"/>
        </w:rPr>
        <w:t xml:space="preserve"> os extratos da Conta Fiduciária e receber a importância a que eventualmente </w:t>
      </w:r>
      <w:proofErr w:type="spellStart"/>
      <w:r w:rsidRPr="00233635">
        <w:rPr>
          <w:rFonts w:eastAsia="Arial"/>
          <w:color w:val="000000"/>
          <w:sz w:val="22"/>
          <w:szCs w:val="22"/>
        </w:rPr>
        <w:t>fizer</w:t>
      </w:r>
      <w:proofErr w:type="spellEnd"/>
      <w:r w:rsidRPr="00233635">
        <w:rPr>
          <w:rFonts w:eastAsia="Arial"/>
          <w:color w:val="000000"/>
          <w:sz w:val="22"/>
          <w:szCs w:val="22"/>
        </w:rPr>
        <w:t xml:space="preserve"> jus.</w:t>
      </w:r>
    </w:p>
    <w:p w14:paraId="2DF84644"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color w:val="000000"/>
          <w:sz w:val="22"/>
          <w:szCs w:val="22"/>
        </w:rPr>
      </w:pPr>
    </w:p>
    <w:p w14:paraId="28AC7758"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Sendo dos Contratantes a iniciativa de resilir o Instrumento, serão devidos somente os valores em relação aos serviços das etapas já concluídas e que estejam, ainda, pendentes de pagamento.</w:t>
      </w:r>
    </w:p>
    <w:p w14:paraId="7B6B403C" w14:textId="77777777" w:rsidR="00BC6BE1" w:rsidRPr="00233635" w:rsidRDefault="00BC6BE1" w:rsidP="00233635">
      <w:pPr>
        <w:pBdr>
          <w:top w:val="nil"/>
          <w:left w:val="nil"/>
          <w:bottom w:val="nil"/>
          <w:right w:val="nil"/>
          <w:between w:val="nil"/>
        </w:pBd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720" w:hanging="708"/>
        <w:jc w:val="both"/>
        <w:rPr>
          <w:rFonts w:eastAsia="Arial"/>
          <w:color w:val="000000"/>
          <w:sz w:val="22"/>
          <w:szCs w:val="22"/>
        </w:rPr>
      </w:pPr>
      <w:bookmarkStart w:id="18" w:name="_heading=h.lnxbz9" w:colFirst="0" w:colLast="0"/>
      <w:bookmarkEnd w:id="18"/>
    </w:p>
    <w:p w14:paraId="5C8C32C2" w14:textId="32C5813F" w:rsidR="00BC6BE1" w:rsidRPr="00233635" w:rsidRDefault="00E86498"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Caso ocorra qualquer das hipóteses de rescisão/resilição prevista neste Instrumento e a QI SCD não tenha recepcionado notificação indicativa dispondo de forma distinta</w:t>
      </w:r>
      <w:r>
        <w:rPr>
          <w:rFonts w:eastAsia="Arial"/>
          <w:color w:val="000000"/>
          <w:sz w:val="22"/>
          <w:szCs w:val="22"/>
        </w:rPr>
        <w:t>, enviada exclusivamente pelo Credor</w:t>
      </w:r>
      <w:r w:rsidRPr="00233635">
        <w:rPr>
          <w:rFonts w:eastAsia="Arial"/>
          <w:color w:val="000000"/>
          <w:sz w:val="22"/>
          <w:szCs w:val="22"/>
        </w:rPr>
        <w:t>, os valores que eventualmente permaneçam na Conta Fiduciária serão transferidos conforme a Cláusula 3.2, sendo a Conta Fiduciária encerrada em seguida pela QI SCD</w:t>
      </w:r>
      <w:r w:rsidR="00D30263" w:rsidRPr="00233635">
        <w:rPr>
          <w:rFonts w:eastAsia="Arial"/>
          <w:color w:val="000000"/>
          <w:sz w:val="22"/>
          <w:szCs w:val="22"/>
        </w:rPr>
        <w:t>.</w:t>
      </w:r>
    </w:p>
    <w:p w14:paraId="09842B2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E780F25"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222222"/>
          <w:sz w:val="22"/>
          <w:szCs w:val="22"/>
          <w:highlight w:val="white"/>
        </w:rPr>
        <w:t>O disposto nesta Cláusula 6.3.3 acima se aplica, ainda, caso Recursos venham a ser recebidos na Conta Fiduciária após o término do prazo de 30 (trinta) dias estabelecido na cláusula 6.3 acima, hipótese em que os valores serão transferidos líquidos da Remuneração calculada </w:t>
      </w:r>
      <w:r w:rsidRPr="00233635">
        <w:rPr>
          <w:rFonts w:eastAsia="Arial"/>
          <w:i/>
          <w:color w:val="222222"/>
          <w:sz w:val="22"/>
          <w:szCs w:val="22"/>
          <w:highlight w:val="white"/>
        </w:rPr>
        <w:t>pro rata die </w:t>
      </w:r>
      <w:r w:rsidRPr="00233635">
        <w:rPr>
          <w:rFonts w:eastAsia="Arial"/>
          <w:color w:val="222222"/>
          <w:sz w:val="22"/>
          <w:szCs w:val="22"/>
          <w:highlight w:val="white"/>
        </w:rPr>
        <w:t>da data do término do prazo a que se refere a cláusula 6.3 até a data do encerramento da Conta Fiduciária.</w:t>
      </w:r>
    </w:p>
    <w:p w14:paraId="7CD30B8C" w14:textId="77777777" w:rsidR="00BC6BE1" w:rsidRPr="00233635" w:rsidRDefault="00BC6BE1" w:rsidP="00233635">
      <w:pPr>
        <w:spacing w:line="300" w:lineRule="auto"/>
        <w:jc w:val="both"/>
        <w:rPr>
          <w:rFonts w:eastAsia="Arial"/>
          <w:i/>
          <w:sz w:val="22"/>
          <w:szCs w:val="22"/>
        </w:rPr>
      </w:pPr>
    </w:p>
    <w:p w14:paraId="476EFE68"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 e d) se for concedida decisão judicial, mesmo que em caráter liminar, que verse sobre a proibição de práticas de quaisquer atos tendentes à execução das garantias constituídas e/ou sobre a liberação dos valores existente na Conta Fiduciária.</w:t>
      </w:r>
    </w:p>
    <w:p w14:paraId="0822C210" w14:textId="77777777" w:rsidR="00BC6BE1" w:rsidRPr="00233635" w:rsidRDefault="00BC6BE1" w:rsidP="00233635">
      <w:pPr>
        <w:spacing w:line="300" w:lineRule="auto"/>
        <w:jc w:val="both"/>
        <w:rPr>
          <w:rFonts w:eastAsia="Arial"/>
          <w:sz w:val="22"/>
          <w:szCs w:val="22"/>
        </w:rPr>
      </w:pPr>
    </w:p>
    <w:p w14:paraId="387B90F7"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Caso a referida decisão judicial proferida não disponha textualmente sobre a liberação dos Recursos:</w:t>
      </w:r>
    </w:p>
    <w:p w14:paraId="77753390" w14:textId="77777777" w:rsidR="00BC6BE1" w:rsidRPr="00233635" w:rsidRDefault="00BC6BE1" w:rsidP="00233635">
      <w:pPr>
        <w:spacing w:line="300" w:lineRule="auto"/>
        <w:ind w:left="567"/>
        <w:jc w:val="both"/>
        <w:rPr>
          <w:rFonts w:eastAsia="Arial"/>
          <w:sz w:val="22"/>
          <w:szCs w:val="22"/>
        </w:rPr>
      </w:pPr>
    </w:p>
    <w:p w14:paraId="6648015D" w14:textId="77777777"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deverá a Parte requerente solicitar ao juízo da causa que se manifeste sobre o assunto, ficando mantidas as obrigações de Remuneração na forma da Cláusula 5, até que o juiz determine a liberação dos Recursos existentes na Conta Fiduciária; e</w:t>
      </w:r>
    </w:p>
    <w:p w14:paraId="736935E8"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645FF6B" w14:textId="77777777" w:rsidR="00BC6BE1" w:rsidRPr="00233635" w:rsidRDefault="00D30263" w:rsidP="00233635">
      <w:pPr>
        <w:widowControl w:val="0"/>
        <w:numPr>
          <w:ilvl w:val="0"/>
          <w:numId w:val="13"/>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66646258" w14:textId="77777777" w:rsidR="00BC6BE1" w:rsidRPr="00233635" w:rsidRDefault="00BC6BE1" w:rsidP="00233635">
      <w:pPr>
        <w:pBdr>
          <w:top w:val="nil"/>
          <w:left w:val="nil"/>
          <w:bottom w:val="nil"/>
          <w:right w:val="nil"/>
          <w:between w:val="nil"/>
        </w:pBdr>
        <w:spacing w:line="300" w:lineRule="auto"/>
        <w:ind w:left="360" w:hanging="360"/>
        <w:jc w:val="both"/>
        <w:rPr>
          <w:rFonts w:eastAsia="Arial"/>
          <w:i/>
          <w:color w:val="000000"/>
          <w:sz w:val="22"/>
          <w:szCs w:val="22"/>
        </w:rPr>
      </w:pPr>
    </w:p>
    <w:p w14:paraId="341DA5D5" w14:textId="4E3573A1"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 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706FAA60"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06E82874" w14:textId="77777777" w:rsidR="00BC6BE1" w:rsidRPr="00233635" w:rsidRDefault="00D30263" w:rsidP="00233635">
      <w:pPr>
        <w:widowControl w:val="0"/>
        <w:numPr>
          <w:ilvl w:val="0"/>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b/>
          <w:color w:val="000000"/>
          <w:sz w:val="22"/>
          <w:szCs w:val="22"/>
        </w:rPr>
        <w:t>CONFIDENCIALIDADE</w:t>
      </w:r>
    </w:p>
    <w:p w14:paraId="13649C1F" w14:textId="77777777" w:rsidR="00BC6BE1" w:rsidRPr="00233635" w:rsidRDefault="00BC6BE1" w:rsidP="00233635">
      <w:pPr>
        <w:pStyle w:val="Ttulo4"/>
        <w:spacing w:line="300" w:lineRule="auto"/>
        <w:rPr>
          <w:rFonts w:eastAsia="Arial"/>
          <w:sz w:val="22"/>
          <w:szCs w:val="22"/>
        </w:rPr>
      </w:pPr>
    </w:p>
    <w:p w14:paraId="15C60AA9" w14:textId="25891302"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r w:rsidR="000F3D0A" w:rsidRPr="000F3D0A">
        <w:rPr>
          <w:rFonts w:eastAsia="Arial"/>
          <w:sz w:val="22"/>
          <w:szCs w:val="22"/>
        </w:rPr>
        <w:t xml:space="preserve"> </w:t>
      </w:r>
    </w:p>
    <w:p w14:paraId="6993AE1D"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618B7BA1" w14:textId="77777777" w:rsidR="00BC6BE1" w:rsidRPr="00233635" w:rsidRDefault="00D30263" w:rsidP="00233635">
      <w:pPr>
        <w:widowControl w:val="0"/>
        <w:numPr>
          <w:ilvl w:val="2"/>
          <w:numId w:val="8"/>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bookmarkStart w:id="19" w:name="_heading=h.35nkun2" w:colFirst="0" w:colLast="0"/>
      <w:bookmarkEnd w:id="19"/>
      <w:r w:rsidRPr="00233635">
        <w:rPr>
          <w:rFonts w:eastAsia="Arial"/>
          <w:color w:val="000000"/>
          <w:sz w:val="22"/>
          <w:szCs w:val="22"/>
        </w:rPr>
        <w:t xml:space="preserve"> Excluem-se deste Instrumento as informações:</w:t>
      </w:r>
    </w:p>
    <w:p w14:paraId="3F12BB4F"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4CA8AE26" w14:textId="16AB04BA" w:rsidR="00BC6BE1" w:rsidRPr="00233635"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552"/>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de domínio público; </w:t>
      </w:r>
    </w:p>
    <w:p w14:paraId="7E2DC995" w14:textId="77777777" w:rsidR="00BC6BE1" w:rsidRPr="00233635" w:rsidRDefault="00BC6BE1" w:rsidP="00233635">
      <w:pPr>
        <w:widowControl w:val="0"/>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hanging="708"/>
        <w:jc w:val="both"/>
        <w:rPr>
          <w:rFonts w:eastAsia="Arial"/>
          <w:color w:val="000000"/>
          <w:sz w:val="22"/>
          <w:szCs w:val="22"/>
        </w:rPr>
      </w:pPr>
    </w:p>
    <w:p w14:paraId="29AF85A4" w14:textId="77777777" w:rsidR="000F3D0A" w:rsidRDefault="00D30263"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que já eram do conhecimento da Parte receptora</w:t>
      </w:r>
      <w:r w:rsidR="000F3D0A">
        <w:rPr>
          <w:rFonts w:eastAsia="Arial"/>
          <w:color w:val="000000"/>
          <w:sz w:val="22"/>
          <w:szCs w:val="22"/>
        </w:rPr>
        <w:t>; e</w:t>
      </w:r>
    </w:p>
    <w:p w14:paraId="4DA6B32D" w14:textId="77777777" w:rsidR="000F3D0A" w:rsidRDefault="000F3D0A" w:rsidP="001C2A4A">
      <w:pPr>
        <w:pStyle w:val="PargrafodaLista"/>
        <w:rPr>
          <w:rFonts w:eastAsia="Arial"/>
          <w:color w:val="000000"/>
          <w:sz w:val="22"/>
          <w:szCs w:val="22"/>
        </w:rPr>
      </w:pPr>
    </w:p>
    <w:p w14:paraId="3D9B5AE8" w14:textId="39E1149C" w:rsidR="00BC6BE1" w:rsidRPr="00233635" w:rsidRDefault="00D905DE" w:rsidP="00233635">
      <w:pPr>
        <w:widowControl w:val="0"/>
        <w:numPr>
          <w:ilvl w:val="0"/>
          <w:numId w:val="10"/>
        </w:numPr>
        <w:pBdr>
          <w:top w:val="nil"/>
          <w:left w:val="nil"/>
          <w:bottom w:val="nil"/>
          <w:right w:val="nil"/>
          <w:between w:val="nil"/>
        </w:pBdr>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Pr>
          <w:sz w:val="22"/>
          <w:szCs w:val="22"/>
        </w:rPr>
        <w:t xml:space="preserve">caso a Emissora </w:t>
      </w:r>
      <w:r w:rsidR="001F7D6D">
        <w:rPr>
          <w:sz w:val="22"/>
          <w:szCs w:val="22"/>
        </w:rPr>
        <w:t>realize</w:t>
      </w:r>
      <w:r>
        <w:rPr>
          <w:sz w:val="22"/>
          <w:szCs w:val="22"/>
        </w:rPr>
        <w:t xml:space="preserve"> nova captação de recursos mediante emissão de notas comerciais escriturais de sua 2ª (segunda) emissão, a serem subscritas e integralizados por companhia securitizadora a ser oportunamente definida e vinculados como lastro para emissão de certificados de recebíveis imobiliários (“</w:t>
      </w:r>
      <w:r w:rsidRPr="00F478D6">
        <w:rPr>
          <w:sz w:val="22"/>
          <w:szCs w:val="22"/>
          <w:u w:val="single"/>
        </w:rPr>
        <w:t xml:space="preserve">CRI </w:t>
      </w:r>
      <w:r w:rsidRPr="00F478D6">
        <w:rPr>
          <w:bCs/>
          <w:sz w:val="22"/>
          <w:szCs w:val="22"/>
          <w:u w:val="single"/>
        </w:rPr>
        <w:t>Welt Energia</w:t>
      </w:r>
      <w:r>
        <w:rPr>
          <w:sz w:val="22"/>
          <w:szCs w:val="22"/>
        </w:rPr>
        <w:t>”), a</w:t>
      </w:r>
      <w:r w:rsidR="00A053E4">
        <w:rPr>
          <w:rFonts w:eastAsia="Arial"/>
          <w:color w:val="000000"/>
          <w:sz w:val="22"/>
          <w:szCs w:val="22"/>
        </w:rPr>
        <w:t xml:space="preserve">s informações compartilhadas na estruturação de oferta </w:t>
      </w:r>
      <w:r w:rsidR="00B57CD5">
        <w:rPr>
          <w:rFonts w:eastAsia="Arial"/>
          <w:color w:val="000000"/>
          <w:sz w:val="22"/>
          <w:szCs w:val="22"/>
        </w:rPr>
        <w:t>p</w:t>
      </w:r>
      <w:r>
        <w:rPr>
          <w:rFonts w:eastAsia="Arial"/>
          <w:color w:val="000000"/>
          <w:sz w:val="22"/>
          <w:szCs w:val="22"/>
        </w:rPr>
        <w:t>ú</w:t>
      </w:r>
      <w:r w:rsidR="00B57CD5">
        <w:rPr>
          <w:rFonts w:eastAsia="Arial"/>
          <w:color w:val="000000"/>
          <w:sz w:val="22"/>
          <w:szCs w:val="22"/>
        </w:rPr>
        <w:t>blica</w:t>
      </w:r>
      <w:r w:rsidR="001F7D6D">
        <w:rPr>
          <w:rFonts w:eastAsia="Arial"/>
          <w:color w:val="000000"/>
          <w:sz w:val="22"/>
          <w:szCs w:val="22"/>
        </w:rPr>
        <w:t xml:space="preserve"> dos CRI Welt Energia</w:t>
      </w:r>
      <w:r w:rsidR="00B57CD5">
        <w:rPr>
          <w:rFonts w:eastAsia="Arial"/>
          <w:color w:val="000000"/>
          <w:sz w:val="22"/>
          <w:szCs w:val="22"/>
        </w:rPr>
        <w:t>, com esforços restritos de colocação</w:t>
      </w:r>
      <w:r w:rsidR="00F82214">
        <w:rPr>
          <w:rFonts w:eastAsia="Arial"/>
          <w:color w:val="000000"/>
          <w:sz w:val="22"/>
          <w:szCs w:val="22"/>
        </w:rPr>
        <w:t xml:space="preserve"> na forma da </w:t>
      </w:r>
      <w:r w:rsidR="00FB70CB">
        <w:rPr>
          <w:rFonts w:eastAsia="Arial"/>
          <w:color w:val="000000"/>
          <w:sz w:val="22"/>
          <w:szCs w:val="22"/>
        </w:rPr>
        <w:t xml:space="preserve">Instrução da Comissão de Valores Mobiliários nº 476 de </w:t>
      </w:r>
      <w:r w:rsidR="005A34D2">
        <w:rPr>
          <w:rFonts w:eastAsia="Arial"/>
          <w:color w:val="000000"/>
          <w:sz w:val="22"/>
          <w:szCs w:val="22"/>
        </w:rPr>
        <w:t>16 de janeiro de 2009</w:t>
      </w:r>
      <w:r w:rsidR="00D30263" w:rsidRPr="00233635">
        <w:rPr>
          <w:rFonts w:eastAsia="Arial"/>
          <w:color w:val="000000"/>
          <w:sz w:val="22"/>
          <w:szCs w:val="22"/>
        </w:rPr>
        <w:t>.</w:t>
      </w:r>
    </w:p>
    <w:p w14:paraId="0BFB40D7" w14:textId="77777777" w:rsidR="00BC6BE1" w:rsidRPr="00233635" w:rsidRDefault="00BC6BE1" w:rsidP="00233635">
      <w:p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bookmarkStart w:id="20" w:name="_heading=h.1ksv4uv" w:colFirst="0" w:colLast="0"/>
      <w:bookmarkEnd w:id="20"/>
    </w:p>
    <w:p w14:paraId="40F32151" w14:textId="77777777" w:rsidR="00BC6BE1" w:rsidRPr="00233635" w:rsidRDefault="00D30263" w:rsidP="00233635">
      <w:pPr>
        <w:numPr>
          <w:ilvl w:val="1"/>
          <w:numId w:val="8"/>
        </w:numPr>
        <w:tabs>
          <w:tab w:val="left" w:pos="0"/>
          <w:tab w:val="left" w:pos="851"/>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4A51F685"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456B1AD7" w14:textId="77777777" w:rsidR="00BC6BE1" w:rsidRPr="00233635" w:rsidRDefault="00D30263" w:rsidP="00233635">
      <w:pPr>
        <w:widowControl w:val="0"/>
        <w:numPr>
          <w:ilvl w:val="0"/>
          <w:numId w:val="8"/>
        </w:numP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pacing w:line="300" w:lineRule="auto"/>
        <w:ind w:left="0" w:firstLine="0"/>
        <w:jc w:val="both"/>
        <w:rPr>
          <w:rFonts w:eastAsia="Arial"/>
          <w:sz w:val="22"/>
          <w:szCs w:val="22"/>
        </w:rPr>
      </w:pPr>
      <w:r w:rsidRPr="00233635">
        <w:rPr>
          <w:rFonts w:eastAsia="Arial"/>
          <w:b/>
          <w:color w:val="000000"/>
          <w:sz w:val="22"/>
          <w:szCs w:val="22"/>
        </w:rPr>
        <w:t>DECLARAÇÕES</w:t>
      </w:r>
    </w:p>
    <w:p w14:paraId="38F191BB" w14:textId="77777777" w:rsidR="00BC6BE1" w:rsidRPr="00233635" w:rsidRDefault="00BC6BE1" w:rsidP="00233635">
      <w:pPr>
        <w:widowControl w:val="0"/>
        <w:tabs>
          <w:tab w:val="left" w:pos="0"/>
          <w:tab w:val="left" w:pos="709"/>
          <w:tab w:val="left" w:pos="2880"/>
          <w:tab w:val="left" w:pos="3600"/>
          <w:tab w:val="left" w:pos="4320"/>
          <w:tab w:val="left" w:pos="5040"/>
          <w:tab w:val="left" w:pos="5760"/>
          <w:tab w:val="left" w:pos="6480"/>
          <w:tab w:val="left" w:pos="7200"/>
          <w:tab w:val="left" w:pos="7920"/>
          <w:tab w:val="left" w:pos="8640"/>
        </w:tabs>
        <w:spacing w:line="300" w:lineRule="auto"/>
        <w:ind w:left="1080"/>
        <w:jc w:val="both"/>
        <w:rPr>
          <w:rFonts w:eastAsia="Arial"/>
          <w:color w:val="000000"/>
          <w:sz w:val="22"/>
          <w:szCs w:val="22"/>
        </w:rPr>
      </w:pPr>
    </w:p>
    <w:p w14:paraId="267094CB" w14:textId="77777777" w:rsidR="00BC6BE1" w:rsidRPr="00233635" w:rsidRDefault="00D30263" w:rsidP="00233635">
      <w:pPr>
        <w:widowControl w:val="0"/>
        <w:numPr>
          <w:ilvl w:val="1"/>
          <w:numId w:val="8"/>
        </w:numPr>
        <w:tabs>
          <w:tab w:val="left" w:pos="0"/>
          <w:tab w:val="left" w:pos="851"/>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color w:val="000000"/>
          <w:sz w:val="22"/>
          <w:szCs w:val="22"/>
        </w:rPr>
      </w:pPr>
      <w:r w:rsidRPr="00233635">
        <w:rPr>
          <w:rFonts w:eastAsia="Arial"/>
          <w:color w:val="000000"/>
          <w:sz w:val="22"/>
          <w:szCs w:val="22"/>
        </w:rPr>
        <w:t>Os Contratantes declaram e garantem, individualmente e conforme aplicável, que:</w:t>
      </w:r>
    </w:p>
    <w:p w14:paraId="4808EBC3"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194984A3"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são sociedades devidamente constituídas e validamente existentes de acordo com as leis brasileiras, possuindo capacidade e legitimidade para celebrar este Instrumento;</w:t>
      </w:r>
    </w:p>
    <w:p w14:paraId="3472312A" w14:textId="77777777" w:rsidR="00BC6BE1" w:rsidRPr="00233635" w:rsidRDefault="00BC6BE1" w:rsidP="00233635">
      <w:pPr>
        <w:widowControl w:val="0"/>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jc w:val="both"/>
        <w:rPr>
          <w:rFonts w:eastAsia="Arial"/>
          <w:color w:val="000000"/>
          <w:sz w:val="22"/>
          <w:szCs w:val="22"/>
        </w:rPr>
      </w:pPr>
    </w:p>
    <w:p w14:paraId="1BD4EAD5" w14:textId="77777777" w:rsidR="00BC6BE1" w:rsidRPr="00233635" w:rsidRDefault="00D30263" w:rsidP="00233635">
      <w:pPr>
        <w:widowControl w:val="0"/>
        <w:numPr>
          <w:ilvl w:val="0"/>
          <w:numId w:val="3"/>
        </w:numPr>
        <w:tabs>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241A74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3BBBF81C"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se utilizam e nunca se utilizaram de trabalho escravo ou infantil;</w:t>
      </w:r>
    </w:p>
    <w:p w14:paraId="352A1A6C"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2B446951"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sz w:val="22"/>
          <w:szCs w:val="22"/>
        </w:rPr>
      </w:pPr>
      <w:r w:rsidRPr="00233635">
        <w:rPr>
          <w:rFonts w:eastAsia="Arial"/>
          <w:sz w:val="22"/>
          <w:szCs w:val="22"/>
        </w:rPr>
        <w:t>cumprem integralmente a legislação e regulamentação ambiental aplicável;</w:t>
      </w:r>
    </w:p>
    <w:p w14:paraId="7A891839"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8732DB4"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possuem todas as licenças exigidas pelas autoridades federais, estaduais e municipais para o exercício de suas atividades;</w:t>
      </w:r>
    </w:p>
    <w:p w14:paraId="75AD3AE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1BA0BD6"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 xml:space="preserve">cumprem integralmente a legislação trabalhista, principalmente as normas relativas à saúde e à segurança ocupacional e à inexistência de trabalho análogo ao escravo ou infantil; e </w:t>
      </w:r>
    </w:p>
    <w:p w14:paraId="2964C8B7"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A74E242" w14:textId="77777777" w:rsidR="00BC6BE1" w:rsidRPr="00233635" w:rsidRDefault="00D30263" w:rsidP="00233635">
      <w:pPr>
        <w:widowControl w:val="0"/>
        <w:numPr>
          <w:ilvl w:val="0"/>
          <w:numId w:val="3"/>
        </w:numPr>
        <w:tabs>
          <w:tab w:val="left" w:pos="709"/>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não exploram ou tiram proveito criminoso da prostituição.</w:t>
      </w:r>
    </w:p>
    <w:p w14:paraId="7E7B9CDB"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673D828E" w14:textId="5F73CF81" w:rsidR="00BC6BE1" w:rsidRPr="00233635" w:rsidRDefault="00D30263" w:rsidP="00233635">
      <w:pPr>
        <w:widowControl w:val="0"/>
        <w:numPr>
          <w:ilvl w:val="1"/>
          <w:numId w:val="8"/>
        </w:numPr>
        <w:tabs>
          <w:tab w:val="left" w:pos="0"/>
          <w:tab w:val="left" w:pos="709"/>
          <w:tab w:val="left" w:pos="2160"/>
          <w:tab w:val="left" w:pos="288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 xml:space="preserve">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w:t>
      </w:r>
      <w:r w:rsidR="00A10E74" w:rsidRPr="00233635">
        <w:rPr>
          <w:rFonts w:eastAsia="Arial"/>
          <w:sz w:val="22"/>
          <w:szCs w:val="22"/>
        </w:rPr>
        <w:t>histórico-cultural</w:t>
      </w:r>
      <w:r w:rsidRPr="00233635">
        <w:rPr>
          <w:rFonts w:eastAsia="Arial"/>
          <w:sz w:val="22"/>
          <w:szCs w:val="22"/>
        </w:rPr>
        <w:t xml:space="preserve"> e administração ambiental, as quais o Titular e o Credor se obrigam a cumprir.</w:t>
      </w:r>
    </w:p>
    <w:p w14:paraId="3DC66B4F" w14:textId="77777777" w:rsidR="00BC6BE1" w:rsidRPr="00233635" w:rsidRDefault="00BC6BE1" w:rsidP="00233635">
      <w:pPr>
        <w:widowControl w:val="0"/>
        <w:tabs>
          <w:tab w:val="left" w:pos="709"/>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p>
    <w:p w14:paraId="000F9ADB" w14:textId="77777777" w:rsidR="00BC6BE1" w:rsidRPr="00233635" w:rsidRDefault="00D30263" w:rsidP="00233635">
      <w:pPr>
        <w:widowControl w:val="0"/>
        <w:numPr>
          <w:ilvl w:val="2"/>
          <w:numId w:val="8"/>
        </w:numPr>
        <w:pBdr>
          <w:top w:val="nil"/>
          <w:left w:val="nil"/>
          <w:bottom w:val="nil"/>
          <w:right w:val="nil"/>
          <w:between w:val="nil"/>
        </w:pBdr>
        <w:tabs>
          <w:tab w:val="left" w:pos="851"/>
          <w:tab w:val="left" w:pos="170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851" w:firstLine="0"/>
        <w:jc w:val="both"/>
        <w:rPr>
          <w:rFonts w:eastAsia="Arial"/>
          <w:color w:val="000000"/>
          <w:sz w:val="22"/>
          <w:szCs w:val="22"/>
        </w:rPr>
      </w:pPr>
      <w:r w:rsidRPr="00233635">
        <w:rPr>
          <w:rFonts w:eastAsia="Arial"/>
          <w:color w:val="000000"/>
          <w:sz w:val="22"/>
          <w:szCs w:val="22"/>
        </w:rPr>
        <w:t>Os Contratantes se obrigam, ainda, a (i) monitorar suas respectivas atividades de forma a identificar e mitigar impactos ambientais não antevistos no momento da assinatura deste Instrumento; e (</w:t>
      </w:r>
      <w:proofErr w:type="spellStart"/>
      <w:r w:rsidRPr="00233635">
        <w:rPr>
          <w:rFonts w:eastAsia="Arial"/>
          <w:color w:val="000000"/>
          <w:sz w:val="22"/>
          <w:szCs w:val="22"/>
        </w:rPr>
        <w:t>ii</w:t>
      </w:r>
      <w:proofErr w:type="spellEnd"/>
      <w:r w:rsidRPr="00233635">
        <w:rPr>
          <w:rFonts w:eastAsia="Arial"/>
          <w:color w:val="000000"/>
          <w:sz w:val="22"/>
          <w:szCs w:val="22"/>
        </w:rPr>
        <w:t>)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71B47F46"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48397B8" w14:textId="77777777" w:rsidR="00BC6BE1" w:rsidRPr="00233635" w:rsidRDefault="00D30263" w:rsidP="00233635">
      <w:pPr>
        <w:widowControl w:val="0"/>
        <w:numPr>
          <w:ilvl w:val="1"/>
          <w:numId w:val="8"/>
        </w:numPr>
        <w:tabs>
          <w:tab w:val="left" w:pos="851"/>
          <w:tab w:val="left" w:pos="2160"/>
          <w:tab w:val="left" w:pos="2880"/>
          <w:tab w:val="left" w:pos="3600"/>
          <w:tab w:val="left" w:pos="4320"/>
          <w:tab w:val="left" w:pos="5040"/>
          <w:tab w:val="left" w:pos="5760"/>
          <w:tab w:val="left" w:pos="6480"/>
          <w:tab w:val="left" w:pos="7200"/>
          <w:tab w:val="left" w:pos="7920"/>
          <w:tab w:val="left" w:pos="8640"/>
        </w:tabs>
        <w:spacing w:line="300" w:lineRule="auto"/>
        <w:ind w:left="0" w:firstLine="0"/>
        <w:jc w:val="both"/>
        <w:rPr>
          <w:rFonts w:eastAsia="Arial"/>
          <w:sz w:val="22"/>
          <w:szCs w:val="22"/>
        </w:rPr>
      </w:pPr>
      <w:r w:rsidRPr="00233635">
        <w:rPr>
          <w:rFonts w:eastAsia="Arial"/>
          <w:sz w:val="22"/>
          <w:szCs w:val="22"/>
        </w:rPr>
        <w:t>Adicionalmente, os Contratantes declaram e garantem, em relação a si próprios e a seus administradores, diretores, funcionários e agentes, bem como seus sócios, controladores e sociedades controladas e coligadas, conforme aplicável, que:</w:t>
      </w:r>
    </w:p>
    <w:p w14:paraId="376035B3"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00F8F54A" w14:textId="77777777" w:rsidR="00BC6BE1" w:rsidRPr="00233635" w:rsidRDefault="00D30263" w:rsidP="00233635">
      <w:pPr>
        <w:numPr>
          <w:ilvl w:val="0"/>
          <w:numId w:val="9"/>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 xml:space="preserve">observam e cumprem as normas relativas a atos de corrupção em geral, nacionais e estrangeiras, incluindo, mas não se limitando aos previstos pelo Decreto-Lei n.º 2.848/1940, pela Lei nº 12.846/2013, pelo </w:t>
      </w:r>
      <w:r w:rsidRPr="00233635">
        <w:rPr>
          <w:rFonts w:eastAsia="Arial"/>
          <w:i/>
          <w:color w:val="000000"/>
          <w:sz w:val="22"/>
          <w:szCs w:val="22"/>
        </w:rPr>
        <w:t>US Foreign Corrupt Practices Act</w:t>
      </w:r>
      <w:r w:rsidRPr="00233635">
        <w:rPr>
          <w:rFonts w:eastAsia="Arial"/>
          <w:color w:val="000000"/>
          <w:sz w:val="22"/>
          <w:szCs w:val="22"/>
        </w:rPr>
        <w:t xml:space="preserve"> (FCPA) e pelo </w:t>
      </w:r>
      <w:r w:rsidRPr="00233635">
        <w:rPr>
          <w:rFonts w:eastAsia="Arial"/>
          <w:i/>
          <w:color w:val="000000"/>
          <w:sz w:val="22"/>
          <w:szCs w:val="22"/>
        </w:rPr>
        <w:t>UK Bribery Act</w:t>
      </w:r>
      <w:r w:rsidRPr="00233635">
        <w:rPr>
          <w:rFonts w:eastAsia="Arial"/>
          <w:color w:val="000000"/>
          <w:sz w:val="22"/>
          <w:szCs w:val="22"/>
        </w:rPr>
        <w:t>, conforme aplicáveis (“</w:t>
      </w:r>
      <w:r w:rsidRPr="00233635">
        <w:rPr>
          <w:rFonts w:eastAsia="Arial"/>
          <w:color w:val="000000"/>
          <w:sz w:val="22"/>
          <w:szCs w:val="22"/>
          <w:u w:val="single"/>
        </w:rPr>
        <w:t>Regras Anticorrupção</w:t>
      </w:r>
      <w:r w:rsidRPr="00233635">
        <w:rPr>
          <w:rFonts w:eastAsia="Arial"/>
          <w:color w:val="000000"/>
          <w:sz w:val="22"/>
          <w:szCs w:val="22"/>
        </w:rPr>
        <w:t>”), comprometendo-se a não praticar qualquer ato que constitua violação a qualquer das Regras Anticorrupção;</w:t>
      </w:r>
    </w:p>
    <w:p w14:paraId="69E6C284" w14:textId="77777777" w:rsidR="00BC6BE1" w:rsidRPr="00233635" w:rsidRDefault="00BC6BE1" w:rsidP="00233635">
      <w:pPr>
        <w:pBdr>
          <w:top w:val="nil"/>
          <w:left w:val="nil"/>
          <w:bottom w:val="nil"/>
          <w:right w:val="nil"/>
          <w:between w:val="nil"/>
        </w:pBdr>
        <w:tabs>
          <w:tab w:val="left" w:pos="1701"/>
        </w:tabs>
        <w:spacing w:line="300" w:lineRule="auto"/>
        <w:ind w:left="851" w:hanging="720"/>
        <w:jc w:val="both"/>
        <w:rPr>
          <w:rFonts w:eastAsia="Arial"/>
          <w:color w:val="000000"/>
          <w:sz w:val="22"/>
          <w:szCs w:val="22"/>
        </w:rPr>
      </w:pPr>
    </w:p>
    <w:p w14:paraId="54C1295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conduzem e continuarão conduzindo, durante a vigência deste Instrumento, suas práticas comerciais de forma ética e em conformidade com os preceitos legais aplicáveis;</w:t>
      </w:r>
    </w:p>
    <w:p w14:paraId="115C607A"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FEDE8B0"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implementado um programa de conformidade e treinamento razoavelmente eficaz na prevenção e detecção de violações às Regras Anticorrupção;</w:t>
      </w:r>
    </w:p>
    <w:p w14:paraId="05045C8B"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135EE13E"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no melhor de seu conhecimento, não são partes em qualquer processo administrativo ou judicial em razão da prática de atos ilícitos ou crimes previstos nas Regras Anticorrupção;</w:t>
      </w:r>
    </w:p>
    <w:p w14:paraId="39F3C976"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588487B6" w14:textId="043913D9"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não violaram, violam ou violarão qualquer dispositivo das Regras Anticorrupção;</w:t>
      </w:r>
      <w:r w:rsidR="008275FC">
        <w:rPr>
          <w:rFonts w:eastAsia="Arial"/>
          <w:color w:val="000000"/>
          <w:sz w:val="22"/>
          <w:szCs w:val="22"/>
        </w:rPr>
        <w:t xml:space="preserve"> </w:t>
      </w:r>
      <w:r w:rsidRPr="00233635">
        <w:rPr>
          <w:rFonts w:eastAsia="Arial"/>
          <w:color w:val="000000"/>
          <w:sz w:val="22"/>
          <w:szCs w:val="22"/>
        </w:rPr>
        <w:t>e</w:t>
      </w:r>
    </w:p>
    <w:p w14:paraId="6F5734C5" w14:textId="77777777" w:rsidR="00BC6BE1" w:rsidRPr="00233635" w:rsidRDefault="00BC6BE1" w:rsidP="00233635">
      <w:pPr>
        <w:pBdr>
          <w:top w:val="nil"/>
          <w:left w:val="nil"/>
          <w:bottom w:val="nil"/>
          <w:right w:val="nil"/>
          <w:between w:val="nil"/>
        </w:pBdr>
        <w:tabs>
          <w:tab w:val="left" w:pos="1701"/>
        </w:tabs>
        <w:spacing w:line="300" w:lineRule="auto"/>
        <w:ind w:left="851" w:hanging="720"/>
        <w:rPr>
          <w:rFonts w:eastAsia="Arial"/>
          <w:color w:val="000000"/>
          <w:sz w:val="22"/>
          <w:szCs w:val="22"/>
        </w:rPr>
      </w:pPr>
    </w:p>
    <w:p w14:paraId="7F9059BB" w14:textId="77777777" w:rsidR="00BC6BE1" w:rsidRPr="00233635" w:rsidRDefault="00D30263" w:rsidP="00233635">
      <w:pPr>
        <w:numPr>
          <w:ilvl w:val="0"/>
          <w:numId w:val="7"/>
        </w:numPr>
        <w:pBdr>
          <w:top w:val="nil"/>
          <w:left w:val="nil"/>
          <w:bottom w:val="nil"/>
          <w:right w:val="nil"/>
          <w:between w:val="nil"/>
        </w:pBdr>
        <w:tabs>
          <w:tab w:val="left" w:pos="1701"/>
        </w:tabs>
        <w:spacing w:line="300" w:lineRule="auto"/>
        <w:ind w:left="851" w:firstLine="0"/>
        <w:jc w:val="both"/>
        <w:rPr>
          <w:rFonts w:eastAsia="Arial"/>
          <w:color w:val="000000"/>
          <w:sz w:val="22"/>
          <w:szCs w:val="22"/>
        </w:rPr>
      </w:pPr>
      <w:r w:rsidRPr="00233635">
        <w:rPr>
          <w:rFonts w:eastAsia="Arial"/>
          <w:color w:val="000000"/>
          <w:sz w:val="22"/>
          <w:szCs w:val="22"/>
        </w:rPr>
        <w:t>têm ciência de que qualquer atividade que viole as Regras Anticorrupção é proibida e conhece as consequências possíveis de tal violação.</w:t>
      </w:r>
    </w:p>
    <w:p w14:paraId="5FCF57FD" w14:textId="77777777" w:rsidR="00BC6BE1" w:rsidRPr="00233635" w:rsidRDefault="00BC6BE1" w:rsidP="00233635">
      <w:pPr>
        <w:pBdr>
          <w:top w:val="nil"/>
          <w:left w:val="nil"/>
          <w:bottom w:val="nil"/>
          <w:right w:val="nil"/>
          <w:between w:val="nil"/>
        </w:pBdr>
        <w:spacing w:line="300" w:lineRule="auto"/>
        <w:ind w:left="720" w:hanging="720"/>
        <w:rPr>
          <w:rFonts w:eastAsia="Arial"/>
          <w:color w:val="000000"/>
          <w:sz w:val="22"/>
          <w:szCs w:val="22"/>
        </w:rPr>
      </w:pPr>
    </w:p>
    <w:p w14:paraId="306F64E5"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3C7E72D1" w14:textId="77777777" w:rsidR="00BC6BE1" w:rsidRPr="00233635" w:rsidRDefault="00BC6BE1" w:rsidP="00233635">
      <w:pPr>
        <w:pBdr>
          <w:top w:val="nil"/>
          <w:left w:val="nil"/>
          <w:bottom w:val="nil"/>
          <w:right w:val="nil"/>
          <w:between w:val="nil"/>
        </w:pBdr>
        <w:tabs>
          <w:tab w:val="left" w:pos="851"/>
        </w:tabs>
        <w:spacing w:line="300" w:lineRule="auto"/>
        <w:ind w:hanging="720"/>
        <w:jc w:val="both"/>
        <w:rPr>
          <w:rFonts w:eastAsia="Arial"/>
          <w:color w:val="000000"/>
          <w:sz w:val="22"/>
          <w:szCs w:val="22"/>
        </w:rPr>
      </w:pPr>
    </w:p>
    <w:p w14:paraId="5A079CA8"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As declarações e garantias dos Contratantes contidas neste Instrumento deverão permanecer verdadeiras, completas e suficientes durante toda a vigência deste Instrumento.</w:t>
      </w:r>
    </w:p>
    <w:p w14:paraId="7111C5F9" w14:textId="77777777" w:rsidR="00BC6BE1" w:rsidRPr="00233635" w:rsidRDefault="00BC6BE1" w:rsidP="00233635">
      <w:pPr>
        <w:pBdr>
          <w:top w:val="nil"/>
          <w:left w:val="nil"/>
          <w:bottom w:val="nil"/>
          <w:right w:val="nil"/>
          <w:between w:val="nil"/>
        </w:pBdr>
        <w:tabs>
          <w:tab w:val="left" w:pos="851"/>
        </w:tabs>
        <w:spacing w:line="300" w:lineRule="auto"/>
        <w:ind w:left="720" w:hanging="720"/>
        <w:rPr>
          <w:rFonts w:eastAsia="Arial"/>
          <w:color w:val="000000"/>
          <w:sz w:val="22"/>
          <w:szCs w:val="22"/>
        </w:rPr>
      </w:pPr>
    </w:p>
    <w:p w14:paraId="51E4E5B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firstLine="0"/>
        <w:jc w:val="both"/>
        <w:rPr>
          <w:rFonts w:eastAsia="Arial"/>
          <w:color w:val="000000"/>
          <w:sz w:val="22"/>
          <w:szCs w:val="22"/>
        </w:rPr>
      </w:pPr>
      <w:r w:rsidRPr="00233635">
        <w:rPr>
          <w:rFonts w:eastAsia="Arial"/>
          <w:color w:val="000000"/>
          <w:sz w:val="22"/>
          <w:szCs w:val="22"/>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54D1B28" w14:textId="77777777" w:rsidR="00BC6BE1" w:rsidRPr="00233635" w:rsidRDefault="00BC6BE1" w:rsidP="00233635">
      <w:pPr>
        <w:pBdr>
          <w:top w:val="nil"/>
          <w:left w:val="nil"/>
          <w:bottom w:val="nil"/>
          <w:right w:val="nil"/>
          <w:between w:val="nil"/>
        </w:pBdr>
        <w:spacing w:line="300" w:lineRule="auto"/>
        <w:ind w:left="720" w:hanging="720"/>
        <w:rPr>
          <w:rFonts w:eastAsia="Arial"/>
          <w:b/>
          <w:color w:val="000000"/>
          <w:sz w:val="22"/>
          <w:szCs w:val="22"/>
        </w:rPr>
      </w:pPr>
    </w:p>
    <w:p w14:paraId="0A17B589"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 xml:space="preserve">COMUNICAÇÕES </w:t>
      </w:r>
    </w:p>
    <w:p w14:paraId="4A9C00BE" w14:textId="77777777" w:rsidR="00BC6BE1" w:rsidRPr="00233635" w:rsidRDefault="00BC6BE1" w:rsidP="00233635">
      <w:pPr>
        <w:keepNext/>
        <w:tabs>
          <w:tab w:val="left" w:pos="2835"/>
        </w:tabs>
        <w:spacing w:line="300" w:lineRule="auto"/>
        <w:jc w:val="both"/>
        <w:rPr>
          <w:rFonts w:eastAsia="Arial"/>
          <w:b/>
          <w:sz w:val="22"/>
          <w:szCs w:val="22"/>
        </w:rPr>
      </w:pPr>
    </w:p>
    <w:p w14:paraId="5DD546CC" w14:textId="77777777" w:rsidR="00BC6BE1" w:rsidRPr="00233635" w:rsidRDefault="00D30263" w:rsidP="00233635">
      <w:pPr>
        <w:keepNext/>
        <w:numPr>
          <w:ilvl w:val="1"/>
          <w:numId w:val="8"/>
        </w:numPr>
        <w:tabs>
          <w:tab w:val="left" w:pos="0"/>
          <w:tab w:val="left" w:pos="851"/>
        </w:tabs>
        <w:spacing w:line="300" w:lineRule="auto"/>
        <w:ind w:left="0" w:firstLine="0"/>
        <w:jc w:val="both"/>
        <w:rPr>
          <w:rFonts w:eastAsia="Arial"/>
          <w:sz w:val="22"/>
          <w:szCs w:val="22"/>
        </w:rPr>
      </w:pPr>
      <w:bookmarkStart w:id="21" w:name="_heading=h.44sinio" w:colFirst="0" w:colLast="0"/>
      <w:bookmarkEnd w:id="21"/>
      <w:r w:rsidRPr="00233635">
        <w:rPr>
          <w:rFonts w:eastAsia="Arial"/>
          <w:sz w:val="22"/>
          <w:szCs w:val="22"/>
        </w:rPr>
        <w:t>Todas as comunicações relativas a este Instrumento deverão ser realizadas por meio da Plataforma QI ou conforme os dados constantes abaixo, ou outros que as Partes venham a indicar, por escrito, durante a vigência deste Instrumento:</w:t>
      </w:r>
    </w:p>
    <w:p w14:paraId="5A09EEC7" w14:textId="77777777" w:rsidR="00BC6BE1" w:rsidRPr="00233635" w:rsidRDefault="00BC6BE1" w:rsidP="00233635">
      <w:pPr>
        <w:tabs>
          <w:tab w:val="left" w:pos="2835"/>
        </w:tabs>
        <w:spacing w:line="300" w:lineRule="auto"/>
        <w:jc w:val="both"/>
        <w:rPr>
          <w:rFonts w:eastAsia="Arial"/>
          <w:sz w:val="22"/>
          <w:szCs w:val="22"/>
        </w:rPr>
      </w:pPr>
      <w:bookmarkStart w:id="22" w:name="_heading=h.2jxsxqh" w:colFirst="0" w:colLast="0"/>
      <w:bookmarkEnd w:id="22"/>
    </w:p>
    <w:p w14:paraId="4A1A2CFF"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 xml:space="preserve">Se para o Titular: </w:t>
      </w:r>
    </w:p>
    <w:p w14:paraId="10193BEC" w14:textId="77777777" w:rsidR="00B0339B" w:rsidRPr="00E244BD" w:rsidRDefault="00B0339B" w:rsidP="00455418">
      <w:pPr>
        <w:pStyle w:val="NormalWeb"/>
        <w:spacing w:before="0" w:beforeAutospacing="0" w:after="0" w:afterAutospacing="0" w:line="312" w:lineRule="auto"/>
        <w:ind w:left="1560"/>
        <w:jc w:val="both"/>
        <w:rPr>
          <w:sz w:val="22"/>
          <w:szCs w:val="22"/>
        </w:rPr>
      </w:pPr>
      <w:r>
        <w:rPr>
          <w:b/>
          <w:bCs/>
          <w:sz w:val="22"/>
          <w:szCs w:val="22"/>
        </w:rPr>
        <w:t>[BERNOULLI ENERGIA LTDA</w:t>
      </w:r>
    </w:p>
    <w:p w14:paraId="331C81DC" w14:textId="77777777" w:rsidR="00B0339B" w:rsidRDefault="00B0339B" w:rsidP="00455418">
      <w:pPr>
        <w:pStyle w:val="NormalWeb"/>
        <w:spacing w:before="0" w:beforeAutospacing="0" w:after="0" w:afterAutospacing="0" w:line="312" w:lineRule="auto"/>
        <w:ind w:left="1560"/>
        <w:jc w:val="both"/>
        <w:rPr>
          <w:sz w:val="22"/>
          <w:szCs w:val="22"/>
        </w:rPr>
      </w:pPr>
      <w:r w:rsidRPr="0079516C">
        <w:rPr>
          <w:sz w:val="22"/>
          <w:szCs w:val="22"/>
        </w:rPr>
        <w:t xml:space="preserve">Rod GO 164, Fazenda Paredão, s/n, KM 663, Zona Rural, </w:t>
      </w:r>
    </w:p>
    <w:p w14:paraId="67AEA671" w14:textId="77777777" w:rsidR="00B0339B" w:rsidRDefault="00B0339B" w:rsidP="00455418">
      <w:pPr>
        <w:pStyle w:val="NormalWeb"/>
        <w:spacing w:before="0" w:beforeAutospacing="0" w:after="0" w:afterAutospacing="0" w:line="312" w:lineRule="auto"/>
        <w:ind w:left="1560"/>
        <w:jc w:val="both"/>
        <w:rPr>
          <w:sz w:val="22"/>
          <w:szCs w:val="22"/>
        </w:rPr>
      </w:pPr>
      <w:r w:rsidRPr="0079516C">
        <w:rPr>
          <w:sz w:val="22"/>
          <w:szCs w:val="22"/>
        </w:rPr>
        <w:t>CEP 75.860-000</w:t>
      </w:r>
      <w:r w:rsidRPr="005370AA">
        <w:rPr>
          <w:sz w:val="22"/>
          <w:szCs w:val="22"/>
        </w:rPr>
        <w:t xml:space="preserve">, </w:t>
      </w:r>
    </w:p>
    <w:p w14:paraId="32342EDE" w14:textId="77777777" w:rsidR="00B0339B" w:rsidRPr="00F478D6" w:rsidRDefault="00B0339B" w:rsidP="00455418">
      <w:pPr>
        <w:pStyle w:val="NormalWeb"/>
        <w:spacing w:before="0" w:beforeAutospacing="0" w:after="0" w:afterAutospacing="0" w:line="312" w:lineRule="auto"/>
        <w:ind w:left="1560"/>
        <w:jc w:val="both"/>
        <w:rPr>
          <w:color w:val="000000" w:themeColor="text1"/>
          <w:sz w:val="22"/>
          <w:szCs w:val="22"/>
          <w:highlight w:val="yellow"/>
        </w:rPr>
      </w:pPr>
      <w:r>
        <w:rPr>
          <w:sz w:val="22"/>
          <w:szCs w:val="22"/>
        </w:rPr>
        <w:t>Quirinópolis</w:t>
      </w:r>
      <w:r w:rsidRPr="00F478D6">
        <w:rPr>
          <w:sz w:val="22"/>
          <w:szCs w:val="22"/>
        </w:rPr>
        <w:t xml:space="preserve"> - GO</w:t>
      </w:r>
    </w:p>
    <w:p w14:paraId="16F6D11E" w14:textId="77777777" w:rsidR="00B0339B" w:rsidRPr="00F478D6" w:rsidRDefault="00B0339B" w:rsidP="00455418">
      <w:pPr>
        <w:pStyle w:val="NormalWeb"/>
        <w:spacing w:before="0" w:beforeAutospacing="0" w:after="0" w:afterAutospacing="0" w:line="312" w:lineRule="auto"/>
        <w:ind w:left="1560"/>
        <w:jc w:val="both"/>
        <w:rPr>
          <w:sz w:val="22"/>
          <w:szCs w:val="22"/>
        </w:rPr>
      </w:pPr>
      <w:r w:rsidRPr="00F478D6">
        <w:rPr>
          <w:sz w:val="22"/>
          <w:szCs w:val="22"/>
        </w:rPr>
        <w:t xml:space="preserve">At.: </w:t>
      </w:r>
      <w:r w:rsidRPr="00CC0363">
        <w:rPr>
          <w:bCs/>
          <w:sz w:val="22"/>
          <w:szCs w:val="22"/>
        </w:rPr>
        <w:t>Elvio José Machado</w:t>
      </w:r>
    </w:p>
    <w:p w14:paraId="15C136E8" w14:textId="77777777" w:rsidR="00B0339B" w:rsidRDefault="00B0339B" w:rsidP="00455418">
      <w:pPr>
        <w:pStyle w:val="NormalWeb"/>
        <w:spacing w:before="0" w:beforeAutospacing="0" w:after="0" w:afterAutospacing="0" w:line="312" w:lineRule="auto"/>
        <w:ind w:left="1560"/>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30640EF1" w14:textId="77777777" w:rsidR="00B0339B" w:rsidRPr="000B608E" w:rsidRDefault="00B0339B" w:rsidP="00455418">
      <w:pPr>
        <w:pStyle w:val="NormalWeb"/>
        <w:spacing w:before="0" w:beforeAutospacing="0" w:after="0" w:afterAutospacing="0" w:line="312" w:lineRule="auto"/>
        <w:ind w:left="1560"/>
        <w:jc w:val="both"/>
        <w:rPr>
          <w:b/>
          <w:bCs/>
          <w:sz w:val="22"/>
          <w:szCs w:val="22"/>
        </w:rPr>
      </w:pPr>
      <w:r w:rsidRPr="000B608E">
        <w:rPr>
          <w:b/>
          <w:bCs/>
          <w:sz w:val="22"/>
          <w:szCs w:val="22"/>
          <w:highlight w:val="yellow"/>
        </w:rPr>
        <w:t>OU</w:t>
      </w:r>
    </w:p>
    <w:p w14:paraId="099DF0EC" w14:textId="77777777" w:rsidR="00B0339B" w:rsidRPr="00E244BD" w:rsidRDefault="00B0339B" w:rsidP="00455418">
      <w:pPr>
        <w:pStyle w:val="NormalWeb"/>
        <w:spacing w:before="0" w:beforeAutospacing="0" w:after="0" w:afterAutospacing="0" w:line="312" w:lineRule="auto"/>
        <w:ind w:left="1560"/>
        <w:jc w:val="both"/>
        <w:rPr>
          <w:sz w:val="22"/>
          <w:szCs w:val="22"/>
        </w:rPr>
      </w:pPr>
      <w:r>
        <w:rPr>
          <w:b/>
          <w:bCs/>
          <w:sz w:val="22"/>
          <w:szCs w:val="22"/>
        </w:rPr>
        <w:t>[OUVIDOR ENERGIA LTDA</w:t>
      </w:r>
    </w:p>
    <w:p w14:paraId="0B303826" w14:textId="77777777" w:rsidR="00B0339B" w:rsidRDefault="00B0339B" w:rsidP="00455418">
      <w:pPr>
        <w:pStyle w:val="NormalWeb"/>
        <w:spacing w:before="0" w:beforeAutospacing="0" w:after="0" w:afterAutospacing="0" w:line="312" w:lineRule="auto"/>
        <w:ind w:left="1560"/>
        <w:jc w:val="both"/>
        <w:rPr>
          <w:sz w:val="22"/>
          <w:szCs w:val="22"/>
        </w:rPr>
      </w:pPr>
      <w:r w:rsidRPr="002934C4">
        <w:rPr>
          <w:sz w:val="22"/>
          <w:szCs w:val="22"/>
        </w:rPr>
        <w:t xml:space="preserve">Rod BR 050, Fazenda Casados, s/n, KM 359, Zona Rural, </w:t>
      </w:r>
    </w:p>
    <w:p w14:paraId="53E6B5F0" w14:textId="77777777" w:rsidR="00B0339B" w:rsidRDefault="00B0339B" w:rsidP="00455418">
      <w:pPr>
        <w:pStyle w:val="NormalWeb"/>
        <w:spacing w:before="0" w:beforeAutospacing="0" w:after="0" w:afterAutospacing="0" w:line="312" w:lineRule="auto"/>
        <w:ind w:left="1560"/>
        <w:jc w:val="both"/>
        <w:rPr>
          <w:sz w:val="22"/>
          <w:szCs w:val="22"/>
        </w:rPr>
      </w:pPr>
      <w:r w:rsidRPr="002934C4">
        <w:rPr>
          <w:sz w:val="22"/>
          <w:szCs w:val="22"/>
        </w:rPr>
        <w:t>CEP 75.760-000</w:t>
      </w:r>
      <w:r w:rsidRPr="005370AA">
        <w:rPr>
          <w:sz w:val="22"/>
          <w:szCs w:val="22"/>
        </w:rPr>
        <w:t xml:space="preserve">, </w:t>
      </w:r>
    </w:p>
    <w:p w14:paraId="54DE9180" w14:textId="77777777" w:rsidR="00B0339B" w:rsidRPr="00F478D6" w:rsidRDefault="00B0339B" w:rsidP="00455418">
      <w:pPr>
        <w:pStyle w:val="NormalWeb"/>
        <w:spacing w:before="0" w:beforeAutospacing="0" w:after="0" w:afterAutospacing="0" w:line="312" w:lineRule="auto"/>
        <w:ind w:left="1560"/>
        <w:jc w:val="both"/>
        <w:rPr>
          <w:color w:val="000000" w:themeColor="text1"/>
          <w:sz w:val="22"/>
          <w:szCs w:val="22"/>
          <w:highlight w:val="yellow"/>
        </w:rPr>
      </w:pPr>
      <w:r>
        <w:rPr>
          <w:sz w:val="22"/>
          <w:szCs w:val="22"/>
        </w:rPr>
        <w:t>Cumari</w:t>
      </w:r>
      <w:r w:rsidRPr="00F478D6">
        <w:rPr>
          <w:sz w:val="22"/>
          <w:szCs w:val="22"/>
        </w:rPr>
        <w:t xml:space="preserve"> - GO</w:t>
      </w:r>
    </w:p>
    <w:p w14:paraId="7980C91E" w14:textId="77777777" w:rsidR="00B0339B" w:rsidRPr="00F478D6" w:rsidRDefault="00B0339B" w:rsidP="00455418">
      <w:pPr>
        <w:pStyle w:val="NormalWeb"/>
        <w:spacing w:before="0" w:beforeAutospacing="0" w:after="0" w:afterAutospacing="0" w:line="312" w:lineRule="auto"/>
        <w:ind w:left="1560"/>
        <w:jc w:val="both"/>
        <w:rPr>
          <w:sz w:val="22"/>
          <w:szCs w:val="22"/>
        </w:rPr>
      </w:pPr>
      <w:r w:rsidRPr="00F478D6">
        <w:rPr>
          <w:sz w:val="22"/>
          <w:szCs w:val="22"/>
        </w:rPr>
        <w:t xml:space="preserve">At.: </w:t>
      </w:r>
      <w:r w:rsidRPr="00CC0363">
        <w:rPr>
          <w:bCs/>
          <w:sz w:val="22"/>
          <w:szCs w:val="22"/>
        </w:rPr>
        <w:t>Elvio José Machado</w:t>
      </w:r>
    </w:p>
    <w:p w14:paraId="5CB07A22" w14:textId="77777777" w:rsidR="00B0339B" w:rsidRDefault="00B0339B" w:rsidP="00455418">
      <w:pPr>
        <w:pStyle w:val="NormalWeb"/>
        <w:spacing w:before="0" w:beforeAutospacing="0" w:after="0" w:afterAutospacing="0" w:line="312" w:lineRule="auto"/>
        <w:ind w:left="1560"/>
        <w:jc w:val="both"/>
        <w:rPr>
          <w:w w:val="0"/>
          <w:sz w:val="22"/>
          <w:szCs w:val="22"/>
        </w:rPr>
      </w:pPr>
      <w:r w:rsidRPr="003A34E2">
        <w:rPr>
          <w:sz w:val="22"/>
          <w:szCs w:val="22"/>
        </w:rPr>
        <w:t>E-mail:</w:t>
      </w:r>
      <w:r>
        <w:rPr>
          <w:sz w:val="22"/>
          <w:szCs w:val="22"/>
        </w:rPr>
        <w:t xml:space="preserve"> </w:t>
      </w:r>
      <w:r w:rsidRPr="00CC0363">
        <w:rPr>
          <w:sz w:val="22"/>
          <w:szCs w:val="22"/>
        </w:rPr>
        <w:t>elvio.machado@weltenergia.com.br</w:t>
      </w:r>
      <w:r w:rsidRPr="003A34E2">
        <w:rPr>
          <w:w w:val="0"/>
          <w:sz w:val="22"/>
          <w:szCs w:val="22"/>
        </w:rPr>
        <w:t xml:space="preserve"> </w:t>
      </w:r>
      <w:r>
        <w:rPr>
          <w:w w:val="0"/>
          <w:sz w:val="22"/>
          <w:szCs w:val="22"/>
        </w:rPr>
        <w:t>]</w:t>
      </w:r>
    </w:p>
    <w:p w14:paraId="057E6A33" w14:textId="77777777" w:rsidR="00BC6BE1" w:rsidRPr="00233635" w:rsidRDefault="00BC6BE1" w:rsidP="00233635">
      <w:pPr>
        <w:tabs>
          <w:tab w:val="left" w:pos="709"/>
          <w:tab w:val="left" w:pos="1701"/>
        </w:tabs>
        <w:spacing w:line="300" w:lineRule="auto"/>
        <w:ind w:left="851"/>
        <w:jc w:val="both"/>
        <w:rPr>
          <w:rFonts w:eastAsia="Arial"/>
          <w:sz w:val="22"/>
          <w:szCs w:val="22"/>
        </w:rPr>
      </w:pPr>
    </w:p>
    <w:p w14:paraId="5DBCD43B"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r w:rsidRPr="00233635">
        <w:rPr>
          <w:rFonts w:eastAsia="Arial"/>
          <w:sz w:val="22"/>
          <w:szCs w:val="22"/>
        </w:rPr>
        <w:t>Se para o Credor:</w:t>
      </w:r>
    </w:p>
    <w:p w14:paraId="221C99C6" w14:textId="77777777" w:rsidR="00A6090C" w:rsidRPr="00104108" w:rsidRDefault="00A6090C" w:rsidP="00455418">
      <w:pPr>
        <w:spacing w:line="300" w:lineRule="auto"/>
        <w:ind w:left="1560"/>
        <w:rPr>
          <w:b/>
          <w:sz w:val="22"/>
          <w:szCs w:val="22"/>
        </w:rPr>
      </w:pPr>
      <w:r w:rsidRPr="00104108">
        <w:rPr>
          <w:b/>
          <w:bCs/>
          <w:sz w:val="22"/>
          <w:szCs w:val="22"/>
        </w:rPr>
        <w:t>VIRGO COMPANHIA DE SECURITIZAÇÃO</w:t>
      </w:r>
    </w:p>
    <w:p w14:paraId="3E43F348" w14:textId="77777777" w:rsidR="00A6090C" w:rsidRPr="00104108" w:rsidRDefault="00A6090C" w:rsidP="00455418">
      <w:pPr>
        <w:spacing w:line="300" w:lineRule="auto"/>
        <w:ind w:left="1560"/>
        <w:rPr>
          <w:sz w:val="22"/>
          <w:szCs w:val="22"/>
        </w:rPr>
      </w:pPr>
      <w:r w:rsidRPr="00104108">
        <w:rPr>
          <w:sz w:val="22"/>
          <w:szCs w:val="22"/>
        </w:rPr>
        <w:t>Rua Tabapuã, 1.123 – 21º andar</w:t>
      </w:r>
    </w:p>
    <w:p w14:paraId="4FD8ED64" w14:textId="77777777" w:rsidR="00A6090C" w:rsidRPr="00104108" w:rsidRDefault="00A6090C" w:rsidP="00455418">
      <w:pPr>
        <w:spacing w:line="300" w:lineRule="auto"/>
        <w:ind w:left="1560"/>
        <w:rPr>
          <w:sz w:val="22"/>
          <w:szCs w:val="22"/>
        </w:rPr>
      </w:pPr>
      <w:r w:rsidRPr="00104108">
        <w:rPr>
          <w:sz w:val="22"/>
          <w:szCs w:val="22"/>
        </w:rPr>
        <w:t>São Paulo – SP CEP: 04533-004</w:t>
      </w:r>
    </w:p>
    <w:p w14:paraId="5018062B" w14:textId="77777777" w:rsidR="00A6090C" w:rsidRPr="00104108" w:rsidRDefault="00A6090C" w:rsidP="00455418">
      <w:pPr>
        <w:spacing w:line="300" w:lineRule="auto"/>
        <w:ind w:left="1560"/>
        <w:rPr>
          <w:sz w:val="22"/>
          <w:szCs w:val="22"/>
        </w:rPr>
      </w:pPr>
      <w:r w:rsidRPr="00104108">
        <w:rPr>
          <w:sz w:val="22"/>
          <w:szCs w:val="22"/>
        </w:rPr>
        <w:t>At.: Dep. de Gestão de Ativos | Dep. Jurídico</w:t>
      </w:r>
    </w:p>
    <w:p w14:paraId="44B18E97" w14:textId="77777777" w:rsidR="00A6090C" w:rsidRPr="00104108" w:rsidRDefault="00A6090C" w:rsidP="00455418">
      <w:pPr>
        <w:spacing w:line="300" w:lineRule="auto"/>
        <w:ind w:left="1560"/>
        <w:rPr>
          <w:sz w:val="22"/>
          <w:szCs w:val="22"/>
        </w:rPr>
      </w:pPr>
      <w:r w:rsidRPr="00104108">
        <w:rPr>
          <w:sz w:val="22"/>
          <w:szCs w:val="22"/>
        </w:rPr>
        <w:t>Telefone: (11) 3320-7474</w:t>
      </w:r>
    </w:p>
    <w:p w14:paraId="6AB81111" w14:textId="77777777" w:rsidR="00A6090C" w:rsidRPr="003F6C12" w:rsidRDefault="00A6090C" w:rsidP="00455418">
      <w:pPr>
        <w:spacing w:line="300" w:lineRule="auto"/>
        <w:ind w:left="1560"/>
        <w:jc w:val="both"/>
        <w:rPr>
          <w:i/>
          <w:sz w:val="22"/>
          <w:szCs w:val="22"/>
        </w:rPr>
      </w:pPr>
      <w:r w:rsidRPr="00104108">
        <w:rPr>
          <w:sz w:val="22"/>
          <w:szCs w:val="22"/>
        </w:rPr>
        <w:t xml:space="preserve">E-mail: </w:t>
      </w:r>
      <w:hyperlink r:id="rId8" w:history="1">
        <w:r w:rsidRPr="003F6C12">
          <w:rPr>
            <w:rStyle w:val="Hyperlink"/>
            <w:sz w:val="22"/>
            <w:szCs w:val="22"/>
          </w:rPr>
          <w:t>gestao@virgo.inc</w:t>
        </w:r>
      </w:hyperlink>
      <w:r w:rsidRPr="003F6C12">
        <w:rPr>
          <w:sz w:val="22"/>
          <w:szCs w:val="22"/>
        </w:rPr>
        <w:t xml:space="preserve"> / </w:t>
      </w:r>
      <w:hyperlink r:id="rId9" w:history="1">
        <w:r w:rsidRPr="003F6C12">
          <w:rPr>
            <w:rStyle w:val="Hyperlink"/>
            <w:sz w:val="22"/>
            <w:szCs w:val="22"/>
          </w:rPr>
          <w:t>juridico@virgo.inc</w:t>
        </w:r>
      </w:hyperlink>
    </w:p>
    <w:p w14:paraId="440A82CA" w14:textId="77777777" w:rsidR="00BC6BE1" w:rsidRPr="00233635" w:rsidRDefault="00BC6BE1" w:rsidP="00233635">
      <w:pPr>
        <w:tabs>
          <w:tab w:val="left" w:pos="1701"/>
        </w:tabs>
        <w:spacing w:line="300" w:lineRule="auto"/>
        <w:ind w:left="851"/>
        <w:jc w:val="both"/>
        <w:rPr>
          <w:rFonts w:eastAsia="Arial"/>
          <w:sz w:val="22"/>
          <w:szCs w:val="22"/>
        </w:rPr>
      </w:pPr>
    </w:p>
    <w:p w14:paraId="62484763" w14:textId="77777777" w:rsidR="00BC6BE1" w:rsidRPr="00233635" w:rsidRDefault="00D30263" w:rsidP="00233635">
      <w:pPr>
        <w:numPr>
          <w:ilvl w:val="0"/>
          <w:numId w:val="5"/>
        </w:numPr>
        <w:tabs>
          <w:tab w:val="left" w:pos="-11"/>
          <w:tab w:val="left" w:pos="1701"/>
        </w:tabs>
        <w:spacing w:line="300" w:lineRule="auto"/>
        <w:ind w:left="851" w:firstLine="0"/>
        <w:jc w:val="both"/>
        <w:rPr>
          <w:rFonts w:eastAsia="Arial"/>
          <w:sz w:val="22"/>
          <w:szCs w:val="22"/>
        </w:rPr>
      </w:pPr>
      <w:bookmarkStart w:id="23" w:name="_heading=h.z337ya" w:colFirst="0" w:colLast="0"/>
      <w:bookmarkEnd w:id="23"/>
      <w:r w:rsidRPr="00233635">
        <w:rPr>
          <w:rFonts w:eastAsia="Arial"/>
          <w:sz w:val="22"/>
          <w:szCs w:val="22"/>
        </w:rPr>
        <w:t>Se para a QI SCD:</w:t>
      </w:r>
    </w:p>
    <w:p w14:paraId="09E79029" w14:textId="77777777" w:rsidR="00BC6BE1" w:rsidRPr="00233635" w:rsidRDefault="00D30263" w:rsidP="00233635">
      <w:pPr>
        <w:tabs>
          <w:tab w:val="left" w:pos="709"/>
          <w:tab w:val="left" w:pos="1701"/>
        </w:tabs>
        <w:spacing w:line="300" w:lineRule="auto"/>
        <w:ind w:left="851"/>
        <w:jc w:val="both"/>
        <w:rPr>
          <w:rFonts w:eastAsia="Arial"/>
          <w:sz w:val="22"/>
          <w:szCs w:val="22"/>
        </w:rPr>
      </w:pPr>
      <w:r w:rsidRPr="00233635">
        <w:rPr>
          <w:rFonts w:eastAsia="Arial"/>
          <w:sz w:val="22"/>
          <w:szCs w:val="22"/>
        </w:rPr>
        <w:tab/>
        <w:t>QI Sociedade de Crédito Direto S.A.</w:t>
      </w:r>
    </w:p>
    <w:p w14:paraId="13923DA7" w14:textId="77777777" w:rsidR="00BC6BE1" w:rsidRPr="00233635" w:rsidRDefault="00D30263" w:rsidP="00233635">
      <w:pPr>
        <w:tabs>
          <w:tab w:val="left" w:pos="1701"/>
        </w:tabs>
        <w:spacing w:line="300" w:lineRule="auto"/>
        <w:ind w:left="1701"/>
        <w:jc w:val="both"/>
        <w:rPr>
          <w:rFonts w:eastAsia="Arial"/>
          <w:sz w:val="22"/>
          <w:szCs w:val="22"/>
        </w:rPr>
      </w:pPr>
      <w:r w:rsidRPr="00233635">
        <w:rPr>
          <w:rFonts w:eastAsia="Arial"/>
          <w:color w:val="000000"/>
          <w:sz w:val="22"/>
          <w:szCs w:val="22"/>
        </w:rPr>
        <w:t>Avenida Brigadeiro Faria Lima, nº 2.391, 1º andar, conjunto 12, sala A, Jardim Paulistano</w:t>
      </w:r>
    </w:p>
    <w:p w14:paraId="6C53F174"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São Paulo/SP</w:t>
      </w:r>
    </w:p>
    <w:p w14:paraId="6B62DB69"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color w:val="000000"/>
          <w:sz w:val="22"/>
          <w:szCs w:val="22"/>
        </w:rPr>
        <w:tab/>
        <w:t>CEP 01452-000</w:t>
      </w:r>
    </w:p>
    <w:p w14:paraId="4A88371E"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At.: [</w:t>
      </w:r>
      <w:r w:rsidRPr="00233635">
        <w:rPr>
          <w:rFonts w:eastAsia="Arial"/>
          <w:sz w:val="22"/>
          <w:szCs w:val="22"/>
          <w:highlight w:val="yellow"/>
        </w:rPr>
        <w:t>*</w:t>
      </w:r>
      <w:r w:rsidRPr="00233635">
        <w:rPr>
          <w:rFonts w:eastAsia="Arial"/>
          <w:sz w:val="22"/>
          <w:szCs w:val="22"/>
        </w:rPr>
        <w:t>]</w:t>
      </w:r>
    </w:p>
    <w:p w14:paraId="66B749FF"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Tel.: (11) [</w:t>
      </w:r>
      <w:r w:rsidRPr="00233635">
        <w:rPr>
          <w:rFonts w:eastAsia="Arial"/>
          <w:sz w:val="22"/>
          <w:szCs w:val="22"/>
          <w:highlight w:val="yellow"/>
        </w:rPr>
        <w:t>*</w:t>
      </w:r>
      <w:r w:rsidRPr="00233635">
        <w:rPr>
          <w:rFonts w:eastAsia="Arial"/>
          <w:sz w:val="22"/>
          <w:szCs w:val="22"/>
        </w:rPr>
        <w:t>]</w:t>
      </w:r>
    </w:p>
    <w:p w14:paraId="209E9C26" w14:textId="77777777" w:rsidR="00BC6BE1" w:rsidRPr="00233635"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Fax: (11) [</w:t>
      </w:r>
      <w:r w:rsidRPr="00233635">
        <w:rPr>
          <w:rFonts w:eastAsia="Arial"/>
          <w:sz w:val="22"/>
          <w:szCs w:val="22"/>
          <w:highlight w:val="yellow"/>
        </w:rPr>
        <w:t>*</w:t>
      </w:r>
      <w:r w:rsidRPr="00233635">
        <w:rPr>
          <w:rFonts w:eastAsia="Arial"/>
          <w:sz w:val="22"/>
          <w:szCs w:val="22"/>
        </w:rPr>
        <w:t>]</w:t>
      </w:r>
    </w:p>
    <w:p w14:paraId="7FD90F7B" w14:textId="54D6B17A" w:rsidR="00BC6BE1" w:rsidRDefault="00D30263" w:rsidP="00233635">
      <w:pPr>
        <w:tabs>
          <w:tab w:val="left" w:pos="1701"/>
        </w:tabs>
        <w:spacing w:line="300" w:lineRule="auto"/>
        <w:ind w:left="851"/>
        <w:jc w:val="both"/>
        <w:rPr>
          <w:rFonts w:eastAsia="Arial"/>
          <w:sz w:val="22"/>
          <w:szCs w:val="22"/>
        </w:rPr>
      </w:pPr>
      <w:r w:rsidRPr="00233635">
        <w:rPr>
          <w:rFonts w:eastAsia="Arial"/>
          <w:sz w:val="22"/>
          <w:szCs w:val="22"/>
        </w:rPr>
        <w:tab/>
        <w:t>E-mail: [</w:t>
      </w:r>
      <w:r w:rsidRPr="00233635">
        <w:rPr>
          <w:rFonts w:eastAsia="Arial"/>
          <w:sz w:val="22"/>
          <w:szCs w:val="22"/>
          <w:highlight w:val="yellow"/>
        </w:rPr>
        <w:t>*</w:t>
      </w:r>
      <w:r w:rsidRPr="00233635">
        <w:rPr>
          <w:rFonts w:eastAsia="Arial"/>
          <w:sz w:val="22"/>
          <w:szCs w:val="22"/>
        </w:rPr>
        <w:t>]</w:t>
      </w:r>
    </w:p>
    <w:p w14:paraId="4B637082" w14:textId="40E0073D" w:rsidR="0094361F" w:rsidRPr="00233635" w:rsidRDefault="0094361F" w:rsidP="00233635">
      <w:pPr>
        <w:tabs>
          <w:tab w:val="left" w:pos="1701"/>
        </w:tabs>
        <w:spacing w:line="300" w:lineRule="auto"/>
        <w:ind w:left="851"/>
        <w:jc w:val="both"/>
        <w:rPr>
          <w:rFonts w:eastAsia="Arial"/>
          <w:sz w:val="22"/>
          <w:szCs w:val="22"/>
        </w:rPr>
      </w:pPr>
      <w:r w:rsidRPr="008A7A32">
        <w:rPr>
          <w:rFonts w:eastAsia="Arial"/>
          <w:b/>
          <w:bCs/>
          <w:color w:val="000000"/>
          <w:sz w:val="22"/>
          <w:szCs w:val="22"/>
          <w:highlight w:val="yellow"/>
        </w:rPr>
        <w:t>[Nota Coelho Advogados: QI, favor preencher]</w:t>
      </w:r>
    </w:p>
    <w:p w14:paraId="4533CBEF" w14:textId="77777777" w:rsidR="00BC6BE1" w:rsidRPr="00233635" w:rsidRDefault="00BC6BE1" w:rsidP="00233635">
      <w:pPr>
        <w:tabs>
          <w:tab w:val="left" w:pos="1701"/>
        </w:tabs>
        <w:spacing w:line="300" w:lineRule="auto"/>
        <w:ind w:left="851"/>
        <w:jc w:val="both"/>
        <w:rPr>
          <w:rFonts w:eastAsia="Arial"/>
          <w:sz w:val="22"/>
          <w:szCs w:val="22"/>
        </w:rPr>
      </w:pPr>
    </w:p>
    <w:p w14:paraId="6F23592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bookmarkStart w:id="24" w:name="_heading=h.3j2qqm3" w:colFirst="0" w:colLast="0"/>
      <w:bookmarkEnd w:id="24"/>
      <w:r w:rsidRPr="00233635">
        <w:rPr>
          <w:rFonts w:eastAsia="Arial"/>
          <w:color w:val="000000"/>
          <w:sz w:val="22"/>
          <w:szCs w:val="22"/>
        </w:rPr>
        <w:t>Todas as comunicações relativas a este Instrumento deverão ser feitas por escrito e serão consideradas entregues: (i) na data da transmissão, caso realizadas por meio da Plataforma QI, (</w:t>
      </w:r>
      <w:proofErr w:type="spellStart"/>
      <w:r w:rsidRPr="00233635">
        <w:rPr>
          <w:rFonts w:eastAsia="Arial"/>
          <w:color w:val="000000"/>
          <w:sz w:val="22"/>
          <w:szCs w:val="22"/>
        </w:rPr>
        <w:t>ii</w:t>
      </w:r>
      <w:proofErr w:type="spellEnd"/>
      <w:r w:rsidRPr="00233635">
        <w:rPr>
          <w:rFonts w:eastAsia="Arial"/>
          <w:color w:val="000000"/>
          <w:sz w:val="22"/>
          <w:szCs w:val="22"/>
        </w:rPr>
        <w:t>) quando entregues pessoalmente à pessoa a ser notificada, mediante protocolo; (</w:t>
      </w:r>
      <w:proofErr w:type="spellStart"/>
      <w:r w:rsidRPr="00233635">
        <w:rPr>
          <w:rFonts w:eastAsia="Arial"/>
          <w:color w:val="000000"/>
          <w:sz w:val="22"/>
          <w:szCs w:val="22"/>
        </w:rPr>
        <w:t>iii</w:t>
      </w:r>
      <w:proofErr w:type="spellEnd"/>
      <w:r w:rsidRPr="00233635">
        <w:rPr>
          <w:rFonts w:eastAsia="Arial"/>
          <w:color w:val="000000"/>
          <w:sz w:val="22"/>
          <w:szCs w:val="22"/>
        </w:rPr>
        <w:t>) após 5 (cinco) dias contados da postagem de carta com aviso de recebimento à pessoa a ser notificada; ou (</w:t>
      </w:r>
      <w:proofErr w:type="spellStart"/>
      <w:r w:rsidRPr="00233635">
        <w:rPr>
          <w:rFonts w:eastAsia="Arial"/>
          <w:color w:val="000000"/>
          <w:sz w:val="22"/>
          <w:szCs w:val="22"/>
        </w:rPr>
        <w:t>iv</w:t>
      </w:r>
      <w:proofErr w:type="spellEnd"/>
      <w:r w:rsidRPr="00233635">
        <w:rPr>
          <w:rFonts w:eastAsia="Arial"/>
          <w:color w:val="000000"/>
          <w:sz w:val="22"/>
          <w:szCs w:val="22"/>
        </w:rPr>
        <w:t>)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3A210CE2"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0F8058E"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color w:val="000000"/>
          <w:sz w:val="22"/>
          <w:szCs w:val="22"/>
        </w:rPr>
        <w:t>DISPOSIÇÕES GERAIS</w:t>
      </w:r>
    </w:p>
    <w:p w14:paraId="65F9EF0D" w14:textId="77777777" w:rsidR="00BC6BE1" w:rsidRPr="00233635" w:rsidRDefault="00BC6BE1" w:rsidP="00233635">
      <w:pPr>
        <w:pBdr>
          <w:top w:val="nil"/>
          <w:left w:val="nil"/>
          <w:bottom w:val="nil"/>
          <w:right w:val="nil"/>
          <w:between w:val="nil"/>
        </w:pBdr>
        <w:spacing w:line="300" w:lineRule="auto"/>
        <w:ind w:left="709" w:right="-34" w:hanging="720"/>
        <w:jc w:val="both"/>
        <w:rPr>
          <w:rFonts w:eastAsia="Arial"/>
          <w:color w:val="000000"/>
          <w:sz w:val="22"/>
          <w:szCs w:val="22"/>
        </w:rPr>
      </w:pPr>
    </w:p>
    <w:p w14:paraId="4054B717" w14:textId="7A58FC70" w:rsidR="00BC6BE1" w:rsidRPr="00233635" w:rsidRDefault="006A7218" w:rsidP="00233635">
      <w:pPr>
        <w:numPr>
          <w:ilvl w:val="1"/>
          <w:numId w:val="8"/>
        </w:numPr>
        <w:pBdr>
          <w:top w:val="nil"/>
          <w:left w:val="nil"/>
          <w:bottom w:val="nil"/>
          <w:right w:val="nil"/>
          <w:between w:val="nil"/>
        </w:pBdr>
        <w:tabs>
          <w:tab w:val="left" w:pos="851"/>
        </w:tabs>
        <w:spacing w:line="300" w:lineRule="auto"/>
        <w:ind w:right="-34"/>
        <w:jc w:val="both"/>
        <w:rPr>
          <w:rFonts w:eastAsia="Arial"/>
          <w:color w:val="000000"/>
          <w:sz w:val="22"/>
          <w:szCs w:val="22"/>
        </w:rPr>
      </w:pPr>
      <w:r w:rsidRPr="00233635">
        <w:rPr>
          <w:rFonts w:eastAsia="Arial"/>
          <w:color w:val="000000"/>
          <w:sz w:val="22"/>
          <w:szCs w:val="22"/>
        </w:rPr>
        <w:t xml:space="preserve">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w:t>
      </w:r>
      <w:r w:rsidR="00EA2736">
        <w:rPr>
          <w:rFonts w:eastAsia="Arial"/>
          <w:color w:val="000000"/>
          <w:sz w:val="22"/>
          <w:szCs w:val="22"/>
        </w:rPr>
        <w:t>T</w:t>
      </w:r>
      <w:r w:rsidR="00EA2736" w:rsidRPr="00233635">
        <w:rPr>
          <w:rFonts w:eastAsia="Arial"/>
          <w:color w:val="000000"/>
          <w:sz w:val="22"/>
          <w:szCs w:val="22"/>
        </w:rPr>
        <w:t xml:space="preserve">itular </w:t>
      </w:r>
      <w:r w:rsidRPr="00233635">
        <w:rPr>
          <w:rFonts w:eastAsia="Arial"/>
          <w:color w:val="000000"/>
          <w:sz w:val="22"/>
          <w:szCs w:val="22"/>
        </w:rPr>
        <w:t xml:space="preserve">ou do </w:t>
      </w:r>
      <w:r w:rsidR="00EA2736">
        <w:rPr>
          <w:rFonts w:eastAsia="Arial"/>
          <w:color w:val="000000"/>
          <w:sz w:val="22"/>
          <w:szCs w:val="22"/>
        </w:rPr>
        <w:t>C</w:t>
      </w:r>
      <w:r w:rsidR="00EA2736" w:rsidRPr="00233635">
        <w:rPr>
          <w:rFonts w:eastAsia="Arial"/>
          <w:color w:val="000000"/>
          <w:sz w:val="22"/>
          <w:szCs w:val="22"/>
        </w:rPr>
        <w:t>redor</w:t>
      </w:r>
      <w:r w:rsidRPr="00233635">
        <w:rPr>
          <w:rFonts w:eastAsia="Arial"/>
          <w:color w:val="000000"/>
          <w:sz w:val="22"/>
          <w:szCs w:val="22"/>
        </w:rPr>
        <w:t>. Para os casos em que as contas autorizadas incluídas no Anexo I foram de titularidade de terceiros, será necessário aditamento.</w:t>
      </w:r>
    </w:p>
    <w:p w14:paraId="0D00C061"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E1069A" w14:textId="77777777" w:rsidR="00BC6BE1" w:rsidRDefault="00D30263"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sidRPr="00233635">
        <w:rPr>
          <w:rFonts w:eastAsia="Arial"/>
          <w:color w:val="000000"/>
          <w:sz w:val="22"/>
          <w:szCs w:val="22"/>
        </w:rPr>
        <w:t>Qualquer atualização do Anexo I nos termos da Cláusula 10.1 acima substituirá o antigo, para todos os efeitos, a partir da data de recebimento pela QI SCD.</w:t>
      </w:r>
    </w:p>
    <w:p w14:paraId="2D4B3EEF" w14:textId="77777777" w:rsidR="006D5FF7" w:rsidRDefault="006D5FF7" w:rsidP="001C2A4A">
      <w:pPr>
        <w:pBdr>
          <w:top w:val="nil"/>
          <w:left w:val="nil"/>
          <w:bottom w:val="nil"/>
          <w:right w:val="nil"/>
          <w:between w:val="nil"/>
        </w:pBdr>
        <w:tabs>
          <w:tab w:val="left" w:pos="851"/>
          <w:tab w:val="left" w:pos="1701"/>
        </w:tabs>
        <w:spacing w:line="300" w:lineRule="auto"/>
        <w:ind w:left="851" w:right="-34"/>
        <w:jc w:val="both"/>
        <w:rPr>
          <w:rFonts w:eastAsia="Arial"/>
          <w:color w:val="000000"/>
          <w:sz w:val="22"/>
          <w:szCs w:val="22"/>
        </w:rPr>
      </w:pPr>
    </w:p>
    <w:p w14:paraId="637874DA" w14:textId="76F1F920" w:rsidR="000E336D" w:rsidRPr="00233635" w:rsidRDefault="000E336D" w:rsidP="00233635">
      <w:pPr>
        <w:numPr>
          <w:ilvl w:val="2"/>
          <w:numId w:val="8"/>
        </w:numPr>
        <w:pBdr>
          <w:top w:val="nil"/>
          <w:left w:val="nil"/>
          <w:bottom w:val="nil"/>
          <w:right w:val="nil"/>
          <w:between w:val="nil"/>
        </w:pBdr>
        <w:tabs>
          <w:tab w:val="left" w:pos="851"/>
          <w:tab w:val="left" w:pos="1701"/>
        </w:tabs>
        <w:spacing w:line="300" w:lineRule="auto"/>
        <w:ind w:left="851" w:right="-34" w:firstLine="0"/>
        <w:jc w:val="both"/>
        <w:rPr>
          <w:rFonts w:eastAsia="Arial"/>
          <w:color w:val="000000"/>
          <w:sz w:val="22"/>
          <w:szCs w:val="22"/>
        </w:rPr>
      </w:pPr>
      <w:r>
        <w:rPr>
          <w:rFonts w:eastAsia="Arial"/>
          <w:color w:val="000000"/>
          <w:sz w:val="22"/>
          <w:szCs w:val="22"/>
        </w:rPr>
        <w:t>As Partes concordam que quando da emissão dos CRI</w:t>
      </w:r>
      <w:r w:rsidR="00A10E74">
        <w:rPr>
          <w:rFonts w:eastAsia="Arial"/>
          <w:color w:val="000000"/>
          <w:sz w:val="22"/>
          <w:szCs w:val="22"/>
        </w:rPr>
        <w:t xml:space="preserve"> WELT</w:t>
      </w:r>
      <w:r w:rsidR="006348AA">
        <w:rPr>
          <w:rFonts w:eastAsia="Arial"/>
          <w:color w:val="000000"/>
          <w:sz w:val="22"/>
          <w:szCs w:val="22"/>
        </w:rPr>
        <w:t>, o presente Contrato será aditado para substituição do Credor</w:t>
      </w:r>
      <w:r w:rsidR="001F7D6D">
        <w:rPr>
          <w:rFonts w:eastAsia="Arial"/>
          <w:color w:val="000000"/>
          <w:sz w:val="22"/>
          <w:szCs w:val="22"/>
        </w:rPr>
        <w:t xml:space="preserve"> pela companhia securitizadora emissora dos CRI Welt</w:t>
      </w:r>
      <w:r w:rsidR="006348AA">
        <w:rPr>
          <w:rFonts w:eastAsia="Arial"/>
          <w:color w:val="000000"/>
          <w:sz w:val="22"/>
          <w:szCs w:val="22"/>
        </w:rPr>
        <w:t xml:space="preserve">, de forma </w:t>
      </w:r>
      <w:r w:rsidR="001F7D6D">
        <w:rPr>
          <w:rFonts w:eastAsia="Arial"/>
          <w:color w:val="000000"/>
          <w:sz w:val="22"/>
          <w:szCs w:val="22"/>
        </w:rPr>
        <w:t xml:space="preserve">que a Conta Fiduciária passe a </w:t>
      </w:r>
      <w:r w:rsidR="006348AA">
        <w:rPr>
          <w:rFonts w:eastAsia="Arial"/>
          <w:color w:val="000000"/>
          <w:sz w:val="22"/>
          <w:szCs w:val="22"/>
        </w:rPr>
        <w:t>integrar a operação de CRI</w:t>
      </w:r>
      <w:r w:rsidR="00A10E74">
        <w:rPr>
          <w:rFonts w:eastAsia="Arial"/>
          <w:color w:val="000000"/>
          <w:sz w:val="22"/>
          <w:szCs w:val="22"/>
        </w:rPr>
        <w:t xml:space="preserve"> WELT</w:t>
      </w:r>
      <w:r w:rsidR="006D5FF7">
        <w:rPr>
          <w:rFonts w:eastAsia="Arial"/>
          <w:color w:val="000000"/>
          <w:sz w:val="22"/>
          <w:szCs w:val="22"/>
        </w:rPr>
        <w:t>.</w:t>
      </w:r>
    </w:p>
    <w:p w14:paraId="03C73916" w14:textId="77777777" w:rsidR="00BC6BE1" w:rsidRPr="00233635" w:rsidRDefault="00BC6BE1" w:rsidP="00233635">
      <w:pPr>
        <w:spacing w:line="300" w:lineRule="auto"/>
        <w:jc w:val="both"/>
        <w:rPr>
          <w:rFonts w:eastAsia="Arial"/>
          <w:sz w:val="22"/>
          <w:szCs w:val="22"/>
        </w:rPr>
      </w:pPr>
    </w:p>
    <w:p w14:paraId="0CE5AD4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 omissão ou tolerância das Partes, em exigir o estrito cumprimento dos termos e condições deste Instrumento, não constituirá novação ou renúncia, nem afetará os seus direitos, que poderão ser exercidos a qualquer tempo.</w:t>
      </w:r>
    </w:p>
    <w:p w14:paraId="62353DAE"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2F8C219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Eventuais inclusões de outras cláusulas, exclusões ou alterações das já existentes, serão consignadas em aditivo devidamente assinado pelas Partes, que passará a fazer parte integrante deste Instrumento.</w:t>
      </w:r>
    </w:p>
    <w:p w14:paraId="2DF16E7B"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228293F" w14:textId="60DC81B2"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Qualquer disposição do presente Instrumento que venha a ser considerada nula ou </w:t>
      </w:r>
      <w:r w:rsidR="002B7116" w:rsidRPr="00233635">
        <w:rPr>
          <w:rFonts w:eastAsia="Arial"/>
          <w:color w:val="000000"/>
          <w:sz w:val="22"/>
          <w:szCs w:val="22"/>
        </w:rPr>
        <w:t>inexequível</w:t>
      </w:r>
      <w:r w:rsidRPr="00233635">
        <w:rPr>
          <w:rFonts w:eastAsia="Arial"/>
          <w:color w:val="000000"/>
          <w:sz w:val="22"/>
          <w:szCs w:val="22"/>
        </w:rPr>
        <w:t>, não afetará as demais disposições aqui contidas, as quais permanecerão válidas e em pleno vigor e eficácia.</w:t>
      </w:r>
    </w:p>
    <w:p w14:paraId="79C31114"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4B731923"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9982AB6"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DAB372B"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2C706F86"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07327BE"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0CC8897B"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044EE511"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 xml:space="preserve"> As Partes reconhecem, expressamente, que a execução/prestação dos serviços ora contratados não gerará qualquer relação de emprego entre as Partes ou seus empregados ou prepostos.</w:t>
      </w:r>
    </w:p>
    <w:p w14:paraId="61B66530"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2D54BC21"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26C201BA"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7BC8F7D6"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Este Instrumento obriga as Partes e seus sucessores, não podendo ser alterado a não ser por escrito, com a assinatura de todas as Partes.</w:t>
      </w:r>
    </w:p>
    <w:p w14:paraId="67D8C094" w14:textId="77777777" w:rsidR="00BC6BE1" w:rsidRPr="00233635" w:rsidRDefault="00BC6BE1" w:rsidP="00233635">
      <w:pPr>
        <w:spacing w:line="300" w:lineRule="auto"/>
        <w:jc w:val="both"/>
        <w:rPr>
          <w:rFonts w:eastAsia="Arial"/>
          <w:sz w:val="22"/>
          <w:szCs w:val="22"/>
        </w:rPr>
      </w:pPr>
    </w:p>
    <w:p w14:paraId="0160E71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7D8DA0A9"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3D596EA7"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Os casos fortuitos e de força maior são excludentes da responsabilidade das Partes, nos termos do artigo 393 do Código Civil Brasileiro.</w:t>
      </w:r>
    </w:p>
    <w:p w14:paraId="2AF6DA68"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bookmarkStart w:id="25" w:name="_heading=h.1y810tw" w:colFirst="0" w:colLast="0"/>
      <w:bookmarkEnd w:id="25"/>
    </w:p>
    <w:p w14:paraId="5B25842C"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w:t>
      </w:r>
      <w:proofErr w:type="spellStart"/>
      <w:r w:rsidRPr="00233635">
        <w:rPr>
          <w:rFonts w:eastAsia="Arial"/>
          <w:color w:val="000000"/>
          <w:sz w:val="22"/>
          <w:szCs w:val="22"/>
        </w:rPr>
        <w:t>ii</w:t>
      </w:r>
      <w:proofErr w:type="spellEnd"/>
      <w:r w:rsidRPr="00233635">
        <w:rPr>
          <w:rFonts w:eastAsia="Arial"/>
          <w:color w:val="000000"/>
          <w:sz w:val="22"/>
          <w:szCs w:val="22"/>
        </w:rPr>
        <w:t>)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494C7542" w14:textId="77777777" w:rsidR="00BC6BE1" w:rsidRPr="00233635" w:rsidRDefault="00BC6BE1" w:rsidP="00233635">
      <w:pPr>
        <w:pBdr>
          <w:top w:val="nil"/>
          <w:left w:val="nil"/>
          <w:bottom w:val="nil"/>
          <w:right w:val="nil"/>
          <w:between w:val="nil"/>
        </w:pBdr>
        <w:spacing w:line="300" w:lineRule="auto"/>
        <w:ind w:left="420" w:hanging="708"/>
        <w:jc w:val="both"/>
        <w:rPr>
          <w:rFonts w:eastAsia="Arial"/>
          <w:color w:val="000000"/>
          <w:sz w:val="22"/>
          <w:szCs w:val="22"/>
        </w:rPr>
      </w:pPr>
    </w:p>
    <w:p w14:paraId="153B46B0"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que tiveram prévio conhecimento de todas as cláusulas e condições deste Instrumento, concordando expressamente com todos os seus termos.</w:t>
      </w:r>
    </w:p>
    <w:p w14:paraId="1E137C05" w14:textId="77777777" w:rsidR="00BC6BE1" w:rsidRPr="00233635" w:rsidRDefault="00BC6BE1" w:rsidP="00233635">
      <w:pPr>
        <w:pBdr>
          <w:top w:val="nil"/>
          <w:left w:val="nil"/>
          <w:bottom w:val="nil"/>
          <w:right w:val="nil"/>
          <w:between w:val="nil"/>
        </w:pBdr>
        <w:tabs>
          <w:tab w:val="left" w:pos="851"/>
        </w:tabs>
        <w:spacing w:line="300" w:lineRule="auto"/>
        <w:ind w:right="-34" w:hanging="720"/>
        <w:jc w:val="both"/>
        <w:rPr>
          <w:rFonts w:eastAsia="Arial"/>
          <w:color w:val="000000"/>
          <w:sz w:val="22"/>
          <w:szCs w:val="22"/>
        </w:rPr>
      </w:pPr>
    </w:p>
    <w:p w14:paraId="6C899A7D"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75F8A2F8"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5E910425"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7C58E99D" w14:textId="77777777" w:rsidR="00BC6BE1" w:rsidRPr="00233635" w:rsidRDefault="00BC6BE1" w:rsidP="00233635">
      <w:pPr>
        <w:pBdr>
          <w:top w:val="nil"/>
          <w:left w:val="nil"/>
          <w:bottom w:val="nil"/>
          <w:right w:val="nil"/>
          <w:between w:val="nil"/>
        </w:pBdr>
        <w:spacing w:line="300" w:lineRule="auto"/>
        <w:ind w:left="708" w:hanging="708"/>
        <w:rPr>
          <w:rFonts w:eastAsia="Arial"/>
          <w:color w:val="000000"/>
          <w:sz w:val="22"/>
          <w:szCs w:val="22"/>
        </w:rPr>
      </w:pPr>
    </w:p>
    <w:p w14:paraId="7A0714A2"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7CAF7A91" w14:textId="77777777" w:rsidR="00BC6BE1" w:rsidRPr="00233635" w:rsidRDefault="00BC6BE1" w:rsidP="00233635">
      <w:pPr>
        <w:pBdr>
          <w:top w:val="nil"/>
          <w:left w:val="nil"/>
          <w:bottom w:val="nil"/>
          <w:right w:val="nil"/>
          <w:between w:val="nil"/>
        </w:pBdr>
        <w:tabs>
          <w:tab w:val="left" w:pos="851"/>
        </w:tabs>
        <w:spacing w:line="300" w:lineRule="auto"/>
        <w:ind w:hanging="720"/>
        <w:rPr>
          <w:rFonts w:eastAsia="Arial"/>
          <w:color w:val="000000"/>
          <w:sz w:val="22"/>
          <w:szCs w:val="22"/>
        </w:rPr>
      </w:pPr>
    </w:p>
    <w:p w14:paraId="72FE0648"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O presente Instrumento é regido exclusivamente pela legislação brasileira e deverá ser interpretado de acordo com esta.</w:t>
      </w:r>
    </w:p>
    <w:p w14:paraId="1643F0DE" w14:textId="77777777" w:rsidR="00BC6BE1" w:rsidRPr="00233635" w:rsidRDefault="00BC6BE1" w:rsidP="00233635">
      <w:pPr>
        <w:pBdr>
          <w:top w:val="nil"/>
          <w:left w:val="nil"/>
          <w:bottom w:val="nil"/>
          <w:right w:val="nil"/>
          <w:between w:val="nil"/>
        </w:pBdr>
        <w:spacing w:line="300" w:lineRule="auto"/>
        <w:ind w:left="720" w:hanging="720"/>
        <w:rPr>
          <w:rFonts w:eastAsia="Arial"/>
          <w:b/>
          <w:smallCaps/>
          <w:color w:val="000000"/>
          <w:sz w:val="22"/>
          <w:szCs w:val="22"/>
        </w:rPr>
      </w:pPr>
    </w:p>
    <w:p w14:paraId="477C401A" w14:textId="77777777" w:rsidR="00BC6BE1" w:rsidRPr="00233635" w:rsidRDefault="00D30263" w:rsidP="00233635">
      <w:pPr>
        <w:numPr>
          <w:ilvl w:val="0"/>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b/>
          <w:smallCaps/>
          <w:color w:val="000000"/>
          <w:sz w:val="22"/>
          <w:szCs w:val="22"/>
        </w:rPr>
        <w:t>SOLUÇÃO DE CONTROVÉRSIAS</w:t>
      </w:r>
    </w:p>
    <w:p w14:paraId="04B3FBEB" w14:textId="77777777" w:rsidR="00BC6BE1" w:rsidRPr="00233635" w:rsidRDefault="00BC6BE1" w:rsidP="00233635">
      <w:pPr>
        <w:pBdr>
          <w:top w:val="nil"/>
          <w:left w:val="nil"/>
          <w:bottom w:val="nil"/>
          <w:right w:val="nil"/>
          <w:between w:val="nil"/>
        </w:pBdr>
        <w:spacing w:line="300" w:lineRule="auto"/>
        <w:ind w:left="1080" w:right="-34" w:hanging="720"/>
        <w:jc w:val="both"/>
        <w:rPr>
          <w:rFonts w:eastAsia="Arial"/>
          <w:color w:val="000000"/>
          <w:sz w:val="22"/>
          <w:szCs w:val="22"/>
        </w:rPr>
      </w:pPr>
    </w:p>
    <w:p w14:paraId="07D40B04" w14:textId="77777777" w:rsidR="00BC6BE1" w:rsidRPr="00233635" w:rsidRDefault="00D30263" w:rsidP="00233635">
      <w:pPr>
        <w:numPr>
          <w:ilvl w:val="1"/>
          <w:numId w:val="8"/>
        </w:numPr>
        <w:pBdr>
          <w:top w:val="nil"/>
          <w:left w:val="nil"/>
          <w:bottom w:val="nil"/>
          <w:right w:val="nil"/>
          <w:between w:val="nil"/>
        </w:pBdr>
        <w:tabs>
          <w:tab w:val="left" w:pos="851"/>
        </w:tabs>
        <w:spacing w:line="300" w:lineRule="auto"/>
        <w:ind w:left="0" w:right="-34" w:firstLine="0"/>
        <w:jc w:val="both"/>
        <w:rPr>
          <w:rFonts w:eastAsia="Arial"/>
          <w:color w:val="000000"/>
          <w:sz w:val="22"/>
          <w:szCs w:val="22"/>
        </w:rPr>
      </w:pPr>
      <w:r w:rsidRPr="00233635">
        <w:rPr>
          <w:rFonts w:eastAsia="Arial"/>
          <w:color w:val="000000"/>
          <w:sz w:val="22"/>
          <w:szCs w:val="22"/>
        </w:rPr>
        <w:t>As Partes elegem o Foro Central da Comarca de São Paulo, Estado de São Paulo, para conhecer e dirimir quaisquer questões relacionadas com o presente Instrumento, renunciando a qualquer outro, por mais privilegiado que seja ou se torne.</w:t>
      </w:r>
    </w:p>
    <w:p w14:paraId="6CB7451C" w14:textId="77777777" w:rsidR="00BC6BE1" w:rsidRPr="00233635" w:rsidRDefault="00BC6BE1" w:rsidP="00233635">
      <w:pPr>
        <w:pBdr>
          <w:top w:val="nil"/>
          <w:left w:val="nil"/>
          <w:bottom w:val="nil"/>
          <w:right w:val="nil"/>
          <w:between w:val="nil"/>
        </w:pBdr>
        <w:spacing w:line="300" w:lineRule="auto"/>
        <w:ind w:right="-34" w:hanging="720"/>
        <w:jc w:val="both"/>
        <w:rPr>
          <w:rFonts w:eastAsia="Arial"/>
          <w:color w:val="000000"/>
          <w:sz w:val="22"/>
          <w:szCs w:val="22"/>
        </w:rPr>
      </w:pPr>
    </w:p>
    <w:p w14:paraId="4DE326E7" w14:textId="2BA0B508" w:rsidR="00BC6BE1" w:rsidRPr="00233635" w:rsidRDefault="00D30263" w:rsidP="001C2A4A">
      <w:pPr>
        <w:pBdr>
          <w:top w:val="nil"/>
          <w:left w:val="nil"/>
          <w:bottom w:val="nil"/>
          <w:right w:val="nil"/>
          <w:between w:val="nil"/>
        </w:pBdr>
        <w:spacing w:line="300" w:lineRule="auto"/>
        <w:ind w:right="-34"/>
        <w:jc w:val="both"/>
        <w:rPr>
          <w:rFonts w:eastAsia="Arial"/>
          <w:color w:val="000000"/>
          <w:sz w:val="22"/>
          <w:szCs w:val="22"/>
        </w:rPr>
      </w:pPr>
      <w:r w:rsidRPr="00233635">
        <w:rPr>
          <w:rFonts w:eastAsia="Arial"/>
          <w:color w:val="000000"/>
          <w:sz w:val="22"/>
          <w:szCs w:val="22"/>
        </w:rPr>
        <w:t xml:space="preserve">E, por estarem justas e contratadas, assinam as Partes o presente Instrumento em </w:t>
      </w:r>
      <w:r w:rsidR="00444258">
        <w:rPr>
          <w:rFonts w:eastAsia="Arial"/>
          <w:color w:val="000000"/>
          <w:sz w:val="22"/>
          <w:szCs w:val="22"/>
        </w:rPr>
        <w:t>única via d</w:t>
      </w:r>
      <w:r w:rsidR="00D33D6E">
        <w:rPr>
          <w:rFonts w:eastAsia="Arial"/>
          <w:color w:val="000000"/>
          <w:sz w:val="22"/>
          <w:szCs w:val="22"/>
        </w:rPr>
        <w:t xml:space="preserve">igital, nos termos da cláusula 10.17 acima, </w:t>
      </w:r>
      <w:r w:rsidRPr="00233635">
        <w:rPr>
          <w:rFonts w:eastAsia="Arial"/>
          <w:color w:val="000000"/>
          <w:sz w:val="22"/>
          <w:szCs w:val="22"/>
        </w:rPr>
        <w:t>na presença de 2 (duas) testemunhas.</w:t>
      </w:r>
    </w:p>
    <w:p w14:paraId="1E583CC5" w14:textId="77777777" w:rsidR="00BC6BE1" w:rsidRPr="00233635" w:rsidRDefault="00BC6BE1"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p>
    <w:p w14:paraId="3A2004AB" w14:textId="21A16354" w:rsidR="00BC6BE1" w:rsidRPr="00233635" w:rsidRDefault="00D30263" w:rsidP="00233635">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sz w:val="22"/>
          <w:szCs w:val="22"/>
        </w:rPr>
        <w:t xml:space="preserve">São Paulo,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 xml:space="preserve">] </w:t>
      </w:r>
      <w:r w:rsidRPr="00233635">
        <w:rPr>
          <w:rFonts w:eastAsia="Arial"/>
          <w:sz w:val="22"/>
          <w:szCs w:val="22"/>
        </w:rPr>
        <w:t xml:space="preserve">de </w:t>
      </w:r>
      <w:r w:rsidR="006D7408">
        <w:rPr>
          <w:rFonts w:eastAsia="Arial"/>
          <w:color w:val="000000"/>
          <w:sz w:val="22"/>
          <w:szCs w:val="22"/>
        </w:rPr>
        <w:t>2022</w:t>
      </w:r>
      <w:r w:rsidR="006D7408" w:rsidRPr="00233635">
        <w:rPr>
          <w:rFonts w:eastAsia="Arial"/>
          <w:color w:val="000000"/>
          <w:sz w:val="22"/>
          <w:szCs w:val="22"/>
        </w:rPr>
        <w:t>.</w:t>
      </w:r>
    </w:p>
    <w:p w14:paraId="795FE950" w14:textId="267A657F" w:rsidR="00BC6BE1"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p w14:paraId="3237E30E" w14:textId="77777777" w:rsidR="00E404AD" w:rsidRPr="00E244BD" w:rsidRDefault="00E404AD" w:rsidP="00E404AD">
      <w:pPr>
        <w:widowControl w:val="0"/>
        <w:autoSpaceDE w:val="0"/>
        <w:autoSpaceDN w:val="0"/>
        <w:adjustRightInd w:val="0"/>
        <w:spacing w:line="240" w:lineRule="exact"/>
        <w:jc w:val="both"/>
        <w:rPr>
          <w:rFonts w:eastAsia="MS Mincho"/>
          <w:b/>
          <w:sz w:val="22"/>
          <w:szCs w:val="22"/>
          <w:lang w:eastAsia="en-US"/>
        </w:rPr>
      </w:pPr>
    </w:p>
    <w:p w14:paraId="250E5FE3" w14:textId="20761165" w:rsidR="00E404AD" w:rsidRDefault="008D1070" w:rsidP="00E404AD">
      <w:pPr>
        <w:widowControl w:val="0"/>
        <w:autoSpaceDE w:val="0"/>
        <w:autoSpaceDN w:val="0"/>
        <w:adjustRightInd w:val="0"/>
        <w:spacing w:line="240" w:lineRule="exact"/>
        <w:jc w:val="center"/>
        <w:rPr>
          <w:b/>
          <w:bCs/>
          <w:sz w:val="22"/>
          <w:szCs w:val="22"/>
        </w:rPr>
      </w:pPr>
      <w:r>
        <w:rPr>
          <w:b/>
          <w:sz w:val="22"/>
          <w:szCs w:val="22"/>
        </w:rPr>
        <w:t xml:space="preserve">[BERNOULLI ENERGIA LTDA.] </w:t>
      </w:r>
      <w:r w:rsidRPr="0096570D">
        <w:rPr>
          <w:b/>
          <w:sz w:val="22"/>
          <w:szCs w:val="22"/>
          <w:highlight w:val="yellow"/>
        </w:rPr>
        <w:t>OU</w:t>
      </w:r>
      <w:r>
        <w:rPr>
          <w:b/>
          <w:sz w:val="22"/>
          <w:szCs w:val="22"/>
        </w:rPr>
        <w:t xml:space="preserve"> [OUVIDOR ENERGIA LTDA.]</w:t>
      </w:r>
    </w:p>
    <w:p w14:paraId="125A61E1" w14:textId="3DC7DB8B" w:rsidR="00395B55" w:rsidRPr="00E244BD" w:rsidRDefault="00E404AD" w:rsidP="00395B55">
      <w:pPr>
        <w:widowControl w:val="0"/>
        <w:autoSpaceDE w:val="0"/>
        <w:autoSpaceDN w:val="0"/>
        <w:adjustRightInd w:val="0"/>
        <w:spacing w:line="240" w:lineRule="exact"/>
        <w:jc w:val="center"/>
        <w:rPr>
          <w:b/>
          <w:color w:val="000000"/>
          <w:sz w:val="22"/>
          <w:szCs w:val="22"/>
        </w:rPr>
      </w:pPr>
      <w:r>
        <w:rPr>
          <w:rFonts w:eastAsia="MS Mincho"/>
          <w:i/>
          <w:iCs/>
          <w:color w:val="000000"/>
          <w:sz w:val="22"/>
          <w:szCs w:val="22"/>
          <w:lang w:eastAsia="en-US"/>
        </w:rPr>
        <w:t xml:space="preserve"> </w:t>
      </w:r>
    </w:p>
    <w:p w14:paraId="029B7A10" w14:textId="04072A73" w:rsidR="00E404AD" w:rsidRDefault="00DB42D4" w:rsidP="00E404AD">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 xml:space="preserve">Titular </w:t>
      </w:r>
    </w:p>
    <w:p w14:paraId="21A668BF" w14:textId="77777777" w:rsidR="00E404AD" w:rsidRDefault="00E404AD" w:rsidP="00E404AD">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404AD" w14:paraId="2FA688FE" w14:textId="77777777" w:rsidTr="00D009D2">
        <w:tc>
          <w:tcPr>
            <w:tcW w:w="4786" w:type="dxa"/>
            <w:hideMark/>
          </w:tcPr>
          <w:p w14:paraId="080D22F4" w14:textId="77777777" w:rsidR="00E404AD" w:rsidRDefault="00E404AD" w:rsidP="00D009D2">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7B02A5FB" w14:textId="77777777" w:rsidR="00E404AD" w:rsidRDefault="00E404AD" w:rsidP="00D009D2">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404AD" w14:paraId="641436D3" w14:textId="77777777" w:rsidTr="00D009D2">
        <w:tc>
          <w:tcPr>
            <w:tcW w:w="4786" w:type="dxa"/>
            <w:hideMark/>
          </w:tcPr>
          <w:p w14:paraId="22E24706" w14:textId="77777777" w:rsidR="00E404AD" w:rsidRDefault="00E404AD" w:rsidP="00D009D2">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DCB8759" w14:textId="77777777" w:rsidR="00E404AD" w:rsidRDefault="00E404AD" w:rsidP="00D009D2">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404AD" w14:paraId="4A8E4E0E" w14:textId="77777777" w:rsidTr="00D009D2">
        <w:tc>
          <w:tcPr>
            <w:tcW w:w="4786" w:type="dxa"/>
            <w:hideMark/>
          </w:tcPr>
          <w:p w14:paraId="76882027" w14:textId="77777777" w:rsidR="00E404AD" w:rsidRDefault="00E404AD" w:rsidP="00D009D2">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5F4680C3" w14:textId="77777777" w:rsidR="00E404AD" w:rsidRDefault="00E404AD" w:rsidP="00D009D2">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2EC697C6" w14:textId="77777777" w:rsidR="00E404AD" w:rsidRDefault="00E404AD" w:rsidP="00D009D2">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3B96617" w14:textId="77777777" w:rsidR="00E404AD" w:rsidRDefault="00E404AD" w:rsidP="00D009D2">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40948C15" w14:textId="1DCEDE64" w:rsidR="002540E7" w:rsidRDefault="002540E7"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p w14:paraId="3B3670BF" w14:textId="77777777" w:rsidR="00502210" w:rsidRPr="00760BB3" w:rsidRDefault="00502210" w:rsidP="00502210">
      <w:pPr>
        <w:spacing w:line="300" w:lineRule="auto"/>
        <w:jc w:val="center"/>
        <w:rPr>
          <w:sz w:val="22"/>
          <w:szCs w:val="22"/>
        </w:rPr>
      </w:pPr>
    </w:p>
    <w:p w14:paraId="32901DB0"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DCFBBA8" w14:textId="77777777" w:rsidR="00502210" w:rsidRPr="005C399B" w:rsidRDefault="00502210" w:rsidP="00502210">
      <w:pPr>
        <w:spacing w:line="312" w:lineRule="auto"/>
        <w:jc w:val="both"/>
        <w:rPr>
          <w:rFonts w:eastAsia="MS Mincho"/>
          <w:i/>
          <w:sz w:val="22"/>
          <w:szCs w:val="22"/>
          <w:lang w:eastAsia="en-US"/>
        </w:rPr>
      </w:pPr>
    </w:p>
    <w:p w14:paraId="055F0A41" w14:textId="6C860C4E" w:rsidR="00502210" w:rsidRPr="00D84FA7" w:rsidRDefault="007B5867" w:rsidP="00455418">
      <w:pPr>
        <w:spacing w:line="312" w:lineRule="auto"/>
        <w:jc w:val="center"/>
        <w:rPr>
          <w:b/>
          <w:bCs/>
          <w:color w:val="000000"/>
          <w:sz w:val="22"/>
          <w:szCs w:val="22"/>
        </w:rPr>
      </w:pPr>
      <w:r>
        <w:rPr>
          <w:b/>
          <w:smallCaps/>
          <w:sz w:val="22"/>
          <w:szCs w:val="22"/>
        </w:rPr>
        <w:t>VIRGO COMPANHIA DE SECURITIZAÇÃO</w:t>
      </w:r>
    </w:p>
    <w:p w14:paraId="2A191A82" w14:textId="6D930A83" w:rsidR="00502210" w:rsidRPr="0015636E" w:rsidRDefault="007B5867" w:rsidP="00502210">
      <w:pPr>
        <w:widowControl w:val="0"/>
        <w:autoSpaceDE w:val="0"/>
        <w:autoSpaceDN w:val="0"/>
        <w:adjustRightInd w:val="0"/>
        <w:spacing w:line="312" w:lineRule="auto"/>
        <w:jc w:val="center"/>
        <w:rPr>
          <w:bCs/>
          <w:i/>
          <w:iCs/>
          <w:sz w:val="22"/>
          <w:szCs w:val="22"/>
        </w:rPr>
      </w:pPr>
      <w:r>
        <w:rPr>
          <w:bCs/>
          <w:i/>
          <w:iCs/>
          <w:sz w:val="22"/>
          <w:szCs w:val="22"/>
        </w:rPr>
        <w:t>Credora</w:t>
      </w:r>
    </w:p>
    <w:p w14:paraId="201ABE3A" w14:textId="77777777" w:rsidR="00502210" w:rsidRDefault="00502210" w:rsidP="00502210">
      <w:pPr>
        <w:widowControl w:val="0"/>
        <w:autoSpaceDE w:val="0"/>
        <w:autoSpaceDN w:val="0"/>
        <w:adjustRightInd w:val="0"/>
        <w:spacing w:line="312" w:lineRule="auto"/>
        <w:jc w:val="center"/>
        <w:rPr>
          <w:b/>
          <w:sz w:val="22"/>
          <w:szCs w:val="22"/>
        </w:rPr>
      </w:pPr>
    </w:p>
    <w:p w14:paraId="3D00781C" w14:textId="77777777" w:rsidR="00502210" w:rsidRPr="005C399B" w:rsidRDefault="00502210" w:rsidP="00502210">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502210" w:rsidRPr="0091049C" w14:paraId="10C5650A" w14:textId="77777777" w:rsidTr="00D009D2">
        <w:tc>
          <w:tcPr>
            <w:tcW w:w="4786" w:type="dxa"/>
          </w:tcPr>
          <w:p w14:paraId="560C971F"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______________________________</w:t>
            </w:r>
          </w:p>
        </w:tc>
        <w:tc>
          <w:tcPr>
            <w:tcW w:w="4111" w:type="dxa"/>
          </w:tcPr>
          <w:p w14:paraId="3C0E6F02"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______________________________</w:t>
            </w:r>
          </w:p>
        </w:tc>
      </w:tr>
      <w:tr w:rsidR="00502210" w:rsidRPr="0091049C" w14:paraId="67D70BF2" w14:textId="77777777" w:rsidTr="00D009D2">
        <w:tc>
          <w:tcPr>
            <w:tcW w:w="4786" w:type="dxa"/>
          </w:tcPr>
          <w:p w14:paraId="7FC1E4C8"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 xml:space="preserve">Nome: </w:t>
            </w:r>
          </w:p>
        </w:tc>
        <w:tc>
          <w:tcPr>
            <w:tcW w:w="4111" w:type="dxa"/>
          </w:tcPr>
          <w:p w14:paraId="4C72B6AE"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 xml:space="preserve">Nome: </w:t>
            </w:r>
          </w:p>
        </w:tc>
      </w:tr>
      <w:tr w:rsidR="00502210" w:rsidRPr="0091049C" w14:paraId="202FDEEB" w14:textId="77777777" w:rsidTr="00D009D2">
        <w:tc>
          <w:tcPr>
            <w:tcW w:w="4786" w:type="dxa"/>
          </w:tcPr>
          <w:p w14:paraId="3FF241D8"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 xml:space="preserve">CPF: </w:t>
            </w:r>
          </w:p>
          <w:p w14:paraId="4BD4C9C5" w14:textId="77777777" w:rsidR="00502210" w:rsidRPr="0091049C" w:rsidRDefault="00502210" w:rsidP="00D009D2">
            <w:pPr>
              <w:widowControl w:val="0"/>
              <w:autoSpaceDE w:val="0"/>
              <w:autoSpaceDN w:val="0"/>
              <w:adjustRightInd w:val="0"/>
              <w:spacing w:line="312" w:lineRule="auto"/>
              <w:rPr>
                <w:rFonts w:eastAsia="MS Mincho"/>
                <w:color w:val="000000"/>
                <w:lang w:eastAsia="en-US"/>
              </w:rPr>
            </w:pPr>
            <w:r w:rsidRPr="0091049C">
              <w:rPr>
                <w:rFonts w:eastAsia="MS Mincho"/>
                <w:color w:val="000000"/>
                <w:lang w:eastAsia="en-US"/>
              </w:rPr>
              <w:t xml:space="preserve">e-mail: </w:t>
            </w:r>
          </w:p>
        </w:tc>
        <w:tc>
          <w:tcPr>
            <w:tcW w:w="4111" w:type="dxa"/>
          </w:tcPr>
          <w:p w14:paraId="3D4D5D4A"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 xml:space="preserve">CPF: </w:t>
            </w:r>
          </w:p>
          <w:p w14:paraId="5C00A7BD" w14:textId="77777777" w:rsidR="00502210" w:rsidRPr="0091049C" w:rsidRDefault="00502210" w:rsidP="00D009D2">
            <w:pPr>
              <w:widowControl w:val="0"/>
              <w:autoSpaceDE w:val="0"/>
              <w:autoSpaceDN w:val="0"/>
              <w:adjustRightInd w:val="0"/>
              <w:spacing w:line="312" w:lineRule="auto"/>
              <w:jc w:val="both"/>
              <w:rPr>
                <w:rFonts w:eastAsia="MS Mincho"/>
                <w:color w:val="000000"/>
                <w:lang w:eastAsia="en-US"/>
              </w:rPr>
            </w:pPr>
            <w:r w:rsidRPr="0091049C">
              <w:rPr>
                <w:rFonts w:eastAsia="MS Mincho"/>
                <w:color w:val="000000"/>
                <w:lang w:eastAsia="en-US"/>
              </w:rPr>
              <w:t xml:space="preserve">e-mail: </w:t>
            </w:r>
          </w:p>
        </w:tc>
      </w:tr>
    </w:tbl>
    <w:p w14:paraId="6787AE5E" w14:textId="77777777" w:rsidR="00502210" w:rsidRDefault="00502210" w:rsidP="00502210">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4367739" w14:textId="588897D4" w:rsidR="002540E7" w:rsidRDefault="002540E7"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bl>
      <w:tblPr>
        <w:tblStyle w:val="a0"/>
        <w:tblW w:w="9747"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BC6BE1" w:rsidRPr="00233635" w14:paraId="5A8538F0" w14:textId="77777777">
        <w:trPr>
          <w:jc w:val="center"/>
        </w:trPr>
        <w:tc>
          <w:tcPr>
            <w:tcW w:w="9747" w:type="dxa"/>
            <w:gridSpan w:val="3"/>
          </w:tcPr>
          <w:p w14:paraId="064810F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sidRPr="00233635">
              <w:rPr>
                <w:rFonts w:eastAsia="Arial"/>
                <w:color w:val="000000"/>
                <w:sz w:val="22"/>
                <w:szCs w:val="22"/>
              </w:rPr>
              <w:t>__</w:t>
            </w:r>
            <w:r w:rsidRPr="00233635">
              <w:rPr>
                <w:rFonts w:eastAsia="Arial"/>
                <w:sz w:val="22"/>
                <w:szCs w:val="22"/>
              </w:rPr>
              <w:t>________________________________</w:t>
            </w:r>
          </w:p>
          <w:p w14:paraId="15BEAFB7"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QI SOCIEDADE DE CRÉDITO DIRETO S.A.</w:t>
            </w:r>
          </w:p>
          <w:p w14:paraId="4F67C1DE"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r w:rsidR="00BC6BE1" w:rsidRPr="00233635" w14:paraId="26CC905B" w14:textId="77777777">
        <w:trPr>
          <w:jc w:val="center"/>
        </w:trPr>
        <w:tc>
          <w:tcPr>
            <w:tcW w:w="4810" w:type="dxa"/>
          </w:tcPr>
          <w:p w14:paraId="43E6407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333" w:type="dxa"/>
          </w:tcPr>
          <w:p w14:paraId="73447AB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c>
          <w:tcPr>
            <w:tcW w:w="4604" w:type="dxa"/>
          </w:tcPr>
          <w:p w14:paraId="2525662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p>
        </w:tc>
      </w:tr>
    </w:tbl>
    <w:p w14:paraId="10CAB0A7"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4AE7B5FB"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363D4AAE"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Testemunhas: </w:t>
      </w:r>
    </w:p>
    <w:p w14:paraId="6866CFA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tbl>
      <w:tblPr>
        <w:tblStyle w:val="a1"/>
        <w:tblW w:w="9693" w:type="dxa"/>
        <w:tblInd w:w="0" w:type="dxa"/>
        <w:tblLayout w:type="fixed"/>
        <w:tblLook w:val="0400" w:firstRow="0" w:lastRow="0" w:firstColumn="0" w:lastColumn="0" w:noHBand="0" w:noVBand="1"/>
      </w:tblPr>
      <w:tblGrid>
        <w:gridCol w:w="4846"/>
        <w:gridCol w:w="4847"/>
      </w:tblGrid>
      <w:tr w:rsidR="00BC6BE1" w:rsidRPr="00233635" w14:paraId="184193DC" w14:textId="77777777">
        <w:tc>
          <w:tcPr>
            <w:tcW w:w="4846" w:type="dxa"/>
            <w:shd w:val="clear" w:color="auto" w:fill="auto"/>
            <w:tcMar>
              <w:top w:w="0" w:type="dxa"/>
              <w:left w:w="108" w:type="dxa"/>
              <w:bottom w:w="0" w:type="dxa"/>
              <w:right w:w="108" w:type="dxa"/>
            </w:tcMar>
          </w:tcPr>
          <w:p w14:paraId="4B38F65C"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1. ____________________________________ </w:t>
            </w:r>
          </w:p>
          <w:p w14:paraId="6350063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100AF07B"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c>
          <w:tcPr>
            <w:tcW w:w="4847" w:type="dxa"/>
            <w:shd w:val="clear" w:color="auto" w:fill="auto"/>
            <w:tcMar>
              <w:top w:w="0" w:type="dxa"/>
              <w:left w:w="108" w:type="dxa"/>
              <w:bottom w:w="0" w:type="dxa"/>
              <w:right w:w="108" w:type="dxa"/>
            </w:tcMar>
          </w:tcPr>
          <w:p w14:paraId="0EB84E4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2. ____________________________________</w:t>
            </w:r>
          </w:p>
          <w:p w14:paraId="4F9F474A"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 xml:space="preserve">Nome: </w:t>
            </w:r>
          </w:p>
          <w:p w14:paraId="2C7ED1C1"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r w:rsidRPr="00233635">
              <w:rPr>
                <w:rFonts w:eastAsia="Arial"/>
                <w:sz w:val="22"/>
                <w:szCs w:val="22"/>
              </w:rPr>
              <w:t>CPF:</w:t>
            </w:r>
          </w:p>
        </w:tc>
      </w:tr>
    </w:tbl>
    <w:p w14:paraId="26D221FC"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rPr>
          <w:rFonts w:eastAsia="Arial"/>
          <w:sz w:val="22"/>
          <w:szCs w:val="22"/>
        </w:rPr>
      </w:pPr>
    </w:p>
    <w:p w14:paraId="666E89D3" w14:textId="77777777" w:rsidR="00BC6BE1" w:rsidRPr="00233635" w:rsidRDefault="00D30263" w:rsidP="00233635">
      <w:pPr>
        <w:spacing w:line="300" w:lineRule="auto"/>
        <w:rPr>
          <w:rFonts w:eastAsia="Arial"/>
          <w:sz w:val="22"/>
          <w:szCs w:val="22"/>
        </w:rPr>
      </w:pPr>
      <w:r w:rsidRPr="00233635">
        <w:rPr>
          <w:sz w:val="22"/>
          <w:szCs w:val="22"/>
        </w:rPr>
        <w:br w:type="page"/>
      </w:r>
    </w:p>
    <w:p w14:paraId="39AA5638" w14:textId="77777777" w:rsidR="00BC6BE1" w:rsidRPr="00233635" w:rsidRDefault="00BC6BE1" w:rsidP="00233635">
      <w:pPr>
        <w:spacing w:line="300" w:lineRule="auto"/>
        <w:rPr>
          <w:rFonts w:eastAsia="Arial"/>
          <w:b/>
          <w:sz w:val="22"/>
          <w:szCs w:val="22"/>
        </w:rPr>
      </w:pPr>
    </w:p>
    <w:p w14:paraId="56BA71C4"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Anexo I</w:t>
      </w:r>
    </w:p>
    <w:p w14:paraId="49AB5AB9" w14:textId="3D073F4C"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 xml:space="preserve">Contrato de Prestação de Serviço de Cobrança de Recursos e Outras Avenças Nº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r w:rsidR="008D1070" w:rsidRPr="00233635">
        <w:rPr>
          <w:rFonts w:eastAsia="Arial"/>
          <w:sz w:val="22"/>
          <w:szCs w:val="22"/>
        </w:rPr>
        <w:t>/</w:t>
      </w:r>
    </w:p>
    <w:p w14:paraId="4DC441F9"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p w14:paraId="7D23D455" w14:textId="77777777"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b/>
          <w:sz w:val="22"/>
          <w:szCs w:val="22"/>
        </w:rPr>
        <w:t>RELAÇÃO DE CONTAS AUTORIZADAS</w:t>
      </w:r>
    </w:p>
    <w:p w14:paraId="6295A9C7" w14:textId="40FCC44A" w:rsidR="00BC6BE1" w:rsidRPr="00233635" w:rsidRDefault="00D30263"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sidRPr="00233635">
        <w:rPr>
          <w:rFonts w:eastAsia="Arial"/>
          <w:sz w:val="22"/>
          <w:szCs w:val="22"/>
        </w:rPr>
        <w:t xml:space="preserve">Data da última atualização: </w:t>
      </w:r>
      <w:r w:rsidR="008D1070">
        <w:rPr>
          <w:rFonts w:eastAsia="Arial"/>
          <w:sz w:val="22"/>
          <w:szCs w:val="22"/>
        </w:rPr>
        <w:t>[</w:t>
      </w:r>
      <w:r w:rsidR="008D1070" w:rsidRPr="00455418">
        <w:rPr>
          <w:rFonts w:eastAsia="Arial"/>
          <w:sz w:val="22"/>
          <w:szCs w:val="22"/>
          <w:highlight w:val="yellow"/>
        </w:rPr>
        <w:t>completar</w:t>
      </w:r>
      <w:r w:rsidR="008D1070">
        <w:rPr>
          <w:rFonts w:eastAsia="Arial"/>
          <w:sz w:val="22"/>
          <w:szCs w:val="22"/>
        </w:rPr>
        <w:t>]</w:t>
      </w:r>
      <w:r w:rsidR="003B7272" w:rsidRPr="00233635">
        <w:rPr>
          <w:rFonts w:eastAsia="Arial"/>
          <w:sz w:val="22"/>
          <w:szCs w:val="22"/>
        </w:rPr>
        <w:t>/</w:t>
      </w:r>
      <w:r w:rsidR="00181298">
        <w:rPr>
          <w:rFonts w:eastAsia="Arial"/>
          <w:sz w:val="22"/>
          <w:szCs w:val="22"/>
        </w:rPr>
        <w:t>2022</w:t>
      </w:r>
    </w:p>
    <w:p w14:paraId="229F1C86" w14:textId="77777777" w:rsidR="00BC6BE1" w:rsidRPr="00233635" w:rsidRDefault="00BC6BE1" w:rsidP="00233635">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tbl>
      <w:tblPr>
        <w:tblStyle w:val="a2"/>
        <w:tblW w:w="104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gridCol w:w="2036"/>
      </w:tblGrid>
      <w:tr w:rsidR="00DB42D4" w:rsidRPr="00233635" w14:paraId="77D5BC05" w14:textId="39A6E7D9" w:rsidTr="008A7A32">
        <w:trPr>
          <w:trHeight w:val="280"/>
          <w:jc w:val="center"/>
        </w:trPr>
        <w:tc>
          <w:tcPr>
            <w:tcW w:w="485" w:type="dxa"/>
          </w:tcPr>
          <w:p w14:paraId="4D16035E"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w:t>
            </w:r>
          </w:p>
        </w:tc>
        <w:tc>
          <w:tcPr>
            <w:tcW w:w="2262" w:type="dxa"/>
            <w:shd w:val="clear" w:color="auto" w:fill="auto"/>
            <w:tcMar>
              <w:top w:w="0" w:type="dxa"/>
              <w:left w:w="108" w:type="dxa"/>
              <w:bottom w:w="0" w:type="dxa"/>
              <w:right w:w="108" w:type="dxa"/>
            </w:tcMar>
          </w:tcPr>
          <w:p w14:paraId="608BF9F3"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Instituição</w:t>
            </w:r>
          </w:p>
          <w:p w14:paraId="7500C01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p w14:paraId="38D5D98B"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p>
        </w:tc>
        <w:tc>
          <w:tcPr>
            <w:tcW w:w="1287" w:type="dxa"/>
            <w:shd w:val="clear" w:color="auto" w:fill="auto"/>
            <w:tcMar>
              <w:top w:w="0" w:type="dxa"/>
              <w:left w:w="108" w:type="dxa"/>
              <w:bottom w:w="0" w:type="dxa"/>
              <w:right w:w="108" w:type="dxa"/>
            </w:tcMar>
          </w:tcPr>
          <w:p w14:paraId="7F078355"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 xml:space="preserve">Conta </w:t>
            </w:r>
          </w:p>
        </w:tc>
        <w:tc>
          <w:tcPr>
            <w:tcW w:w="2390" w:type="dxa"/>
          </w:tcPr>
          <w:p w14:paraId="5E464BEA"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color w:val="000000"/>
                <w:sz w:val="22"/>
                <w:szCs w:val="22"/>
              </w:rPr>
              <w:t>Titularidade</w:t>
            </w:r>
          </w:p>
        </w:tc>
        <w:tc>
          <w:tcPr>
            <w:tcW w:w="2036" w:type="dxa"/>
          </w:tcPr>
          <w:p w14:paraId="49DB298C" w14:textId="77777777" w:rsidR="00DB42D4" w:rsidRPr="00233635" w:rsidRDefault="00DB42D4"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color w:val="000000"/>
                <w:sz w:val="22"/>
                <w:szCs w:val="22"/>
              </w:rPr>
            </w:pPr>
            <w:r w:rsidRPr="00233635">
              <w:rPr>
                <w:rFonts w:eastAsia="Arial"/>
                <w:b/>
                <w:sz w:val="22"/>
                <w:szCs w:val="22"/>
              </w:rPr>
              <w:t>CNPJ/CPF</w:t>
            </w:r>
          </w:p>
        </w:tc>
        <w:tc>
          <w:tcPr>
            <w:tcW w:w="2036" w:type="dxa"/>
          </w:tcPr>
          <w:p w14:paraId="531944F3" w14:textId="6E2590E6" w:rsidR="00DB42D4" w:rsidRPr="00233635" w:rsidRDefault="008844EB"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r>
              <w:rPr>
                <w:rFonts w:eastAsia="Arial"/>
                <w:b/>
                <w:sz w:val="22"/>
                <w:szCs w:val="22"/>
              </w:rPr>
              <w:t>Percentual</w:t>
            </w:r>
          </w:p>
        </w:tc>
      </w:tr>
      <w:tr w:rsidR="00DB42D4" w:rsidRPr="00233635" w14:paraId="12B996C2" w14:textId="30364F30" w:rsidTr="008A7A32">
        <w:trPr>
          <w:trHeight w:val="100"/>
          <w:jc w:val="center"/>
        </w:trPr>
        <w:tc>
          <w:tcPr>
            <w:tcW w:w="485" w:type="dxa"/>
          </w:tcPr>
          <w:p w14:paraId="5D9AF5B0" w14:textId="6A3118FF" w:rsidR="00DB42D4" w:rsidRPr="00233635" w:rsidRDefault="00083A8D"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1</w:t>
            </w:r>
          </w:p>
        </w:tc>
        <w:tc>
          <w:tcPr>
            <w:tcW w:w="2262" w:type="dxa"/>
            <w:shd w:val="clear" w:color="auto" w:fill="auto"/>
            <w:tcMar>
              <w:top w:w="0" w:type="dxa"/>
              <w:left w:w="108" w:type="dxa"/>
              <w:bottom w:w="0" w:type="dxa"/>
              <w:right w:w="108" w:type="dxa"/>
            </w:tcMar>
          </w:tcPr>
          <w:p w14:paraId="1CD0541B" w14:textId="3C032A7E" w:rsidR="00DB42D4" w:rsidRPr="00233635" w:rsidRDefault="008D107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color w:val="000000"/>
                <w:sz w:val="22"/>
                <w:szCs w:val="22"/>
              </w:rPr>
            </w:pPr>
            <w:r>
              <w:rPr>
                <w:rFonts w:eastAsia="Arial"/>
                <w:sz w:val="22"/>
                <w:szCs w:val="22"/>
              </w:rPr>
              <w:t>[</w:t>
            </w:r>
            <w:r w:rsidRPr="0096570D">
              <w:rPr>
                <w:rFonts w:eastAsia="Arial"/>
                <w:sz w:val="22"/>
                <w:szCs w:val="22"/>
                <w:highlight w:val="yellow"/>
              </w:rPr>
              <w:t>completar</w:t>
            </w:r>
            <w:r>
              <w:rPr>
                <w:rFonts w:eastAsia="Arial"/>
                <w:sz w:val="22"/>
                <w:szCs w:val="22"/>
              </w:rPr>
              <w:t>]</w:t>
            </w:r>
            <w:r w:rsidRPr="00233635">
              <w:rPr>
                <w:rFonts w:eastAsia="Arial"/>
                <w:sz w:val="22"/>
                <w:szCs w:val="22"/>
              </w:rPr>
              <w:t>/</w:t>
            </w:r>
          </w:p>
        </w:tc>
        <w:tc>
          <w:tcPr>
            <w:tcW w:w="1287" w:type="dxa"/>
            <w:shd w:val="clear" w:color="auto" w:fill="auto"/>
            <w:tcMar>
              <w:top w:w="0" w:type="dxa"/>
              <w:left w:w="108" w:type="dxa"/>
              <w:bottom w:w="0" w:type="dxa"/>
              <w:right w:w="108" w:type="dxa"/>
            </w:tcMar>
          </w:tcPr>
          <w:p w14:paraId="7F374A40" w14:textId="6081F4EB" w:rsidR="00DB42D4" w:rsidRPr="00233635" w:rsidRDefault="008D107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both"/>
              <w:rPr>
                <w:rFonts w:eastAsia="Arial"/>
                <w:sz w:val="22"/>
                <w:szCs w:val="22"/>
              </w:rPr>
            </w:pPr>
            <w:r>
              <w:rPr>
                <w:rFonts w:eastAsia="Arial"/>
                <w:sz w:val="22"/>
                <w:szCs w:val="22"/>
              </w:rPr>
              <w:t>[</w:t>
            </w:r>
            <w:r w:rsidRPr="0096570D">
              <w:rPr>
                <w:rFonts w:eastAsia="Arial"/>
                <w:sz w:val="22"/>
                <w:szCs w:val="22"/>
                <w:highlight w:val="yellow"/>
              </w:rPr>
              <w:t>completar</w:t>
            </w:r>
            <w:r>
              <w:rPr>
                <w:rFonts w:eastAsia="Arial"/>
                <w:sz w:val="22"/>
                <w:szCs w:val="22"/>
              </w:rPr>
              <w:t>]</w:t>
            </w:r>
          </w:p>
        </w:tc>
        <w:tc>
          <w:tcPr>
            <w:tcW w:w="2390" w:type="dxa"/>
          </w:tcPr>
          <w:p w14:paraId="07286D2B" w14:textId="749DD0B5" w:rsidR="00DB42D4" w:rsidRPr="00233635" w:rsidRDefault="008D107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color w:val="000000"/>
                <w:sz w:val="22"/>
                <w:szCs w:val="22"/>
              </w:rPr>
            </w:pPr>
            <w:r>
              <w:rPr>
                <w:rFonts w:eastAsia="Arial"/>
                <w:sz w:val="22"/>
                <w:szCs w:val="22"/>
              </w:rPr>
              <w:t>[</w:t>
            </w:r>
            <w:r w:rsidRPr="0096570D">
              <w:rPr>
                <w:rFonts w:eastAsia="Arial"/>
                <w:sz w:val="22"/>
                <w:szCs w:val="22"/>
                <w:highlight w:val="yellow"/>
              </w:rPr>
              <w:t>completar</w:t>
            </w:r>
            <w:r>
              <w:rPr>
                <w:rFonts w:eastAsia="Arial"/>
                <w:sz w:val="22"/>
                <w:szCs w:val="22"/>
              </w:rPr>
              <w:t>]</w:t>
            </w:r>
            <w:r w:rsidRPr="00233635">
              <w:rPr>
                <w:rFonts w:eastAsia="Arial"/>
                <w:sz w:val="22"/>
                <w:szCs w:val="22"/>
              </w:rPr>
              <w:t>/</w:t>
            </w:r>
          </w:p>
        </w:tc>
        <w:tc>
          <w:tcPr>
            <w:tcW w:w="2036" w:type="dxa"/>
          </w:tcPr>
          <w:p w14:paraId="34F0BE19" w14:textId="2CAC8039" w:rsidR="00DB42D4" w:rsidRPr="00233635" w:rsidRDefault="008D1070"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w:t>
            </w:r>
            <w:r w:rsidRPr="0096570D">
              <w:rPr>
                <w:rFonts w:eastAsia="Arial"/>
                <w:sz w:val="22"/>
                <w:szCs w:val="22"/>
                <w:highlight w:val="yellow"/>
              </w:rPr>
              <w:t>completar</w:t>
            </w:r>
            <w:r>
              <w:rPr>
                <w:rFonts w:eastAsia="Arial"/>
                <w:sz w:val="22"/>
                <w:szCs w:val="22"/>
              </w:rPr>
              <w:t>]</w:t>
            </w:r>
            <w:r w:rsidRPr="00233635">
              <w:rPr>
                <w:rFonts w:eastAsia="Arial"/>
                <w:sz w:val="22"/>
                <w:szCs w:val="22"/>
              </w:rPr>
              <w:t>/</w:t>
            </w:r>
          </w:p>
        </w:tc>
        <w:tc>
          <w:tcPr>
            <w:tcW w:w="2036" w:type="dxa"/>
          </w:tcPr>
          <w:p w14:paraId="2E88A7F3" w14:textId="3515B750" w:rsidR="00DB42D4" w:rsidRPr="00233635" w:rsidRDefault="00D17979" w:rsidP="00233635">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sz w:val="22"/>
                <w:szCs w:val="22"/>
              </w:rPr>
            </w:pPr>
            <w:r>
              <w:rPr>
                <w:rFonts w:eastAsia="Arial"/>
                <w:sz w:val="22"/>
                <w:szCs w:val="22"/>
              </w:rPr>
              <w:t>100%</w:t>
            </w:r>
          </w:p>
        </w:tc>
      </w:tr>
    </w:tbl>
    <w:p w14:paraId="77886A25" w14:textId="68F9C9C4" w:rsidR="00BC6BE1" w:rsidRPr="00233635" w:rsidRDefault="00BC6BE1" w:rsidP="000C5E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uto"/>
        <w:jc w:val="center"/>
        <w:rPr>
          <w:rFonts w:eastAsia="Arial"/>
          <w:b/>
          <w:sz w:val="22"/>
          <w:szCs w:val="22"/>
        </w:rPr>
      </w:pPr>
    </w:p>
    <w:sectPr w:rsidR="00BC6BE1" w:rsidRPr="00233635">
      <w:headerReference w:type="default" r:id="rId10"/>
      <w:footerReference w:type="default" r:id="rId11"/>
      <w:pgSz w:w="11907" w:h="16840"/>
      <w:pgMar w:top="1440" w:right="1134" w:bottom="1440" w:left="1080" w:header="993"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0C0EC" w14:textId="77777777" w:rsidR="00EA2239" w:rsidRDefault="00EA2239">
      <w:r>
        <w:separator/>
      </w:r>
    </w:p>
  </w:endnote>
  <w:endnote w:type="continuationSeparator" w:id="0">
    <w:p w14:paraId="58B416B7" w14:textId="77777777" w:rsidR="00EA2239" w:rsidRDefault="00EA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9D41" w14:textId="77777777" w:rsidR="00BC6BE1" w:rsidRDefault="00D30263">
    <w:pPr>
      <w:pBdr>
        <w:top w:val="nil"/>
        <w:left w:val="nil"/>
        <w:bottom w:val="nil"/>
        <w:right w:val="nil"/>
        <w:between w:val="nil"/>
      </w:pBdr>
      <w:tabs>
        <w:tab w:val="center" w:pos="4419"/>
        <w:tab w:val="right" w:pos="8838"/>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F41554">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9B699DB" w14:textId="09992419" w:rsidR="00BC6BE1" w:rsidRDefault="00D30263">
    <w:pPr>
      <w:jc w:val="center"/>
      <w:rPr>
        <w:rFonts w:ascii="Arial" w:eastAsia="Arial" w:hAnsi="Arial" w:cs="Arial"/>
      </w:rPr>
    </w:pPr>
    <w:r>
      <w:rPr>
        <w:rFonts w:ascii="Arial" w:eastAsia="Arial" w:hAnsi="Arial" w:cs="Arial"/>
        <w:b/>
        <w:sz w:val="22"/>
        <w:szCs w:val="22"/>
      </w:rPr>
      <w:t xml:space="preserve">Contrato de Prestação de Serviço de </w:t>
    </w:r>
    <w:r w:rsidR="006D69FB">
      <w:rPr>
        <w:rFonts w:ascii="Arial" w:eastAsia="Arial" w:hAnsi="Arial" w:cs="Arial"/>
        <w:b/>
        <w:sz w:val="22"/>
        <w:szCs w:val="22"/>
      </w:rPr>
      <w:t>Conta Vinculada</w:t>
    </w:r>
    <w:r>
      <w:rPr>
        <w:rFonts w:ascii="Arial" w:eastAsia="Arial" w:hAnsi="Arial" w:cs="Arial"/>
        <w:b/>
        <w:sz w:val="22"/>
        <w:szCs w:val="22"/>
      </w:rPr>
      <w:t xml:space="preserve"> e Outras Avenças Nº</w:t>
    </w:r>
    <w:r w:rsidR="008D1070">
      <w:rPr>
        <w:rFonts w:ascii="Arial" w:eastAsia="Arial" w:hAnsi="Arial" w:cs="Arial"/>
        <w:b/>
        <w:sz w:val="22"/>
        <w:szCs w:val="22"/>
      </w:rPr>
      <w:t xml:space="preserve"> </w:t>
    </w:r>
    <w:r w:rsidR="008D1070">
      <w:rPr>
        <w:rFonts w:eastAsia="Arial"/>
        <w:sz w:val="22"/>
        <w:szCs w:val="22"/>
      </w:rPr>
      <w:t>[</w:t>
    </w:r>
    <w:r w:rsidR="008D1070" w:rsidRPr="0096570D">
      <w:rPr>
        <w:rFonts w:eastAsia="Arial"/>
        <w:sz w:val="22"/>
        <w:szCs w:val="22"/>
        <w:highlight w:val="yellow"/>
      </w:rPr>
      <w:t>completar</w:t>
    </w:r>
    <w:r w:rsidR="008D1070">
      <w:rPr>
        <w:rFonts w:eastAsia="Arial"/>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913F" w14:textId="77777777" w:rsidR="00EA2239" w:rsidRDefault="00EA2239">
      <w:r>
        <w:separator/>
      </w:r>
    </w:p>
  </w:footnote>
  <w:footnote w:type="continuationSeparator" w:id="0">
    <w:p w14:paraId="54A4C01A" w14:textId="77777777" w:rsidR="00EA2239" w:rsidRDefault="00EA2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14DE" w14:textId="77777777" w:rsidR="00BC6BE1" w:rsidRDefault="00BC6BE1">
    <w:pPr>
      <w:pBdr>
        <w:top w:val="nil"/>
        <w:left w:val="nil"/>
        <w:bottom w:val="nil"/>
        <w:right w:val="nil"/>
        <w:between w:val="nil"/>
      </w:pBdr>
      <w:tabs>
        <w:tab w:val="center" w:pos="4419"/>
        <w:tab w:val="right" w:pos="8838"/>
      </w:tabs>
      <w:ind w:right="360"/>
      <w:rPr>
        <w:i/>
        <w:color w:val="00000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 w15:restartNumberingAfterBreak="0">
    <w:nsid w:val="06924F70"/>
    <w:multiLevelType w:val="multilevel"/>
    <w:tmpl w:val="48A0A338"/>
    <w:name w:val="House_Style5"/>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3"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13117386">
    <w:abstractNumId w:val="10"/>
  </w:num>
  <w:num w:numId="2" w16cid:durableId="310597922">
    <w:abstractNumId w:val="11"/>
  </w:num>
  <w:num w:numId="3" w16cid:durableId="930088600">
    <w:abstractNumId w:val="8"/>
  </w:num>
  <w:num w:numId="4" w16cid:durableId="1512450432">
    <w:abstractNumId w:val="12"/>
  </w:num>
  <w:num w:numId="5" w16cid:durableId="150295432">
    <w:abstractNumId w:val="13"/>
  </w:num>
  <w:num w:numId="6" w16cid:durableId="313725625">
    <w:abstractNumId w:val="0"/>
  </w:num>
  <w:num w:numId="7" w16cid:durableId="753817903">
    <w:abstractNumId w:val="6"/>
  </w:num>
  <w:num w:numId="8" w16cid:durableId="1896234743">
    <w:abstractNumId w:val="3"/>
  </w:num>
  <w:num w:numId="9" w16cid:durableId="1525940907">
    <w:abstractNumId w:val="7"/>
  </w:num>
  <w:num w:numId="10" w16cid:durableId="2011639250">
    <w:abstractNumId w:val="2"/>
  </w:num>
  <w:num w:numId="11" w16cid:durableId="1198204985">
    <w:abstractNumId w:val="14"/>
  </w:num>
  <w:num w:numId="12" w16cid:durableId="971210310">
    <w:abstractNumId w:val="4"/>
  </w:num>
  <w:num w:numId="13" w16cid:durableId="697773613">
    <w:abstractNumId w:val="9"/>
  </w:num>
  <w:num w:numId="14" w16cid:durableId="1795364410">
    <w:abstractNumId w:val="5"/>
  </w:num>
  <w:num w:numId="15" w16cid:durableId="1189219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E1"/>
    <w:rsid w:val="00000A9F"/>
    <w:rsid w:val="00010134"/>
    <w:rsid w:val="0001034E"/>
    <w:rsid w:val="00027DB4"/>
    <w:rsid w:val="00051193"/>
    <w:rsid w:val="00083A8D"/>
    <w:rsid w:val="00090C74"/>
    <w:rsid w:val="000A5C42"/>
    <w:rsid w:val="000C5EB0"/>
    <w:rsid w:val="000E336D"/>
    <w:rsid w:val="000F1923"/>
    <w:rsid w:val="000F3D0A"/>
    <w:rsid w:val="001124D3"/>
    <w:rsid w:val="00112FE5"/>
    <w:rsid w:val="00120611"/>
    <w:rsid w:val="00126CAC"/>
    <w:rsid w:val="00157A6F"/>
    <w:rsid w:val="00167EB1"/>
    <w:rsid w:val="00170345"/>
    <w:rsid w:val="00170615"/>
    <w:rsid w:val="00181298"/>
    <w:rsid w:val="001A7C24"/>
    <w:rsid w:val="001C2A4A"/>
    <w:rsid w:val="001D0300"/>
    <w:rsid w:val="001D192B"/>
    <w:rsid w:val="001E0F26"/>
    <w:rsid w:val="001F7D6D"/>
    <w:rsid w:val="00233635"/>
    <w:rsid w:val="0023460E"/>
    <w:rsid w:val="002418C8"/>
    <w:rsid w:val="002512A8"/>
    <w:rsid w:val="002540E7"/>
    <w:rsid w:val="00254F0C"/>
    <w:rsid w:val="00267579"/>
    <w:rsid w:val="00296F7D"/>
    <w:rsid w:val="002A3DAD"/>
    <w:rsid w:val="002B33D7"/>
    <w:rsid w:val="002B7116"/>
    <w:rsid w:val="002D69CF"/>
    <w:rsid w:val="00340E3A"/>
    <w:rsid w:val="003501DB"/>
    <w:rsid w:val="00377A6B"/>
    <w:rsid w:val="003803AF"/>
    <w:rsid w:val="00387228"/>
    <w:rsid w:val="00387E2D"/>
    <w:rsid w:val="00395B55"/>
    <w:rsid w:val="003B172A"/>
    <w:rsid w:val="003B3472"/>
    <w:rsid w:val="003B7272"/>
    <w:rsid w:val="003E24AC"/>
    <w:rsid w:val="003E6C40"/>
    <w:rsid w:val="003F798F"/>
    <w:rsid w:val="004024F3"/>
    <w:rsid w:val="00444258"/>
    <w:rsid w:val="0044562F"/>
    <w:rsid w:val="00446762"/>
    <w:rsid w:val="004507DB"/>
    <w:rsid w:val="00455418"/>
    <w:rsid w:val="00474B57"/>
    <w:rsid w:val="00492797"/>
    <w:rsid w:val="00493AD8"/>
    <w:rsid w:val="004B076F"/>
    <w:rsid w:val="004D6C39"/>
    <w:rsid w:val="004E0AC1"/>
    <w:rsid w:val="004E7F89"/>
    <w:rsid w:val="004F3818"/>
    <w:rsid w:val="004F3C52"/>
    <w:rsid w:val="00502210"/>
    <w:rsid w:val="005330D1"/>
    <w:rsid w:val="00540ED1"/>
    <w:rsid w:val="0055264C"/>
    <w:rsid w:val="00552BCC"/>
    <w:rsid w:val="00597EC8"/>
    <w:rsid w:val="005A34D2"/>
    <w:rsid w:val="005F606A"/>
    <w:rsid w:val="005F6382"/>
    <w:rsid w:val="00623988"/>
    <w:rsid w:val="006348AA"/>
    <w:rsid w:val="00662588"/>
    <w:rsid w:val="00665D5A"/>
    <w:rsid w:val="00673749"/>
    <w:rsid w:val="0068788E"/>
    <w:rsid w:val="006A1B3D"/>
    <w:rsid w:val="006A3EB0"/>
    <w:rsid w:val="006A7218"/>
    <w:rsid w:val="006B2975"/>
    <w:rsid w:val="006D4C9B"/>
    <w:rsid w:val="006D5FF7"/>
    <w:rsid w:val="006D6167"/>
    <w:rsid w:val="006D69FB"/>
    <w:rsid w:val="006D71DF"/>
    <w:rsid w:val="006D7408"/>
    <w:rsid w:val="006E29B4"/>
    <w:rsid w:val="006E4FAF"/>
    <w:rsid w:val="00790210"/>
    <w:rsid w:val="007A792B"/>
    <w:rsid w:val="007B5867"/>
    <w:rsid w:val="007C5DF4"/>
    <w:rsid w:val="007E6535"/>
    <w:rsid w:val="00806011"/>
    <w:rsid w:val="008144A0"/>
    <w:rsid w:val="008275FC"/>
    <w:rsid w:val="00837A1F"/>
    <w:rsid w:val="0084421B"/>
    <w:rsid w:val="00856E58"/>
    <w:rsid w:val="008808CC"/>
    <w:rsid w:val="008844EB"/>
    <w:rsid w:val="0089372D"/>
    <w:rsid w:val="008A7A32"/>
    <w:rsid w:val="008D1070"/>
    <w:rsid w:val="008D48A8"/>
    <w:rsid w:val="008E10E4"/>
    <w:rsid w:val="00905591"/>
    <w:rsid w:val="00907316"/>
    <w:rsid w:val="0091399A"/>
    <w:rsid w:val="009408F3"/>
    <w:rsid w:val="0094361F"/>
    <w:rsid w:val="009623D3"/>
    <w:rsid w:val="00976BED"/>
    <w:rsid w:val="009833BD"/>
    <w:rsid w:val="009D0B59"/>
    <w:rsid w:val="009E6F65"/>
    <w:rsid w:val="00A053E4"/>
    <w:rsid w:val="00A10E74"/>
    <w:rsid w:val="00A123F7"/>
    <w:rsid w:val="00A2397A"/>
    <w:rsid w:val="00A27407"/>
    <w:rsid w:val="00A45366"/>
    <w:rsid w:val="00A47A91"/>
    <w:rsid w:val="00A50A36"/>
    <w:rsid w:val="00A6090C"/>
    <w:rsid w:val="00A648A9"/>
    <w:rsid w:val="00A65A9F"/>
    <w:rsid w:val="00AA1635"/>
    <w:rsid w:val="00AC3114"/>
    <w:rsid w:val="00AD0242"/>
    <w:rsid w:val="00AD0B94"/>
    <w:rsid w:val="00AD274A"/>
    <w:rsid w:val="00AE79EF"/>
    <w:rsid w:val="00AF2E80"/>
    <w:rsid w:val="00B0339B"/>
    <w:rsid w:val="00B05090"/>
    <w:rsid w:val="00B06DAF"/>
    <w:rsid w:val="00B31E20"/>
    <w:rsid w:val="00B57CD5"/>
    <w:rsid w:val="00B679EB"/>
    <w:rsid w:val="00B92A31"/>
    <w:rsid w:val="00BA6190"/>
    <w:rsid w:val="00BB4469"/>
    <w:rsid w:val="00BC6BE1"/>
    <w:rsid w:val="00BC7245"/>
    <w:rsid w:val="00BE27EF"/>
    <w:rsid w:val="00C476BF"/>
    <w:rsid w:val="00C54632"/>
    <w:rsid w:val="00C54F2B"/>
    <w:rsid w:val="00C817BE"/>
    <w:rsid w:val="00C85521"/>
    <w:rsid w:val="00C94544"/>
    <w:rsid w:val="00CA29AC"/>
    <w:rsid w:val="00CC0575"/>
    <w:rsid w:val="00CC150F"/>
    <w:rsid w:val="00CC1FCC"/>
    <w:rsid w:val="00CD5D75"/>
    <w:rsid w:val="00CE0912"/>
    <w:rsid w:val="00CE749B"/>
    <w:rsid w:val="00D17979"/>
    <w:rsid w:val="00D30263"/>
    <w:rsid w:val="00D3069A"/>
    <w:rsid w:val="00D33D6E"/>
    <w:rsid w:val="00D37432"/>
    <w:rsid w:val="00D50661"/>
    <w:rsid w:val="00D521B2"/>
    <w:rsid w:val="00D57CE1"/>
    <w:rsid w:val="00D905DE"/>
    <w:rsid w:val="00DB42D4"/>
    <w:rsid w:val="00DB74E8"/>
    <w:rsid w:val="00DB7A2F"/>
    <w:rsid w:val="00DD7903"/>
    <w:rsid w:val="00DF618B"/>
    <w:rsid w:val="00DF632D"/>
    <w:rsid w:val="00E134BB"/>
    <w:rsid w:val="00E20D87"/>
    <w:rsid w:val="00E404AD"/>
    <w:rsid w:val="00E66F99"/>
    <w:rsid w:val="00E72370"/>
    <w:rsid w:val="00E737CC"/>
    <w:rsid w:val="00E86498"/>
    <w:rsid w:val="00EA2239"/>
    <w:rsid w:val="00EA2736"/>
    <w:rsid w:val="00EB4BFA"/>
    <w:rsid w:val="00EE7F73"/>
    <w:rsid w:val="00F41554"/>
    <w:rsid w:val="00F764F9"/>
    <w:rsid w:val="00F82214"/>
    <w:rsid w:val="00F92E7F"/>
    <w:rsid w:val="00FB70CB"/>
    <w:rsid w:val="00FE3C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A495"/>
  <w15:docId w15:val="{604D4042-C3AF-4B82-8BEC-C07DAA01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next w:val="Normal"/>
    <w:uiPriority w:val="9"/>
    <w:qFormat/>
    <w:pPr>
      <w:keepNext/>
      <w:outlineLvl w:val="0"/>
    </w:pPr>
    <w:rPr>
      <w:b/>
      <w:sz w:val="18"/>
    </w:rPr>
  </w:style>
  <w:style w:type="paragraph" w:styleId="Ttulo2">
    <w:name w:val="heading 2"/>
    <w:basedOn w:val="Normal"/>
    <w:next w:val="Normal"/>
    <w:uiPriority w:val="9"/>
    <w:unhideWhenUsed/>
    <w:qFormat/>
    <w:pPr>
      <w:keepNext/>
      <w:jc w:val="both"/>
      <w:outlineLvl w:val="1"/>
    </w:pPr>
    <w:rPr>
      <w:b/>
    </w:rPr>
  </w:style>
  <w:style w:type="paragraph" w:styleId="Ttulo3">
    <w:name w:val="heading 3"/>
    <w:basedOn w:val="Normal"/>
    <w:next w:val="Normal"/>
    <w:uiPriority w:val="9"/>
    <w:unhideWhenUsed/>
    <w:qFormat/>
    <w:pPr>
      <w:keepNext/>
      <w:jc w:val="both"/>
      <w:outlineLvl w:val="2"/>
    </w:pPr>
    <w:rPr>
      <w:b/>
    </w:rPr>
  </w:style>
  <w:style w:type="paragraph" w:styleId="Ttulo4">
    <w:name w:val="heading 4"/>
    <w:basedOn w:val="Normal"/>
    <w:next w:val="Normal"/>
    <w:uiPriority w:val="9"/>
    <w:unhideWhenUsed/>
    <w:qFormat/>
    <w:pPr>
      <w:keepNext/>
      <w:jc w:val="both"/>
      <w:outlineLvl w:val="3"/>
    </w:pPr>
  </w:style>
  <w:style w:type="paragraph" w:styleId="Ttulo5">
    <w:name w:val="heading 5"/>
    <w:basedOn w:val="Normal"/>
    <w:next w:val="Normal"/>
    <w:uiPriority w:val="9"/>
    <w:semiHidden/>
    <w:unhideWhenUsed/>
    <w:qFormat/>
    <w:pPr>
      <w:keepNext/>
      <w:jc w:val="both"/>
      <w:outlineLvl w:val="4"/>
    </w:pPr>
    <w:rPr>
      <w:b/>
    </w:rPr>
  </w:style>
  <w:style w:type="paragraph" w:styleId="Ttulo6">
    <w:name w:val="heading 6"/>
    <w:basedOn w:val="Normal"/>
    <w:next w:val="Normal"/>
    <w:uiPriority w:val="9"/>
    <w:semiHidden/>
    <w:unhideWhenUsed/>
    <w:qFormat/>
    <w:pPr>
      <w:keepNext/>
      <w:jc w:val="center"/>
      <w:outlineLvl w:val="5"/>
    </w:pPr>
    <w:rPr>
      <w:b/>
      <w:sz w:val="22"/>
    </w:rPr>
  </w:style>
  <w:style w:type="paragraph" w:styleId="Ttulo7">
    <w:name w:val="heading 7"/>
    <w:basedOn w:val="Normal"/>
    <w:next w:val="Normal"/>
    <w:pPr>
      <w:keepNext/>
      <w:jc w:val="center"/>
      <w:outlineLvl w:val="6"/>
    </w:pPr>
    <w:rPr>
      <w:b/>
    </w:rPr>
  </w:style>
  <w:style w:type="paragraph" w:styleId="Ttulo8">
    <w:name w:val="heading 8"/>
    <w:basedOn w:val="Normal"/>
    <w:next w:val="Normal"/>
    <w:pPr>
      <w:keepNext/>
      <w:outlineLvl w:val="7"/>
    </w:pPr>
    <w:rPr>
      <w:b/>
    </w:rPr>
  </w:style>
  <w:style w:type="paragraph" w:styleId="Ttulo9">
    <w:name w:val="heading 9"/>
    <w:basedOn w:val="Normal"/>
    <w:next w:val="Normal"/>
    <w:pPr>
      <w:keepNext/>
      <w:outlineLvl w:val="8"/>
    </w:pPr>
    <w:rPr>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jc w:val="center"/>
    </w:pPr>
    <w:rPr>
      <w:b/>
      <w:sz w:val="22"/>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18"/>
    </w:rPr>
  </w:style>
  <w:style w:type="paragraph" w:styleId="Corpodetexto2">
    <w:name w:val="Body Text 2"/>
    <w:basedOn w:val="Normal"/>
    <w:pPr>
      <w:jc w:val="both"/>
    </w:pPr>
  </w:style>
  <w:style w:type="paragraph" w:styleId="Cabealho">
    <w:name w:val="header"/>
    <w:basedOn w:val="Normal"/>
    <w:pPr>
      <w:tabs>
        <w:tab w:val="center" w:pos="4419"/>
        <w:tab w:val="right" w:pos="8838"/>
      </w:tabs>
    </w:pPr>
  </w:style>
  <w:style w:type="character" w:styleId="Hyperlink">
    <w:name w:val="Hyperlink"/>
    <w:rPr>
      <w:color w:val="0000FF"/>
      <w:u w:val="single"/>
    </w:rPr>
  </w:style>
  <w:style w:type="character" w:styleId="HiperlinkVisitado">
    <w:name w:val="FollowedHyperlink"/>
    <w:rPr>
      <w:color w:val="800080"/>
      <w:u w:val="single"/>
    </w:rPr>
  </w:style>
  <w:style w:type="paragraph" w:styleId="Corpodetexto3">
    <w:name w:val="Body Text 3"/>
    <w:basedOn w:val="Normal"/>
    <w:pPr>
      <w:jc w:val="both"/>
    </w:pPr>
    <w:rPr>
      <w:sz w:val="22"/>
    </w:rPr>
  </w:style>
  <w:style w:type="paragraph" w:styleId="Recuodecorpodetexto2">
    <w:name w:val="Body Text Indent 2"/>
    <w:basedOn w:val="Normal"/>
    <w:pPr>
      <w:ind w:left="360"/>
      <w:jc w:val="both"/>
    </w:pPr>
    <w:rPr>
      <w:sz w:val="28"/>
    </w:rPr>
  </w:style>
  <w:style w:type="paragraph" w:styleId="Recuodecorpodetexto3">
    <w:name w:val="Body Text Indent 3"/>
    <w:basedOn w:val="Normal"/>
    <w:pPr>
      <w:ind w:left="284"/>
    </w:pPr>
  </w:style>
  <w:style w:type="paragraph" w:styleId="Recuodecorpodetexto">
    <w:name w:val="Body Text Indent"/>
    <w:basedOn w:val="Normal"/>
    <w:pPr>
      <w:ind w:firstLine="708"/>
      <w:jc w:val="both"/>
    </w:pPr>
  </w:style>
  <w:style w:type="paragraph" w:styleId="Textodebalo">
    <w:name w:val="Balloon Text"/>
    <w:basedOn w:val="Normal"/>
    <w:rPr>
      <w:rFonts w:ascii="Tahoma" w:hAnsi="Tahoma"/>
      <w:sz w:val="16"/>
      <w:szCs w:val="16"/>
    </w:rPr>
  </w:style>
  <w:style w:type="paragraph" w:styleId="TextosemFormatao">
    <w:name w:val="Plain Text"/>
    <w:basedOn w:val="Normal"/>
    <w:rPr>
      <w:rFonts w:ascii="Courier New" w:hAnsi="Courier New"/>
    </w:rPr>
  </w:style>
  <w:style w:type="character" w:styleId="Forte">
    <w:name w:val="Strong"/>
    <w:qFormat/>
    <w:rPr>
      <w:b/>
      <w:bCs/>
    </w:rPr>
  </w:style>
  <w:style w:type="character" w:styleId="Refdecomentrio">
    <w:name w:val="annotation reference"/>
    <w:rPr>
      <w:sz w:val="16"/>
      <w:szCs w:val="16"/>
    </w:rPr>
  </w:style>
  <w:style w:type="paragraph" w:styleId="Textodecomentrio">
    <w:name w:val="annotation text"/>
    <w:basedOn w:val="Normal"/>
    <w:rPr>
      <w:sz w:val="20"/>
    </w:rPr>
  </w:style>
  <w:style w:type="paragraph" w:styleId="Assuntodocomentrio">
    <w:name w:val="annotation subject"/>
    <w:basedOn w:val="Textodecomentrio"/>
    <w:next w:val="Textodecomentrio"/>
    <w:rPr>
      <w:b/>
      <w:bCs/>
    </w:rPr>
  </w:style>
  <w:style w:type="paragraph" w:customStyle="1" w:styleId="CharCharCharChar">
    <w:name w:val="Char Char Char Char"/>
    <w:basedOn w:val="Normal"/>
    <w:pPr>
      <w:spacing w:after="160" w:line="240" w:lineRule="exact"/>
    </w:pPr>
    <w:rPr>
      <w:rFonts w:ascii="Verdana" w:eastAsia="MS Mincho" w:hAnsi="Verdana" w:cs="Verdana"/>
      <w:sz w:val="20"/>
      <w:lang w:val="en-US" w:eastAsia="en-US"/>
    </w:rPr>
  </w:style>
  <w:style w:type="paragraph" w:customStyle="1" w:styleId="SombreamentoEscuro-nfase11">
    <w:name w:val="Sombreamento Escuro - Ênfase 11"/>
    <w:pPr>
      <w:suppressAutoHyphens/>
    </w:pPr>
  </w:style>
  <w:style w:type="paragraph" w:customStyle="1" w:styleId="BodyText31">
    <w:name w:val="Body Text 31"/>
    <w:basedOn w:val="Normal"/>
    <w:pPr>
      <w:spacing w:line="240" w:lineRule="atLeast"/>
    </w:pPr>
    <w:rPr>
      <w:color w:val="000000"/>
      <w:lang w:eastAsia="ar-SA"/>
    </w:rPr>
  </w:style>
  <w:style w:type="character" w:customStyle="1" w:styleId="DeltaViewInsertion">
    <w:name w:val="DeltaView Insertion"/>
    <w:rPr>
      <w:color w:val="0000FF"/>
      <w:spacing w:val="0"/>
      <w:u w:val="double"/>
    </w:rPr>
  </w:style>
  <w:style w:type="paragraph" w:customStyle="1" w:styleId="ListaColorida-nfase11">
    <w:name w:val="Lista Colorida - Ênfase 11"/>
    <w:basedOn w:val="Normal"/>
    <w:pPr>
      <w:ind w:left="720"/>
    </w:pPr>
  </w:style>
  <w:style w:type="paragraph" w:customStyle="1" w:styleId="Rodap1">
    <w:name w:val="Rodapé1"/>
    <w:basedOn w:val="Normal"/>
    <w:pPr>
      <w:widowControl w:val="0"/>
      <w:tabs>
        <w:tab w:val="center" w:pos="4419"/>
        <w:tab w:val="right" w:pos="8838"/>
      </w:tabs>
      <w:autoSpaceDE w:val="0"/>
    </w:pPr>
    <w:rPr>
      <w:sz w:val="20"/>
    </w:rPr>
  </w:style>
  <w:style w:type="character" w:customStyle="1" w:styleId="CabealhoChar">
    <w:name w:val="Cabeçalho Char"/>
    <w:rPr>
      <w:sz w:val="24"/>
    </w:rPr>
  </w:style>
  <w:style w:type="character" w:customStyle="1" w:styleId="TextodebaloChar">
    <w:name w:val="Texto de balão Char"/>
    <w:rPr>
      <w:rFonts w:ascii="Tahoma" w:hAnsi="Tahoma" w:cs="Tahoma"/>
      <w:sz w:val="16"/>
      <w:szCs w:val="16"/>
    </w:rPr>
  </w:style>
  <w:style w:type="paragraph" w:styleId="PargrafodaLista">
    <w:name w:val="List Paragraph"/>
    <w:basedOn w:val="Normal"/>
    <w:pPr>
      <w:ind w:left="708"/>
    </w:pPr>
  </w:style>
  <w:style w:type="character" w:customStyle="1" w:styleId="RodapChar">
    <w:name w:val="Rodapé Char"/>
    <w:basedOn w:val="Fontepargpadro"/>
    <w:link w:val="Rodap"/>
    <w:uiPriority w:val="99"/>
    <w:rsid w:val="00535D86"/>
    <w:rPr>
      <w:sz w:val="24"/>
    </w:rPr>
  </w:style>
  <w:style w:type="paragraph" w:styleId="NormalWeb">
    <w:name w:val="Normal (Web)"/>
    <w:basedOn w:val="Normal"/>
    <w:unhideWhenUsed/>
    <w:rsid w:val="00413884"/>
    <w:pPr>
      <w:suppressAutoHyphens w:val="0"/>
      <w:spacing w:before="100" w:beforeAutospacing="1" w:after="100" w:afterAutospacing="1"/>
    </w:pPr>
    <w:rPr>
      <w:rFonts w:eastAsiaTheme="minorHAnsi"/>
    </w:rPr>
  </w:style>
  <w:style w:type="table" w:styleId="Tabelacomgrade">
    <w:name w:val="Table Grid"/>
    <w:basedOn w:val="Tabelanormal"/>
    <w:uiPriority w:val="39"/>
    <w:rsid w:val="0057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C84D7F"/>
    <w:rPr>
      <w:i/>
    </w:rPr>
  </w:style>
  <w:style w:type="paragraph" w:styleId="Textoembloco">
    <w:name w:val="Block Text"/>
    <w:basedOn w:val="Normal"/>
    <w:semiHidden/>
    <w:rsid w:val="008364F5"/>
    <w:pPr>
      <w:suppressAutoHyphens w:val="0"/>
      <w:spacing w:after="120"/>
      <w:ind w:left="1440" w:right="1440"/>
    </w:pPr>
    <w:rPr>
      <w:sz w:val="20"/>
    </w:rPr>
  </w:style>
  <w:style w:type="paragraph" w:customStyle="1" w:styleId="cabealhominusculosemnegrito">
    <w:name w:val="cabeçalho minusculo sem negrito"/>
    <w:basedOn w:val="Normal"/>
    <w:next w:val="Normal"/>
    <w:rsid w:val="00064E1D"/>
    <w:pPr>
      <w:suppressAutoHyphens w:val="0"/>
      <w:spacing w:before="120" w:after="120"/>
      <w:jc w:val="both"/>
    </w:pPr>
    <w:rPr>
      <w:rFonts w:ascii="Batang" w:eastAsia="Batang" w:hAnsi="Batang"/>
    </w:rPr>
  </w:style>
  <w:style w:type="paragraph" w:styleId="Reviso">
    <w:name w:val="Revision"/>
    <w:hidden/>
    <w:uiPriority w:val="99"/>
    <w:semiHidden/>
    <w:rsid w:val="00C33B8A"/>
  </w:style>
  <w:style w:type="table" w:styleId="TabeladeGrade4-nfase3">
    <w:name w:val="Grid Table 4 Accent 3"/>
    <w:basedOn w:val="Tabelanormal"/>
    <w:uiPriority w:val="49"/>
    <w:rsid w:val="003F6EAE"/>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paragraph" w:customStyle="1" w:styleId="Level1">
    <w:name w:val="Level 1"/>
    <w:basedOn w:val="Normal"/>
    <w:link w:val="Level1Char"/>
    <w:uiPriority w:val="99"/>
    <w:qFormat/>
    <w:rsid w:val="003803AF"/>
    <w:pPr>
      <w:keepNext/>
      <w:keepLines/>
      <w:numPr>
        <w:numId w:val="15"/>
      </w:numPr>
      <w:suppressAutoHyphens w:val="0"/>
      <w:spacing w:before="280" w:after="140" w:line="290" w:lineRule="auto"/>
      <w:jc w:val="both"/>
      <w:outlineLvl w:val="0"/>
    </w:pPr>
    <w:rPr>
      <w:rFonts w:ascii="Arial" w:eastAsia="MS Mincho" w:hAnsi="Arial" w:cs="Arial"/>
      <w:b/>
      <w:color w:val="000000"/>
      <w:sz w:val="22"/>
      <w:szCs w:val="22"/>
    </w:rPr>
  </w:style>
  <w:style w:type="paragraph" w:customStyle="1" w:styleId="Level2">
    <w:name w:val="Level 2"/>
    <w:basedOn w:val="Normal"/>
    <w:uiPriority w:val="99"/>
    <w:qFormat/>
    <w:rsid w:val="003803AF"/>
    <w:pPr>
      <w:numPr>
        <w:ilvl w:val="1"/>
        <w:numId w:val="15"/>
      </w:numPr>
      <w:suppressAutoHyphens w:val="0"/>
      <w:spacing w:after="140" w:line="290" w:lineRule="auto"/>
      <w:jc w:val="both"/>
      <w:outlineLvl w:val="1"/>
    </w:pPr>
    <w:rPr>
      <w:rFonts w:ascii="Arial" w:eastAsia="MS Mincho" w:hAnsi="Arial"/>
      <w:sz w:val="20"/>
    </w:rPr>
  </w:style>
  <w:style w:type="paragraph" w:customStyle="1" w:styleId="Level3">
    <w:name w:val="Level 3"/>
    <w:basedOn w:val="Normal"/>
    <w:uiPriority w:val="99"/>
    <w:qFormat/>
    <w:rsid w:val="003803AF"/>
    <w:pPr>
      <w:numPr>
        <w:ilvl w:val="2"/>
        <w:numId w:val="15"/>
      </w:numPr>
      <w:suppressAutoHyphens w:val="0"/>
      <w:spacing w:after="140" w:line="290" w:lineRule="auto"/>
      <w:jc w:val="both"/>
      <w:outlineLvl w:val="2"/>
    </w:pPr>
    <w:rPr>
      <w:rFonts w:ascii="Arial" w:eastAsia="MS Mincho" w:hAnsi="Arial" w:cs="Arial"/>
      <w:sz w:val="20"/>
    </w:rPr>
  </w:style>
  <w:style w:type="paragraph" w:customStyle="1" w:styleId="Level4">
    <w:name w:val="Level 4"/>
    <w:basedOn w:val="Normal"/>
    <w:uiPriority w:val="99"/>
    <w:qFormat/>
    <w:rsid w:val="003803AF"/>
    <w:pPr>
      <w:numPr>
        <w:ilvl w:val="3"/>
        <w:numId w:val="15"/>
      </w:numPr>
      <w:suppressAutoHyphens w:val="0"/>
      <w:spacing w:after="140" w:line="290" w:lineRule="auto"/>
      <w:jc w:val="both"/>
      <w:outlineLvl w:val="3"/>
    </w:pPr>
    <w:rPr>
      <w:rFonts w:ascii="Arial" w:eastAsia="MS Mincho" w:hAnsi="Arial" w:cs="Arial"/>
      <w:sz w:val="20"/>
    </w:rPr>
  </w:style>
  <w:style w:type="paragraph" w:customStyle="1" w:styleId="Level5">
    <w:name w:val="Level 5"/>
    <w:basedOn w:val="Normal"/>
    <w:uiPriority w:val="99"/>
    <w:qFormat/>
    <w:rsid w:val="003803AF"/>
    <w:pPr>
      <w:numPr>
        <w:ilvl w:val="4"/>
        <w:numId w:val="15"/>
      </w:numPr>
      <w:suppressAutoHyphens w:val="0"/>
      <w:spacing w:after="140" w:line="290" w:lineRule="auto"/>
      <w:jc w:val="both"/>
    </w:pPr>
    <w:rPr>
      <w:rFonts w:ascii="Arial" w:eastAsia="MS Mincho" w:hAnsi="Arial" w:cs="Arial"/>
      <w:sz w:val="20"/>
    </w:rPr>
  </w:style>
  <w:style w:type="paragraph" w:customStyle="1" w:styleId="Level6">
    <w:name w:val="Level 6"/>
    <w:basedOn w:val="Normal"/>
    <w:uiPriority w:val="99"/>
    <w:rsid w:val="003803AF"/>
    <w:pPr>
      <w:numPr>
        <w:ilvl w:val="5"/>
        <w:numId w:val="15"/>
      </w:numPr>
      <w:suppressAutoHyphens w:val="0"/>
      <w:spacing w:after="140" w:line="290" w:lineRule="auto"/>
      <w:jc w:val="both"/>
    </w:pPr>
    <w:rPr>
      <w:rFonts w:ascii="Arial" w:eastAsia="MS Mincho" w:hAnsi="Arial" w:cs="Arial"/>
      <w:sz w:val="20"/>
    </w:rPr>
  </w:style>
  <w:style w:type="character" w:customStyle="1" w:styleId="Level1Char">
    <w:name w:val="Level 1 Char"/>
    <w:basedOn w:val="Fontepargpadro"/>
    <w:link w:val="Level1"/>
    <w:uiPriority w:val="99"/>
    <w:rsid w:val="003803AF"/>
    <w:rPr>
      <w:rFonts w:ascii="Arial" w:eastAsia="MS Mincho" w:hAnsi="Arial" w:cs="Arial"/>
      <w:b/>
      <w:color w:val="000000"/>
      <w:sz w:val="22"/>
      <w:szCs w:val="22"/>
    </w:rPr>
  </w:style>
  <w:style w:type="paragraph" w:customStyle="1" w:styleId="sub">
    <w:name w:val="sub"/>
    <w:rsid w:val="0050221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estao@virgo.in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ridico@virgo.inc"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dSALNKNYby2hmUsxTXtmAxtXQQ==">AMUW2mVEixu9oNp8frA/Voo1V98ZKFxZ/h0qdX5JnnFFPVIM8ROTSpx/8WvLWYsF1+kMd/A6CMPXcNfJHq90q6BiWPvFhJ52mMVPim6XgSb54HqRFj0+oB3VuHzBu+CFvOGrA1VPRW90hXGF5pdnHsEQvb2CMIQERtrzSlT4BBdVEH0BBkXF/ys/Q9m51uvBaPn+NQQOLOQG6922+ElPbfw2Zkcfa7OnPbKyF0WcALkIvWuxJwljQM7tedWOOkZz0VvJiXX1/cWgoaCF3sKV7ekOLk9nBNU+K8Cn7nNsz2itTwMjgSoV5wOFs6SKxRdQ/wybc+Q/ae6m6R7mz9e21cOqECMIZlZHoTa/YAkm2f+yNJCbtKsRWCzl6IaibQEWPVfKhzL+k0ES/aN9yetzH+KDxcfO9hlCD0Mw5aGCzcR4KCn+sqQpkuM76GFUsh0GyxUyB5hwLjeh6mJJOa6Hz8ryeR0y+Za/RE8vrC7XMM7L+Kk4ol6knjr+/GAWQZ63W5UBnPCNvXA8lDkisr+HpUEm8+WrqdXLP/gXxynGEGmwexOP7AtFZGiQu0yY+FVvhbpA0R7SaThxVpGRHD2NL2NNZiH9ei+VhkiS4IiNZpUx376ns3AYiF3rXAoOXYABEVVakJN2Y23RkOxlPqAAnV8pIo+bdHwch0FTs9auAM7wczN6SWeKE6rP1M9hAw06bwWncXGq6AVUbppcD29d36gm1nJ0CSUDBCa3pK+DJOZhRrR+Oh2CVUTil/SOUtB7Y69Eot6AzanabZjAKAVkXzp1P1y0aMg44WlunGzBWinBuuS3I04r09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6804</Words>
  <Characters>36742</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BANCO PAULISTA S/A. 01</dc:creator>
  <cp:lastModifiedBy>Bianca Portella Crochiquia | Coelho Advogados</cp:lastModifiedBy>
  <cp:revision>3</cp:revision>
  <dcterms:created xsi:type="dcterms:W3CDTF">2022-05-25T20:42:00Z</dcterms:created>
  <dcterms:modified xsi:type="dcterms:W3CDTF">2022-05-25T20:43:00Z</dcterms:modified>
</cp:coreProperties>
</file>