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EC76A39"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w:t>
      </w:r>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96570D">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694C4853"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r w:rsidR="001F37C1">
        <w:rPr>
          <w:rFonts w:eastAsia="Arial"/>
          <w:color w:val="000000"/>
          <w:sz w:val="22"/>
          <w:szCs w:val="22"/>
        </w:rPr>
        <w:t>[</w:t>
      </w:r>
      <w:r w:rsidR="001F37C1" w:rsidRPr="00D41EF7">
        <w:rPr>
          <w:rFonts w:eastAsia="Arial"/>
          <w:b/>
          <w:bCs/>
          <w:color w:val="000000"/>
          <w:sz w:val="22"/>
          <w:szCs w:val="22"/>
          <w:highlight w:val="yellow"/>
        </w:rPr>
        <w:t>Nota Virgo</w:t>
      </w:r>
      <w:r w:rsidR="001F37C1">
        <w:rPr>
          <w:rFonts w:eastAsia="Arial"/>
          <w:b/>
          <w:bCs/>
          <w:color w:val="000000"/>
          <w:sz w:val="22"/>
          <w:szCs w:val="22"/>
          <w:highlight w:val="yellow"/>
        </w:rPr>
        <w:t>:</w:t>
      </w:r>
      <w:r w:rsidR="001F37C1" w:rsidRPr="00D41EF7">
        <w:rPr>
          <w:rFonts w:eastAsia="Arial"/>
          <w:b/>
          <w:bCs/>
          <w:color w:val="000000"/>
          <w:sz w:val="22"/>
          <w:szCs w:val="22"/>
          <w:highlight w:val="yellow"/>
        </w:rPr>
        <w:t xml:space="preserve"> A Virgo não é contratante. É interveniente anuente da conta que fará a ordem de movimentação. Contratante e titular é somente Bernoulli e Ouvidor</w:t>
      </w:r>
      <w:r w:rsidR="001F37C1">
        <w:rPr>
          <w:rFonts w:eastAsia="Arial"/>
          <w:color w:val="000000"/>
          <w:sz w:val="22"/>
          <w:szCs w:val="22"/>
        </w:rPr>
        <w:t>]</w:t>
      </w:r>
      <w:r w:rsidR="00406170">
        <w:rPr>
          <w:rFonts w:eastAsia="Arial"/>
          <w:color w:val="000000"/>
          <w:sz w:val="22"/>
          <w:szCs w:val="22"/>
        </w:rPr>
        <w:t>[</w:t>
      </w:r>
      <w:r w:rsidR="00406170" w:rsidRPr="00D41EF7">
        <w:rPr>
          <w:rFonts w:eastAsia="Arial"/>
          <w:b/>
          <w:bCs/>
          <w:color w:val="000000"/>
          <w:sz w:val="22"/>
          <w:szCs w:val="22"/>
          <w:highlight w:val="yellow"/>
        </w:rPr>
        <w:t>Nota Coelho Advogados: Ajuste efetuado</w:t>
      </w:r>
      <w:r w:rsidR="00406170">
        <w:rPr>
          <w:rFonts w:eastAsia="Arial"/>
          <w:color w:val="000000"/>
          <w:sz w:val="22"/>
          <w:szCs w:val="22"/>
        </w:rPr>
        <w:t>]</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2531FC9"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BDDBD7F" w14:textId="4ABA34F2" w:rsidR="004507DB" w:rsidRPr="00000A9F" w:rsidRDefault="00DF632D" w:rsidP="00000A9F">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BF27E8">
        <w:rPr>
          <w:sz w:val="22"/>
          <w:szCs w:val="22"/>
        </w:rPr>
        <w:t xml:space="preserve">Nesta data, </w:t>
      </w:r>
      <w:r>
        <w:rPr>
          <w:sz w:val="22"/>
          <w:szCs w:val="22"/>
        </w:rPr>
        <w:t xml:space="preserve">o Titular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w:t>
      </w:r>
      <w:r w:rsidRPr="00455418">
        <w:rPr>
          <w:rFonts w:eastAsia="MS Mincho"/>
          <w:i/>
          <w:sz w:val="22"/>
          <w:szCs w:val="22"/>
          <w:highlight w:val="yellow"/>
        </w:rPr>
        <w:t>Bernoulli/ Ouvidor</w:t>
      </w:r>
      <w:r>
        <w:rPr>
          <w:rFonts w:eastAsia="MS Mincho"/>
          <w:i/>
          <w:sz w:val="22"/>
          <w:szCs w:val="22"/>
        </w:rPr>
        <w:t>] Energia</w:t>
      </w:r>
      <w:r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lastRenderedPageBreak/>
        <w:t xml:space="preserve">será integralmente </w:t>
      </w:r>
      <w:r w:rsidRPr="00BF27E8">
        <w:rPr>
          <w:sz w:val="22"/>
          <w:szCs w:val="22"/>
        </w:rPr>
        <w:t xml:space="preserve">para </w:t>
      </w:r>
      <w:r>
        <w:rPr>
          <w:sz w:val="22"/>
          <w:szCs w:val="22"/>
        </w:rPr>
        <w:t>o desenvolvimento de empreendimento imobiliário</w:t>
      </w:r>
      <w:r w:rsidRPr="00BF27E8">
        <w:rPr>
          <w:bCs/>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00112FE5">
        <w:rPr>
          <w:rFonts w:eastAsia="Arial"/>
          <w:color w:val="000000"/>
          <w:sz w:val="22"/>
          <w:szCs w:val="22"/>
        </w:rPr>
        <w:t xml:space="preserve">. </w:t>
      </w:r>
      <w:r w:rsidR="00910DF0">
        <w:rPr>
          <w:rFonts w:eastAsia="Arial"/>
          <w:color w:val="000000"/>
          <w:sz w:val="22"/>
          <w:szCs w:val="22"/>
        </w:rPr>
        <w:t>Por meio do Instrumento de Emissão o Titular</w:t>
      </w:r>
      <w:r w:rsidR="00910DF0" w:rsidRPr="00000A9F">
        <w:rPr>
          <w:rFonts w:eastAsia="Arial"/>
          <w:color w:val="000000"/>
          <w:sz w:val="22"/>
          <w:szCs w:val="22"/>
        </w:rPr>
        <w:t xml:space="preserve"> assumiu, perante </w:t>
      </w:r>
      <w:r w:rsidR="00910DF0">
        <w:rPr>
          <w:rFonts w:eastAsia="Arial"/>
          <w:color w:val="000000"/>
          <w:sz w:val="22"/>
          <w:szCs w:val="22"/>
        </w:rPr>
        <w:t>a Credora</w:t>
      </w:r>
      <w:r w:rsidR="00910DF0" w:rsidRPr="00000A9F">
        <w:rPr>
          <w:rFonts w:eastAsia="Arial"/>
          <w:color w:val="000000"/>
          <w:sz w:val="22"/>
          <w:szCs w:val="22"/>
        </w:rPr>
        <w:t xml:space="preserve">, </w:t>
      </w:r>
      <w:r w:rsidR="00910DF0" w:rsidRPr="00000A9F">
        <w:rPr>
          <w:sz w:val="22"/>
          <w:szCs w:val="22"/>
        </w:rPr>
        <w:t>a</w:t>
      </w:r>
      <w:r w:rsidR="00910DF0">
        <w:rPr>
          <w:sz w:val="22"/>
          <w:szCs w:val="22"/>
        </w:rPr>
        <w:t xml:space="preserve"> obrigação de cumprir com</w:t>
      </w:r>
      <w:r w:rsidR="00910DF0" w:rsidRPr="00000A9F">
        <w:rPr>
          <w:sz w:val="22"/>
          <w:szCs w:val="22"/>
        </w:rPr>
        <w:t xml:space="preserve"> totalidade das obrigações principais e acessórias, presentes e futuras, em razão </w:t>
      </w:r>
      <w:r w:rsidR="00910DF0">
        <w:rPr>
          <w:sz w:val="22"/>
          <w:szCs w:val="22"/>
        </w:rPr>
        <w:t>dos CRI e</w:t>
      </w:r>
      <w:r w:rsidR="00910DF0" w:rsidRPr="006B0792">
        <w:rPr>
          <w:sz w:val="22"/>
          <w:szCs w:val="22"/>
        </w:rPr>
        <w:t xml:space="preserve"> </w:t>
      </w:r>
      <w:r w:rsidR="00910DF0" w:rsidRPr="00000A9F">
        <w:rPr>
          <w:sz w:val="22"/>
          <w:szCs w:val="22"/>
        </w:rPr>
        <w:t>das Notas Comerciais, no âmbito do Instrumento de Emissão</w:t>
      </w:r>
      <w:bookmarkStart w:id="3" w:name="_Hlk104562095"/>
      <w:r w:rsidR="00910DF0" w:rsidRPr="00F714BA">
        <w:rPr>
          <w:iCs/>
          <w:sz w:val="22"/>
          <w:szCs w:val="22"/>
        </w:rPr>
        <w:t xml:space="preserve"> </w:t>
      </w:r>
      <w:r w:rsidR="00910DF0">
        <w:rPr>
          <w:iCs/>
          <w:sz w:val="22"/>
          <w:szCs w:val="22"/>
        </w:rPr>
        <w:t>e dos demais Documentos da Operação</w:t>
      </w:r>
      <w:bookmarkEnd w:id="3"/>
      <w:r w:rsidR="00910DF0">
        <w:rPr>
          <w:iCs/>
          <w:sz w:val="22"/>
          <w:szCs w:val="22"/>
        </w:rPr>
        <w:t xml:space="preserve"> </w:t>
      </w:r>
      <w:r w:rsidR="00910DF0" w:rsidRPr="00D41EF7">
        <w:rPr>
          <w:iCs/>
          <w:sz w:val="22"/>
          <w:szCs w:val="22"/>
          <w:highlight w:val="yellow"/>
        </w:rPr>
        <w:t>[favor incluir definição]</w:t>
      </w:r>
      <w:r w:rsidR="00910DF0" w:rsidRPr="00000A9F">
        <w:rPr>
          <w:sz w:val="22"/>
          <w:szCs w:val="22"/>
        </w:rPr>
        <w:t xml:space="preserve">, incluindo, mas sem se limitar, ao </w:t>
      </w:r>
      <w:r w:rsidR="00910DF0">
        <w:rPr>
          <w:iCs/>
          <w:sz w:val="22"/>
          <w:szCs w:val="22"/>
        </w:rPr>
        <w:t>saldo devedor dos CRI</w:t>
      </w:r>
      <w:r w:rsidR="00910DF0" w:rsidRPr="00000A9F">
        <w:rPr>
          <w:sz w:val="22"/>
          <w:szCs w:val="22"/>
        </w:rPr>
        <w:t xml:space="preserve">, bem como a todos e quaisquer valores devidos aos </w:t>
      </w:r>
      <w:bookmarkStart w:id="4" w:name="_Hlk104562165"/>
      <w:r w:rsidR="00910DF0">
        <w:rPr>
          <w:sz w:val="22"/>
          <w:szCs w:val="22"/>
        </w:rPr>
        <w:t>t</w:t>
      </w:r>
      <w:r w:rsidR="00910DF0" w:rsidRPr="00B37E08">
        <w:rPr>
          <w:sz w:val="22"/>
          <w:szCs w:val="22"/>
        </w:rPr>
        <w:t>itulares dos CRI</w:t>
      </w:r>
      <w:bookmarkEnd w:id="4"/>
      <w:r w:rsidR="00910DF0">
        <w:rPr>
          <w:sz w:val="22"/>
          <w:szCs w:val="22"/>
        </w:rPr>
        <w:t xml:space="preserve">, </w:t>
      </w:r>
      <w:r w:rsidR="00910DF0" w:rsidRPr="00000A9F">
        <w:rPr>
          <w:sz w:val="22"/>
          <w:szCs w:val="22"/>
        </w:rPr>
        <w:t>a qualquer título, e todos os custos e despesas para fins da cobrança dos créditos oriundos das Notas Comerciais</w:t>
      </w:r>
      <w:r w:rsidR="00910DF0">
        <w:rPr>
          <w:sz w:val="22"/>
          <w:szCs w:val="22"/>
        </w:rPr>
        <w:t>,</w:t>
      </w:r>
      <w:r w:rsidR="00910DF0" w:rsidRPr="00F714BA">
        <w:rPr>
          <w:iCs/>
          <w:sz w:val="22"/>
          <w:szCs w:val="22"/>
        </w:rPr>
        <w:t xml:space="preserve"> </w:t>
      </w:r>
      <w:r w:rsidR="00910DF0">
        <w:rPr>
          <w:iCs/>
          <w:sz w:val="22"/>
          <w:szCs w:val="22"/>
        </w:rPr>
        <w:t>dos CRI</w:t>
      </w:r>
      <w:r w:rsidR="00910DF0" w:rsidRPr="00000A9F">
        <w:rPr>
          <w:sz w:val="22"/>
          <w:szCs w:val="22"/>
        </w:rPr>
        <w:t xml:space="preserve"> e da excussão das Garantias (conforme abaixo definido), incluindo encargos moratórios, penas convencionais, honorários advocatícios, custas e despesas judiciais ou extrajudiciais e tributos, bem como todo e qualquer custo incorrido pel</w:t>
      </w:r>
      <w:r w:rsidR="00910DF0">
        <w:rPr>
          <w:sz w:val="22"/>
          <w:szCs w:val="22"/>
        </w:rPr>
        <w:t>o</w:t>
      </w:r>
      <w:r w:rsidR="00910DF0" w:rsidRPr="00000A9F">
        <w:rPr>
          <w:sz w:val="22"/>
          <w:szCs w:val="22"/>
        </w:rPr>
        <w:t xml:space="preserve"> </w:t>
      </w:r>
      <w:r w:rsidR="00910DF0">
        <w:rPr>
          <w:sz w:val="22"/>
          <w:szCs w:val="22"/>
        </w:rPr>
        <w:t>Credor e</w:t>
      </w:r>
      <w:r w:rsidR="00910DF0" w:rsidRPr="00B37E08">
        <w:rPr>
          <w:sz w:val="22"/>
          <w:szCs w:val="22"/>
        </w:rPr>
        <w:t>/ou pelos titulares e dos CRI</w:t>
      </w:r>
      <w:r w:rsidR="00910DF0" w:rsidRPr="00000A9F">
        <w:rPr>
          <w:sz w:val="22"/>
          <w:szCs w:val="22"/>
        </w:rPr>
        <w:t xml:space="preserve"> </w:t>
      </w:r>
      <w:r w:rsidR="004507DB" w:rsidRPr="00000A9F">
        <w:rPr>
          <w:sz w:val="22"/>
          <w:szCs w:val="22"/>
        </w:rPr>
        <w:t>(“</w:t>
      </w:r>
      <w:r w:rsidR="004507DB" w:rsidRPr="00000A9F">
        <w:rPr>
          <w:sz w:val="22"/>
          <w:szCs w:val="22"/>
          <w:u w:val="single"/>
        </w:rPr>
        <w:t>Obrigações Garantidas</w:t>
      </w:r>
      <w:r w:rsidR="004507DB" w:rsidRPr="00000A9F">
        <w:rPr>
          <w:sz w:val="22"/>
          <w:szCs w:val="22"/>
        </w:rPr>
        <w:t>”);</w:t>
      </w:r>
    </w:p>
    <w:p w14:paraId="25FE1CA7" w14:textId="77777777" w:rsidR="004507DB" w:rsidRPr="00233635" w:rsidRDefault="004507DB" w:rsidP="008A7A32">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5CA3D395" w14:textId="5ADA9D15"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806011" w:rsidRPr="002759C3">
        <w:rPr>
          <w:b/>
          <w:sz w:val="22"/>
        </w:rPr>
        <w:t xml:space="preserve"> </w:t>
      </w:r>
      <w:r w:rsidR="0089372D" w:rsidRPr="0096570D">
        <w:rPr>
          <w:bCs/>
          <w:sz w:val="22"/>
          <w:szCs w:val="22"/>
          <w:highlight w:val="yellow"/>
        </w:rPr>
        <w:t>Bernoulli</w:t>
      </w:r>
      <w:r w:rsidR="00A20779">
        <w:rPr>
          <w:bCs/>
          <w:sz w:val="22"/>
          <w:szCs w:val="22"/>
          <w:highlight w:val="yellow"/>
        </w:rPr>
        <w:t xml:space="preserve">, </w:t>
      </w:r>
      <w:r w:rsidR="0089372D" w:rsidRPr="0096570D">
        <w:rPr>
          <w:bCs/>
          <w:sz w:val="22"/>
          <w:szCs w:val="22"/>
          <w:highlight w:val="yellow"/>
        </w:rPr>
        <w:t xml:space="preserve">Ouvidor </w:t>
      </w:r>
      <w:r w:rsidR="00A20779">
        <w:rPr>
          <w:bCs/>
          <w:sz w:val="22"/>
          <w:szCs w:val="22"/>
        </w:rPr>
        <w:t>, estas últimas de forma cruzada no âmbito das Notas Comerciais</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120611" w:rsidRPr="002A3DAD">
        <w:rPr>
          <w:bCs/>
          <w:sz w:val="22"/>
          <w:szCs w:val="22"/>
          <w:u w:val="single"/>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5" w:name="_Hlk101362128"/>
      <w:r w:rsidRPr="00D3069A">
        <w:rPr>
          <w:rFonts w:eastAsia="Arial"/>
          <w:color w:val="000000"/>
          <w:sz w:val="22"/>
          <w:szCs w:val="22"/>
        </w:rPr>
        <w:t>); (ii</w:t>
      </w:r>
      <w:r w:rsidR="007C5DF4">
        <w:rPr>
          <w:rFonts w:eastAsia="Arial"/>
          <w:color w:val="000000"/>
          <w:sz w:val="22"/>
          <w:szCs w:val="22"/>
        </w:rPr>
        <w:t>i</w:t>
      </w:r>
      <w:r w:rsidRPr="00D3069A">
        <w:rPr>
          <w:rFonts w:eastAsia="Arial"/>
          <w:color w:val="000000"/>
          <w:sz w:val="22"/>
          <w:szCs w:val="22"/>
        </w:rPr>
        <w:t xml:space="preserve">) alienação fiduciária da propriedade, do domínio resolúvel e da posse indireta de </w:t>
      </w:r>
      <w:bookmarkStart w:id="6" w:name="_Hlk101268129"/>
      <w:r w:rsidR="0001034E">
        <w:rPr>
          <w:rFonts w:eastAsia="Arial"/>
          <w:color w:val="000000"/>
          <w:sz w:val="22"/>
          <w:szCs w:val="22"/>
        </w:rPr>
        <w:t>da totalidade</w:t>
      </w:r>
      <w:r w:rsidR="00E20D87">
        <w:rPr>
          <w:rFonts w:eastAsia="Arial"/>
          <w:color w:val="000000"/>
          <w:sz w:val="22"/>
          <w:szCs w:val="22"/>
        </w:rPr>
        <w:t xml:space="preserve"> das</w:t>
      </w:r>
      <w:bookmarkEnd w:id="6"/>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os Fiduciantes, </w:t>
      </w:r>
      <w:r w:rsidR="00120611">
        <w:rPr>
          <w:rFonts w:eastAsia="Arial"/>
          <w:color w:val="000000"/>
          <w:sz w:val="22"/>
          <w:szCs w:val="22"/>
        </w:rPr>
        <w:t>a</w:t>
      </w:r>
      <w:r w:rsidRPr="00D3069A">
        <w:rPr>
          <w:rFonts w:eastAsia="Arial"/>
          <w:color w:val="000000"/>
          <w:sz w:val="22"/>
          <w:szCs w:val="22"/>
        </w:rPr>
        <w:t xml:space="preserve"> </w:t>
      </w:r>
      <w:r w:rsidR="00120611" w:rsidRPr="00D3069A">
        <w:rPr>
          <w:rFonts w:eastAsia="Arial"/>
          <w:color w:val="000000"/>
          <w:sz w:val="22"/>
          <w:szCs w:val="22"/>
        </w:rPr>
        <w:t>Fiduciári</w:t>
      </w:r>
      <w:r w:rsidR="00120611">
        <w:rPr>
          <w:rFonts w:eastAsia="Arial"/>
          <w:color w:val="000000"/>
          <w:sz w:val="22"/>
          <w:szCs w:val="22"/>
        </w:rPr>
        <w:t>a</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w:t>
      </w:r>
      <w:r w:rsidR="00EA6FBD">
        <w:rPr>
          <w:rFonts w:eastAsia="Arial"/>
          <w:color w:val="000000"/>
          <w:sz w:val="22"/>
          <w:szCs w:val="22"/>
        </w:rPr>
        <w:t>v</w:t>
      </w:r>
      <w:proofErr w:type="spellEnd"/>
      <w:r w:rsidR="00492797">
        <w:rPr>
          <w:rFonts w:eastAsia="Arial"/>
          <w:color w:val="000000"/>
          <w:sz w:val="22"/>
          <w:szCs w:val="22"/>
        </w:rPr>
        <w:t xml:space="preserve">) </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w:t>
      </w:r>
      <w:r w:rsidR="00492797" w:rsidRPr="007E6535">
        <w:rPr>
          <w:sz w:val="22"/>
          <w:szCs w:val="22"/>
        </w:rPr>
        <w:t>“</w:t>
      </w:r>
      <w:r w:rsidR="00492797" w:rsidRPr="00E90970">
        <w:rPr>
          <w:sz w:val="22"/>
          <w:szCs w:val="22"/>
          <w:u w:val="single"/>
        </w:rPr>
        <w:t>Fiduciantes</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os Fiduciantes, </w:t>
      </w:r>
      <w:r w:rsidR="00492797">
        <w:rPr>
          <w:rFonts w:eastAsia="Arial"/>
          <w:color w:val="000000"/>
          <w:sz w:val="22"/>
          <w:szCs w:val="22"/>
        </w:rPr>
        <w:t>a</w:t>
      </w:r>
      <w:r w:rsidR="00492797" w:rsidRPr="00D3069A">
        <w:rPr>
          <w:rFonts w:eastAsia="Arial"/>
          <w:color w:val="000000"/>
          <w:sz w:val="22"/>
          <w:szCs w:val="22"/>
        </w:rPr>
        <w:t xml:space="preserve"> Fiduciári</w:t>
      </w:r>
      <w:r w:rsidR="00492797">
        <w:rPr>
          <w:rFonts w:eastAsia="Arial"/>
          <w:color w:val="000000"/>
          <w:sz w:val="22"/>
          <w:szCs w:val="22"/>
        </w:rPr>
        <w:t>a</w:t>
      </w:r>
      <w:r w:rsidR="00492797" w:rsidRPr="00D3069A">
        <w:rPr>
          <w:rFonts w:eastAsia="Arial"/>
          <w:color w:val="000000"/>
          <w:sz w:val="22"/>
          <w:szCs w:val="22"/>
        </w:rPr>
        <w:t xml:space="preserve">, e a </w:t>
      </w:r>
      <w:r w:rsidR="004D6C39">
        <w:rPr>
          <w:bCs/>
          <w:sz w:val="22"/>
          <w:szCs w:val="22"/>
          <w:u w:val="single"/>
        </w:rPr>
        <w:t>Ouvidor</w:t>
      </w:r>
      <w:r w:rsidR="00492797" w:rsidRPr="00D3069A">
        <w:rPr>
          <w:rFonts w:eastAsia="Arial"/>
          <w:color w:val="000000"/>
          <w:sz w:val="22"/>
          <w:szCs w:val="22"/>
        </w:rPr>
        <w:t xml:space="preserve"> (“</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5"/>
      <w:r w:rsidR="00A60E9D" w:rsidRPr="00A60E9D">
        <w:rPr>
          <w:rFonts w:eastAsia="Arial"/>
          <w:color w:val="000000"/>
          <w:sz w:val="22"/>
          <w:szCs w:val="22"/>
        </w:rPr>
        <w:t xml:space="preserve"> </w:t>
      </w:r>
      <w:r w:rsidR="00A60E9D">
        <w:rPr>
          <w:rFonts w:eastAsia="Arial"/>
          <w:color w:val="000000"/>
          <w:sz w:val="22"/>
          <w:szCs w:val="22"/>
        </w:rPr>
        <w:t>[</w:t>
      </w:r>
      <w:r w:rsidR="00A60E9D" w:rsidRPr="00D41EF7">
        <w:rPr>
          <w:rFonts w:eastAsia="Arial"/>
          <w:color w:val="000000"/>
          <w:sz w:val="22"/>
          <w:szCs w:val="22"/>
          <w:highlight w:val="yellow"/>
        </w:rPr>
        <w:t>Nota DC: favor verificar possibilidade de unificar contratos de AF</w:t>
      </w:r>
      <w:r w:rsidR="00A60E9D">
        <w:rPr>
          <w:rFonts w:eastAsia="Arial"/>
          <w:color w:val="000000"/>
          <w:sz w:val="22"/>
          <w:szCs w:val="22"/>
        </w:rPr>
        <w:t>] [</w:t>
      </w:r>
      <w:r w:rsidR="00A60E9D" w:rsidRPr="00D41EF7">
        <w:rPr>
          <w:rFonts w:eastAsia="Arial"/>
          <w:b/>
          <w:bCs/>
          <w:color w:val="000000"/>
          <w:sz w:val="22"/>
          <w:szCs w:val="22"/>
          <w:highlight w:val="yellow"/>
        </w:rPr>
        <w:t>Nota Coelho Advogados: Apenas o Contrato de Cessão Fiduciária será único para as duas Fiduciantes]</w:t>
      </w: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5300166E" w:rsidR="00235049" w:rsidRPr="00D41EF7" w:rsidRDefault="00235049"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w:t>
      </w:r>
      <w:r w:rsidR="006E31E3">
        <w:rPr>
          <w:sz w:val="22"/>
          <w:szCs w:val="22"/>
        </w:rPr>
        <w:t xml:space="preserve">(a) o </w:t>
      </w:r>
      <w:r w:rsidR="006E31E3">
        <w:rPr>
          <w:sz w:val="22"/>
          <w:szCs w:val="22"/>
        </w:rPr>
        <w:lastRenderedPageBreak/>
        <w:t xml:space="preserve">Instrumento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(f) “</w:t>
      </w:r>
      <w:r w:rsidR="006E31E3" w:rsidRPr="00E452DA">
        <w:rPr>
          <w:i/>
          <w:iCs/>
          <w:sz w:val="22"/>
          <w:szCs w:val="22"/>
        </w:rPr>
        <w:t xml:space="preserve">Contrato de Prestação de Serviço de </w:t>
      </w:r>
      <w:r w:rsidR="006E31E3">
        <w:rPr>
          <w:i/>
          <w:iCs/>
          <w:sz w:val="22"/>
          <w:szCs w:val="22"/>
        </w:rPr>
        <w:t>Conta Vinculada</w:t>
      </w:r>
      <w:r w:rsidR="006E31E3" w:rsidRPr="00DB5070">
        <w:rPr>
          <w:i/>
          <w:iCs/>
          <w:sz w:val="22"/>
          <w:szCs w:val="22"/>
        </w:rPr>
        <w:t xml:space="preserve"> </w:t>
      </w:r>
      <w:r w:rsidR="006E31E3" w:rsidRPr="00E452DA">
        <w:rPr>
          <w:i/>
          <w:iCs/>
          <w:sz w:val="22"/>
          <w:szCs w:val="22"/>
        </w:rPr>
        <w:t>e outras Avenças</w:t>
      </w:r>
      <w:r w:rsidR="006E31E3">
        <w:rPr>
          <w:i/>
          <w:iCs/>
          <w:sz w:val="22"/>
          <w:szCs w:val="22"/>
        </w:rPr>
        <w:t xml:space="preserve"> nº [</w:t>
      </w:r>
      <w:r w:rsidR="006E31E3" w:rsidRPr="006453BD">
        <w:rPr>
          <w:i/>
          <w:iCs/>
          <w:sz w:val="22"/>
          <w:szCs w:val="22"/>
          <w:highlight w:val="yellow"/>
        </w:rPr>
        <w:t>completar</w:t>
      </w:r>
      <w:r w:rsidR="006E31E3">
        <w:rPr>
          <w:i/>
          <w:iCs/>
          <w:sz w:val="22"/>
          <w:szCs w:val="22"/>
        </w:rPr>
        <w:t>]</w:t>
      </w:r>
      <w:r w:rsidR="006E31E3" w:rsidRPr="00E452DA">
        <w:rPr>
          <w:bCs/>
          <w:sz w:val="22"/>
          <w:szCs w:val="22"/>
        </w:rPr>
        <w:t>”</w:t>
      </w:r>
      <w:r w:rsidR="006E31E3" w:rsidRPr="00DB5070">
        <w:rPr>
          <w:sz w:val="22"/>
          <w:szCs w:val="22"/>
        </w:rPr>
        <w:t xml:space="preserve">, </w:t>
      </w:r>
      <w:r w:rsidR="006E31E3" w:rsidRPr="00E452DA">
        <w:rPr>
          <w:sz w:val="22"/>
          <w:szCs w:val="22"/>
        </w:rPr>
        <w:t xml:space="preserve">celebrado entre a </w:t>
      </w:r>
      <w:r w:rsidR="006E31E3">
        <w:rPr>
          <w:sz w:val="22"/>
          <w:szCs w:val="22"/>
        </w:rPr>
        <w:t>Bernoulli</w:t>
      </w:r>
      <w:r w:rsidR="006E31E3" w:rsidRPr="00E452DA">
        <w:rPr>
          <w:sz w:val="22"/>
          <w:szCs w:val="22"/>
        </w:rPr>
        <w:t xml:space="preserve">, </w:t>
      </w:r>
      <w:r w:rsidR="006E31E3" w:rsidRPr="00BF1DF8">
        <w:rPr>
          <w:sz w:val="22"/>
          <w:szCs w:val="22"/>
        </w:rPr>
        <w:t xml:space="preserve">QI Sociedade </w:t>
      </w:r>
      <w:r w:rsidR="006E31E3">
        <w:rPr>
          <w:sz w:val="22"/>
          <w:szCs w:val="22"/>
        </w:rPr>
        <w:t>d</w:t>
      </w:r>
      <w:r w:rsidR="006E31E3" w:rsidRPr="00BF1DF8">
        <w:rPr>
          <w:sz w:val="22"/>
          <w:szCs w:val="22"/>
        </w:rPr>
        <w:t>e Crédito Direto S.A., inscrita no CNPJ/MF sob o nº 32.402.502/0001-35</w:t>
      </w:r>
      <w:r w:rsidR="006E31E3" w:rsidRPr="00E452DA">
        <w:rPr>
          <w:sz w:val="22"/>
          <w:szCs w:val="22"/>
        </w:rPr>
        <w:t xml:space="preserve"> (“</w:t>
      </w:r>
      <w:r w:rsidR="006E31E3" w:rsidRPr="00E452DA">
        <w:rPr>
          <w:sz w:val="22"/>
          <w:szCs w:val="22"/>
          <w:u w:val="single"/>
        </w:rPr>
        <w:t>Banco Depositário</w:t>
      </w:r>
      <w:r w:rsidR="006E31E3" w:rsidRPr="00E452DA">
        <w:rPr>
          <w:sz w:val="22"/>
          <w:szCs w:val="22"/>
        </w:rPr>
        <w:t xml:space="preserve">”) e </w:t>
      </w:r>
      <w:r w:rsidR="006E31E3">
        <w:rPr>
          <w:sz w:val="22"/>
          <w:szCs w:val="22"/>
        </w:rPr>
        <w:t xml:space="preserve">a </w:t>
      </w:r>
      <w:r w:rsidR="006E31E3" w:rsidRPr="00E452DA">
        <w:rPr>
          <w:sz w:val="22"/>
          <w:szCs w:val="22"/>
        </w:rPr>
        <w:t>Fiduciári</w:t>
      </w:r>
      <w:r w:rsidR="006E31E3">
        <w:rPr>
          <w:sz w:val="22"/>
          <w:szCs w:val="22"/>
        </w:rPr>
        <w:t>a</w:t>
      </w:r>
      <w:r w:rsidR="006E31E3" w:rsidRPr="00E452DA">
        <w:rPr>
          <w:sz w:val="22"/>
          <w:szCs w:val="22"/>
        </w:rPr>
        <w:t xml:space="preserve"> (“</w:t>
      </w:r>
      <w:r w:rsidR="006E31E3" w:rsidRPr="00E452DA">
        <w:rPr>
          <w:sz w:val="22"/>
          <w:szCs w:val="22"/>
          <w:u w:val="single"/>
        </w:rPr>
        <w:t xml:space="preserve">Contrato de Conta Vinculada </w:t>
      </w:r>
      <w:r w:rsidR="006E31E3">
        <w:rPr>
          <w:sz w:val="22"/>
          <w:szCs w:val="22"/>
          <w:u w:val="single"/>
        </w:rPr>
        <w:t>Bernoulli</w:t>
      </w:r>
      <w:r w:rsidR="006E31E3" w:rsidRPr="00E452DA">
        <w:rPr>
          <w:sz w:val="22"/>
          <w:szCs w:val="22"/>
        </w:rPr>
        <w:t>”; (</w:t>
      </w:r>
      <w:r w:rsidR="006E31E3">
        <w:rPr>
          <w:sz w:val="22"/>
          <w:szCs w:val="22"/>
        </w:rPr>
        <w:t>g</w:t>
      </w:r>
      <w:r w:rsidR="006E31E3" w:rsidRPr="00E452DA">
        <w:rPr>
          <w:sz w:val="22"/>
          <w:szCs w:val="22"/>
        </w:rPr>
        <w:t xml:space="preserve">) </w:t>
      </w:r>
      <w:bookmarkStart w:id="7" w:name="_Hlk104905652"/>
      <w:r w:rsidR="006E31E3" w:rsidRPr="00E452DA">
        <w:rPr>
          <w:sz w:val="22"/>
          <w:szCs w:val="22"/>
        </w:rPr>
        <w:t>o “</w:t>
      </w:r>
      <w:r w:rsidR="006E31E3" w:rsidRPr="00DB5070">
        <w:rPr>
          <w:i/>
          <w:iCs/>
          <w:sz w:val="22"/>
          <w:szCs w:val="22"/>
        </w:rPr>
        <w:t xml:space="preserve">Contrato de Prestação de Serviço de </w:t>
      </w:r>
      <w:r w:rsidR="006E31E3">
        <w:rPr>
          <w:i/>
          <w:iCs/>
          <w:sz w:val="22"/>
          <w:szCs w:val="22"/>
        </w:rPr>
        <w:t>Conta Vinculada</w:t>
      </w:r>
      <w:r w:rsidR="006E31E3" w:rsidRPr="00DB5070">
        <w:rPr>
          <w:i/>
          <w:iCs/>
          <w:sz w:val="22"/>
          <w:szCs w:val="22"/>
        </w:rPr>
        <w:t xml:space="preserve"> e outras Avenças</w:t>
      </w:r>
      <w:r w:rsidR="006E31E3">
        <w:rPr>
          <w:i/>
          <w:iCs/>
          <w:sz w:val="22"/>
          <w:szCs w:val="22"/>
        </w:rPr>
        <w:t xml:space="preserve"> nº [</w:t>
      </w:r>
      <w:r w:rsidR="006E31E3" w:rsidRPr="000B608E">
        <w:rPr>
          <w:i/>
          <w:iCs/>
          <w:sz w:val="22"/>
          <w:szCs w:val="22"/>
          <w:highlight w:val="yellow"/>
        </w:rPr>
        <w:t>completar</w:t>
      </w:r>
      <w:r w:rsidR="006E31E3">
        <w:rPr>
          <w:i/>
          <w:iCs/>
          <w:sz w:val="22"/>
          <w:szCs w:val="22"/>
        </w:rPr>
        <w:t>]</w:t>
      </w:r>
      <w:r w:rsidR="006E31E3" w:rsidRPr="00E452DA">
        <w:rPr>
          <w:bCs/>
          <w:sz w:val="22"/>
          <w:szCs w:val="22"/>
        </w:rPr>
        <w:t>”</w:t>
      </w:r>
      <w:r w:rsidR="006E31E3" w:rsidRPr="00DB5070">
        <w:rPr>
          <w:sz w:val="22"/>
          <w:szCs w:val="22"/>
        </w:rPr>
        <w:t xml:space="preserve">, </w:t>
      </w:r>
      <w:r w:rsidR="006E31E3" w:rsidRPr="00E452DA">
        <w:rPr>
          <w:sz w:val="22"/>
          <w:szCs w:val="22"/>
        </w:rPr>
        <w:t xml:space="preserve">celebrado entre a </w:t>
      </w:r>
      <w:r w:rsidR="006E31E3">
        <w:rPr>
          <w:sz w:val="22"/>
          <w:szCs w:val="22"/>
        </w:rPr>
        <w:t>Ouvidor</w:t>
      </w:r>
      <w:r w:rsidR="006E31E3" w:rsidRPr="00E452DA">
        <w:rPr>
          <w:sz w:val="22"/>
          <w:szCs w:val="22"/>
        </w:rPr>
        <w:t xml:space="preserve">, o Banco Depositário e </w:t>
      </w:r>
      <w:r w:rsidR="006E31E3">
        <w:rPr>
          <w:sz w:val="22"/>
          <w:szCs w:val="22"/>
        </w:rPr>
        <w:t>a</w:t>
      </w:r>
      <w:r w:rsidR="006E31E3" w:rsidRPr="00E452DA">
        <w:rPr>
          <w:sz w:val="22"/>
          <w:szCs w:val="22"/>
        </w:rPr>
        <w:t xml:space="preserve"> Fiduciári</w:t>
      </w:r>
      <w:r w:rsidR="006E31E3">
        <w:rPr>
          <w:sz w:val="22"/>
          <w:szCs w:val="22"/>
        </w:rPr>
        <w:t>a</w:t>
      </w:r>
      <w:r w:rsidR="006E31E3" w:rsidRPr="00E452DA">
        <w:rPr>
          <w:sz w:val="22"/>
          <w:szCs w:val="22"/>
        </w:rPr>
        <w:t xml:space="preserve"> </w:t>
      </w:r>
      <w:bookmarkEnd w:id="7"/>
      <w:r w:rsidR="006E31E3" w:rsidRPr="00E452DA">
        <w:rPr>
          <w:sz w:val="22"/>
          <w:szCs w:val="22"/>
        </w:rPr>
        <w:t>(“</w:t>
      </w:r>
      <w:r w:rsidR="006E31E3" w:rsidRPr="00DB5070">
        <w:rPr>
          <w:sz w:val="22"/>
          <w:szCs w:val="22"/>
          <w:u w:val="single"/>
        </w:rPr>
        <w:t>Contrato de Conta Vinculada</w:t>
      </w:r>
      <w:r w:rsidR="006E31E3" w:rsidRPr="00E452DA">
        <w:rPr>
          <w:sz w:val="22"/>
          <w:szCs w:val="22"/>
          <w:u w:val="single"/>
        </w:rPr>
        <w:t xml:space="preserve"> </w:t>
      </w:r>
      <w:r w:rsidR="006E31E3">
        <w:rPr>
          <w:sz w:val="22"/>
          <w:szCs w:val="22"/>
          <w:u w:val="single"/>
        </w:rPr>
        <w:t>Ouvidor</w:t>
      </w:r>
      <w:r w:rsidR="006E31E3">
        <w:rPr>
          <w:sz w:val="22"/>
          <w:szCs w:val="22"/>
        </w:rPr>
        <w:t>”</w:t>
      </w:r>
      <w:r w:rsidR="006E31E3" w:rsidRPr="00E452DA">
        <w:rPr>
          <w:sz w:val="22"/>
          <w:szCs w:val="22"/>
        </w:rPr>
        <w:t xml:space="preserve"> e, quando em conjunto com o Contrato de Conta Vinculada </w:t>
      </w:r>
      <w:r w:rsidR="006E31E3">
        <w:rPr>
          <w:sz w:val="22"/>
          <w:szCs w:val="22"/>
        </w:rPr>
        <w:t>Bernoulli</w:t>
      </w:r>
      <w:r w:rsidR="006E31E3" w:rsidRPr="00E452DA">
        <w:rPr>
          <w:sz w:val="22"/>
          <w:szCs w:val="22"/>
        </w:rPr>
        <w:t xml:space="preserve"> os </w:t>
      </w:r>
      <w:r w:rsidR="006E31E3">
        <w:rPr>
          <w:sz w:val="22"/>
          <w:szCs w:val="22"/>
        </w:rPr>
        <w:t>“</w:t>
      </w:r>
      <w:r w:rsidR="006E31E3" w:rsidRPr="006453BD">
        <w:rPr>
          <w:sz w:val="22"/>
          <w:szCs w:val="22"/>
          <w:u w:val="single"/>
        </w:rPr>
        <w:t>Contratos de Conta Vinculada</w:t>
      </w:r>
      <w:r w:rsidR="006E31E3">
        <w:rPr>
          <w:sz w:val="22"/>
          <w:szCs w:val="22"/>
        </w:rPr>
        <w:t xml:space="preserve">”); (h)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em Série Única 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a Fiduciária 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p>
    <w:p w14:paraId="2A7B1F32" w14:textId="77777777" w:rsidR="00235049" w:rsidRDefault="00235049" w:rsidP="00D41EF7">
      <w:pPr>
        <w:pStyle w:val="PargrafodaLista"/>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02F307E9"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3B7272">
        <w:rPr>
          <w:rFonts w:eastAsia="Arial"/>
          <w:color w:val="000000"/>
          <w:sz w:val="22"/>
          <w:szCs w:val="22"/>
        </w:rPr>
        <w:t>58891</w:t>
      </w:r>
      <w:r w:rsidR="003B7272"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569A48C6" w:rsidR="00BC6BE1" w:rsidRPr="00233635" w:rsidRDefault="00BC724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455418">
              <w:rPr>
                <w:rFonts w:eastAsia="Arial"/>
                <w:b/>
                <w:sz w:val="22"/>
                <w:szCs w:val="22"/>
                <w:highlight w:val="yellow"/>
              </w:rPr>
              <w:t>[</w:t>
            </w:r>
            <w:r w:rsidR="004024F3">
              <w:rPr>
                <w:rFonts w:eastAsia="Arial"/>
                <w:b/>
                <w:sz w:val="22"/>
                <w:szCs w:val="22"/>
                <w:highlight w:val="yellow"/>
              </w:rPr>
              <w:t>completar</w:t>
            </w:r>
            <w:r w:rsidRPr="00455418">
              <w:rPr>
                <w:rFonts w:eastAsia="Arial"/>
                <w:b/>
                <w:sz w:val="22"/>
                <w:szCs w:val="22"/>
                <w:highlight w:val="yellow"/>
              </w:rPr>
              <w:t>]</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8" w:name="_heading=h.gjdgxs" w:colFirst="0" w:colLast="0"/>
      <w:bookmarkEnd w:id="8"/>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9" w:name="_heading=h.30j0zll" w:colFirst="0" w:colLast="0"/>
      <w:bookmarkEnd w:id="9"/>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lastRenderedPageBreak/>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0" w:name="_heading=h.1fob9te" w:colFirst="0" w:colLast="0"/>
      <w:bookmarkEnd w:id="10"/>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1" w:name="_heading=h.3znysh7" w:colFirst="0" w:colLast="0"/>
      <w:bookmarkEnd w:id="11"/>
      <w:r w:rsidRPr="00233635">
        <w:rPr>
          <w:rFonts w:eastAsia="Arial"/>
          <w:b/>
          <w:color w:val="000000"/>
          <w:sz w:val="22"/>
          <w:szCs w:val="22"/>
        </w:rPr>
        <w:t xml:space="preserve">ADMINISTRAÇÃO E MOVIMENTAÇÃO DAS CONTAS </w:t>
      </w:r>
    </w:p>
    <w:p w14:paraId="04C3E5A3" w14:textId="0393924E" w:rsidR="00BC6BE1" w:rsidRPr="00233635" w:rsidRDefault="00822E53"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ascii="Trebuchet MS" w:eastAsia="Arial" w:hAnsi="Trebuchet MS" w:cs="Arial"/>
          <w:color w:val="000000"/>
          <w:sz w:val="20"/>
          <w:szCs w:val="20"/>
        </w:rPr>
        <w:t>[</w:t>
      </w:r>
      <w:r w:rsidRPr="00D41EF7">
        <w:rPr>
          <w:rFonts w:ascii="Trebuchet MS" w:eastAsia="Arial" w:hAnsi="Trebuchet MS" w:cs="Arial"/>
          <w:b/>
          <w:bCs/>
          <w:color w:val="000000"/>
          <w:sz w:val="20"/>
          <w:szCs w:val="20"/>
          <w:highlight w:val="yellow"/>
        </w:rPr>
        <w:t>Nota DC: incluir vedação de emissão de cheques e cartões na conta vinculada</w:t>
      </w:r>
      <w:r w:rsidRPr="00D41EF7">
        <w:rPr>
          <w:rFonts w:ascii="Trebuchet MS" w:eastAsia="Arial" w:hAnsi="Trebuchet MS" w:cs="Arial"/>
          <w:b/>
          <w:bCs/>
          <w:color w:val="000000"/>
          <w:sz w:val="20"/>
          <w:szCs w:val="20"/>
        </w:rPr>
        <w:t>]</w:t>
      </w:r>
      <w:r w:rsidR="009D1B7D" w:rsidRPr="00D41EF7">
        <w:rPr>
          <w:rFonts w:ascii="Trebuchet MS" w:eastAsia="Arial" w:hAnsi="Trebuchet MS" w:cs="Arial"/>
          <w:b/>
          <w:bCs/>
          <w:color w:val="000000"/>
          <w:sz w:val="20"/>
          <w:szCs w:val="20"/>
        </w:rPr>
        <w:t>[</w:t>
      </w:r>
      <w:r w:rsidR="009D1B7D" w:rsidRPr="00D41EF7">
        <w:rPr>
          <w:rFonts w:ascii="Trebuchet MS" w:eastAsia="Arial" w:hAnsi="Trebuchet MS" w:cs="Arial"/>
          <w:b/>
          <w:bCs/>
          <w:color w:val="000000"/>
          <w:sz w:val="20"/>
          <w:szCs w:val="20"/>
          <w:highlight w:val="yellow"/>
        </w:rPr>
        <w:t>Nota Coelho Advogados: Ajuste efetuado</w:t>
      </w:r>
      <w:r w:rsidR="009D1B7D">
        <w:rPr>
          <w:rFonts w:ascii="Trebuchet MS" w:eastAsia="Arial" w:hAnsi="Trebuchet MS" w:cs="Arial"/>
          <w:color w:val="000000"/>
          <w:sz w:val="20"/>
          <w:szCs w:val="20"/>
        </w:rPr>
        <w:t>]</w:t>
      </w: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2" w:name="_heading=h.2et92p0" w:colFirst="0" w:colLast="0"/>
      <w:bookmarkEnd w:id="12"/>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2F3C551F" w:rsidR="003447F7" w:rsidRDefault="003447F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A</w:t>
      </w:r>
      <w:r w:rsidRPr="001B309F">
        <w:rPr>
          <w:rFonts w:eastAsia="Arial"/>
          <w:sz w:val="22"/>
        </w:rPr>
        <w:t xml:space="preserve"> QI SCD fará, </w:t>
      </w:r>
      <w:r>
        <w:rPr>
          <w:rFonts w:eastAsia="Arial"/>
          <w:sz w:val="22"/>
        </w:rPr>
        <w:t>mediante solicitação do Credor, via plataforma</w:t>
      </w:r>
      <w:r w:rsidRPr="001B309F">
        <w:rPr>
          <w:rFonts w:eastAsia="Arial"/>
          <w:sz w:val="22"/>
        </w:rPr>
        <w:t xml:space="preserve">, a transferência dos </w:t>
      </w:r>
      <w:r w:rsidR="009D1B7D">
        <w:rPr>
          <w:rFonts w:eastAsia="Arial"/>
          <w:sz w:val="22"/>
        </w:rPr>
        <w:t>Recebíveis</w:t>
      </w:r>
      <w:r w:rsidRPr="001B309F">
        <w:rPr>
          <w:rFonts w:eastAsia="Arial"/>
          <w:sz w:val="22"/>
        </w:rPr>
        <w:t xml:space="preserve"> para a(s) Conta(s) Autorizada(s) discriminada(s) no Anexo I, </w:t>
      </w:r>
      <w:r>
        <w:rPr>
          <w:rFonts w:eastAsia="Arial"/>
          <w:sz w:val="22"/>
        </w:rPr>
        <w:t>nos valores a serem informados pelo Credor</w:t>
      </w:r>
      <w:r w:rsidRPr="001B309F">
        <w:rPr>
          <w:rFonts w:eastAsia="Arial"/>
          <w:sz w:val="22"/>
        </w:rPr>
        <w:t xml:space="preserve">, sendo certo que qualquer alteração na Conta </w:t>
      </w:r>
      <w:r>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sidDel="000673BA">
        <w:rPr>
          <w:rFonts w:eastAsia="Arial"/>
          <w:sz w:val="22"/>
        </w:rPr>
        <w:t xml:space="preserve"> </w:t>
      </w:r>
      <w:r w:rsidRPr="001B309F">
        <w:rPr>
          <w:rFonts w:eastAsia="Arial"/>
          <w:sz w:val="22"/>
        </w:rPr>
        <w:t xml:space="preserve"> será implementada apenas no dia útil subsequente ao recebimento, pela QI SCD, da solicitação encaminhada pelo </w:t>
      </w:r>
      <w:r>
        <w:rPr>
          <w:rFonts w:eastAsia="Arial"/>
          <w:sz w:val="22"/>
        </w:rPr>
        <w:t xml:space="preserve">Titular, com cópia ao </w:t>
      </w:r>
      <w:r>
        <w:rPr>
          <w:rFonts w:eastAsia="Arial"/>
          <w:sz w:val="22"/>
        </w:rPr>
        <w:lastRenderedPageBreak/>
        <w:t>Credor</w:t>
      </w:r>
      <w:r w:rsidRPr="001B309F">
        <w:rPr>
          <w:rFonts w:eastAsia="Arial"/>
          <w:sz w:val="22"/>
        </w:rPr>
        <w:t>;</w:t>
      </w:r>
      <w:r>
        <w:rPr>
          <w:rFonts w:eastAsia="Arial"/>
          <w:sz w:val="22"/>
        </w:rPr>
        <w:t xml:space="preserve"> [</w:t>
      </w:r>
      <w:r w:rsidRPr="003447F7">
        <w:rPr>
          <w:rFonts w:eastAsia="Arial"/>
          <w:b/>
          <w:bCs/>
          <w:sz w:val="22"/>
          <w:highlight w:val="yellow"/>
        </w:rPr>
        <w:t>Nota Virgo: prever transferência automática para conta do PS</w:t>
      </w:r>
      <w:r>
        <w:rPr>
          <w:rFonts w:eastAsia="Arial"/>
          <w:sz w:val="22"/>
        </w:rPr>
        <w:t>]</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1A2FBF1"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r w:rsidR="00E648F4">
        <w:rPr>
          <w:rFonts w:eastAsia="Arial"/>
          <w:sz w:val="22"/>
          <w:szCs w:val="22"/>
        </w:rPr>
        <w:t>[</w:t>
      </w:r>
      <w:r w:rsidR="00E648F4" w:rsidRPr="00E648F4">
        <w:rPr>
          <w:rFonts w:eastAsia="Arial"/>
          <w:b/>
          <w:bCs/>
          <w:sz w:val="22"/>
          <w:szCs w:val="22"/>
          <w:highlight w:val="yellow"/>
        </w:rPr>
        <w:t>Nota Virgo: haverá transferência para a conta de livre movimentação do Titular e para a conta do patrimônio separado. As contas não podem ter a mesma definição “contas autorizadas”</w:t>
      </w:r>
      <w:r w:rsidR="00E648F4">
        <w:rPr>
          <w:rFonts w:eastAsia="Arial"/>
          <w:sz w:val="22"/>
          <w:szCs w:val="22"/>
        </w:rPr>
        <w:t xml:space="preserve">] </w:t>
      </w:r>
      <w:r w:rsidR="00B36796">
        <w:rPr>
          <w:rFonts w:eastAsia="Arial"/>
          <w:sz w:val="22"/>
          <w:szCs w:val="22"/>
        </w:rPr>
        <w:t>[</w:t>
      </w:r>
      <w:r w:rsidR="00B36796" w:rsidRPr="00D41EF7">
        <w:rPr>
          <w:rFonts w:eastAsia="Arial"/>
          <w:b/>
          <w:bCs/>
          <w:sz w:val="22"/>
          <w:szCs w:val="22"/>
          <w:highlight w:val="yellow"/>
        </w:rPr>
        <w:t xml:space="preserve">Nota Coelho Advogados: </w:t>
      </w:r>
      <w:r w:rsidR="00AD0B91">
        <w:rPr>
          <w:rFonts w:eastAsia="Arial"/>
          <w:b/>
          <w:bCs/>
          <w:sz w:val="22"/>
          <w:szCs w:val="22"/>
          <w:highlight w:val="yellow"/>
        </w:rPr>
        <w:t>Ajuste efetuado</w:t>
      </w:r>
      <w:r w:rsidR="00B36796">
        <w:rPr>
          <w:rFonts w:eastAsia="Arial"/>
          <w:sz w:val="22"/>
          <w:szCs w:val="22"/>
        </w:rPr>
        <w:t>]</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3" w:name="_heading=h.tyjcwt" w:colFirst="0" w:colLast="0"/>
      <w:bookmarkEnd w:id="13"/>
    </w:p>
    <w:p w14:paraId="564A0084" w14:textId="58EEBB90"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quais sejam: 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(ii)</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E495A3C"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r w:rsidR="00520413" w:rsidRPr="00D41EF7">
        <w:rPr>
          <w:rFonts w:eastAsia="Arial"/>
          <w:b/>
          <w:bCs/>
          <w:color w:val="000000"/>
          <w:sz w:val="22"/>
          <w:szCs w:val="22"/>
          <w:highlight w:val="yellow"/>
        </w:rPr>
        <w:t>Nota Virgo: caso não tenha recursos par pagamento da remuneração notificar o titular com cópia para a Credora para depósito do valor correspondente a remuneração em até 3 du</w:t>
      </w:r>
      <w:r w:rsidR="00520413">
        <w:rPr>
          <w:rFonts w:eastAsia="Arial"/>
          <w:color w:val="000000"/>
          <w:sz w:val="22"/>
          <w:szCs w:val="22"/>
        </w:rPr>
        <w:t>][</w:t>
      </w:r>
      <w:r w:rsidR="00520413" w:rsidRPr="00D41EF7">
        <w:rPr>
          <w:rFonts w:eastAsia="Arial"/>
          <w:b/>
          <w:bCs/>
          <w:color w:val="000000"/>
          <w:sz w:val="22"/>
          <w:szCs w:val="22"/>
          <w:highlight w:val="yellow"/>
        </w:rPr>
        <w:t>Nota Coelho Advogados: QI</w:t>
      </w:r>
      <w:r w:rsidR="00520413">
        <w:rPr>
          <w:rFonts w:eastAsia="Arial"/>
          <w:b/>
          <w:bCs/>
          <w:color w:val="000000"/>
          <w:sz w:val="22"/>
          <w:szCs w:val="22"/>
          <w:highlight w:val="yellow"/>
        </w:rPr>
        <w:t>,</w:t>
      </w:r>
      <w:r w:rsidR="00520413" w:rsidRPr="00D41EF7">
        <w:rPr>
          <w:rFonts w:eastAsia="Arial"/>
          <w:b/>
          <w:bCs/>
          <w:color w:val="000000"/>
          <w:sz w:val="22"/>
          <w:szCs w:val="22"/>
          <w:highlight w:val="yellow"/>
        </w:rPr>
        <w:t xml:space="preserve"> Favor confirma</w:t>
      </w:r>
      <w:r w:rsidR="00520413">
        <w:rPr>
          <w:rFonts w:eastAsia="Arial"/>
          <w:b/>
          <w:bCs/>
          <w:color w:val="000000"/>
          <w:sz w:val="22"/>
          <w:szCs w:val="22"/>
          <w:highlight w:val="yellow"/>
        </w:rPr>
        <w:t>r</w:t>
      </w:r>
      <w:r w:rsidR="00520413" w:rsidRPr="00D41EF7">
        <w:rPr>
          <w:rFonts w:eastAsia="Arial"/>
          <w:b/>
          <w:bCs/>
          <w:color w:val="000000"/>
          <w:sz w:val="22"/>
          <w:szCs w:val="22"/>
          <w:highlight w:val="yellow"/>
        </w:rPr>
        <w:t xml:space="preserve"> operacional]</w:t>
      </w:r>
      <w:r w:rsidR="0090289D">
        <w:rPr>
          <w:rFonts w:eastAsia="Arial"/>
          <w:b/>
          <w:bCs/>
          <w:color w:val="000000"/>
          <w:sz w:val="22"/>
          <w:szCs w:val="22"/>
        </w:rPr>
        <w:t xml:space="preserve"> [</w:t>
      </w:r>
      <w:r w:rsidR="0090289D" w:rsidRPr="00D41EF7">
        <w:rPr>
          <w:rFonts w:eastAsia="Arial"/>
          <w:b/>
          <w:bCs/>
          <w:color w:val="000000"/>
          <w:sz w:val="22"/>
          <w:szCs w:val="22"/>
          <w:highlight w:val="yellow"/>
        </w:rPr>
        <w:t>Nota XP: sugere a exclusão das cláusu</w:t>
      </w:r>
      <w:r w:rsidR="00C46AFA" w:rsidRPr="00D41EF7">
        <w:rPr>
          <w:rFonts w:eastAsia="Arial"/>
          <w:b/>
          <w:bCs/>
          <w:color w:val="000000"/>
          <w:sz w:val="22"/>
          <w:szCs w:val="22"/>
          <w:highlight w:val="yellow"/>
        </w:rPr>
        <w:t>las 3.3 e</w:t>
      </w:r>
      <w:r w:rsidR="00C46AFA">
        <w:rPr>
          <w:rFonts w:eastAsia="Arial"/>
          <w:b/>
          <w:bCs/>
          <w:color w:val="000000"/>
          <w:sz w:val="22"/>
          <w:szCs w:val="22"/>
          <w:highlight w:val="yellow"/>
        </w:rPr>
        <w:t xml:space="preserve"> </w:t>
      </w:r>
      <w:r w:rsidR="00C46AFA" w:rsidRPr="00D41EF7">
        <w:rPr>
          <w:rFonts w:eastAsia="Arial"/>
          <w:b/>
          <w:bCs/>
          <w:color w:val="000000"/>
          <w:sz w:val="22"/>
          <w:szCs w:val="22"/>
          <w:highlight w:val="yellow"/>
        </w:rPr>
        <w:t>3.3.1]</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lastRenderedPageBreak/>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4" w:name="_heading=h.3dy6vkm" w:colFirst="0" w:colLast="0"/>
      <w:bookmarkEnd w:id="14"/>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5" w:name="_heading=h.1t3h5sf" w:colFirst="0" w:colLast="0"/>
      <w:bookmarkEnd w:id="15"/>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“ii”,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w:t>
      </w:r>
      <w:r w:rsidRPr="00233635">
        <w:rPr>
          <w:rFonts w:eastAsia="Arial"/>
          <w:color w:val="000000"/>
          <w:sz w:val="22"/>
          <w:szCs w:val="22"/>
        </w:rPr>
        <w:lastRenderedPageBreak/>
        <w:t xml:space="preserve">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6" w:name="_heading=h.4d34og8" w:colFirst="0" w:colLast="0"/>
      <w:bookmarkEnd w:id="16"/>
      <w:r w:rsidRPr="00233635">
        <w:rPr>
          <w:rFonts w:eastAsia="Arial"/>
          <w:sz w:val="22"/>
          <w:szCs w:val="22"/>
        </w:rPr>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7" w:name="_heading=h.2s8eyo1" w:colFirst="0" w:colLast="0"/>
      <w:bookmarkEnd w:id="17"/>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8" w:name="_heading=h.17dp8vu" w:colFirst="0" w:colLast="0"/>
      <w:bookmarkEnd w:id="18"/>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58042F7B"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r w:rsidR="002D1AE9">
        <w:rPr>
          <w:rFonts w:eastAsia="Arial"/>
          <w:color w:val="000000"/>
          <w:sz w:val="22"/>
          <w:szCs w:val="22"/>
        </w:rPr>
        <w:t>[Nota Virgo: automática, 1.000,00 reais]</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1DA24F9A"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675A47">
        <w:rPr>
          <w:rFonts w:eastAsia="Arial"/>
          <w:color w:val="000000"/>
          <w:sz w:val="22"/>
          <w:szCs w:val="22"/>
        </w:rPr>
        <w:t>, não tendo o Credor qualquer responsabilidade sobre o pagamento da Remuneração</w:t>
      </w:r>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(ii)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9" w:name="_heading=h.3rdcrjn" w:colFirst="0" w:colLast="0"/>
      <w:bookmarkEnd w:id="19"/>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5DA302C0"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r w:rsidR="00DF562E">
        <w:rPr>
          <w:rFonts w:eastAsia="Arial"/>
          <w:sz w:val="22"/>
          <w:szCs w:val="22"/>
        </w:rPr>
        <w:t>[</w:t>
      </w:r>
      <w:r w:rsidR="00DF562E" w:rsidRPr="00D41EF7">
        <w:rPr>
          <w:rFonts w:eastAsia="Arial"/>
          <w:b/>
          <w:bCs/>
          <w:sz w:val="22"/>
          <w:szCs w:val="22"/>
          <w:highlight w:val="yellow"/>
        </w:rPr>
        <w:t>Nota Virgo: definir] [Nota Coelho Advogados: Definição consta do item 3 dos Considerandos</w:t>
      </w:r>
      <w:r w:rsidR="00DF562E">
        <w:rPr>
          <w:rFonts w:eastAsia="Arial"/>
          <w:sz w:val="22"/>
          <w:szCs w:val="22"/>
        </w:rPr>
        <w:t>]</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0F020E29"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E54AAC">
        <w:rPr>
          <w:rFonts w:eastAsia="Arial"/>
          <w:sz w:val="22"/>
          <w:szCs w:val="22"/>
        </w:rPr>
        <w:t>[●</w:t>
      </w:r>
      <w:r w:rsidR="00471E5B">
        <w:rPr>
          <w:rFonts w:eastAsia="Arial"/>
          <w:sz w:val="22"/>
          <w:szCs w:val="22"/>
        </w:rPr>
        <w:t>]</w:t>
      </w:r>
      <w:r>
        <w:rPr>
          <w:rFonts w:eastAsia="Arial"/>
          <w:sz w:val="22"/>
          <w:szCs w:val="22"/>
        </w:rPr>
        <w:t xml:space="preserve"> 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20" w:name="_heading=h.26in1rg" w:colFirst="0" w:colLast="0"/>
      <w:bookmarkEnd w:id="20"/>
      <w:r w:rsidRPr="00233635">
        <w:rPr>
          <w:rFonts w:eastAsia="Arial"/>
          <w:sz w:val="22"/>
          <w:szCs w:val="22"/>
        </w:rPr>
        <w:t xml:space="preserve">O presente Instrumento poderá ser resilido, a qualquer momento: (i) pelo Titular, desde que autorizado pelo Credor; (ii) pelo Credor, isoladamente; ou (iii) pela QI SCD, isoladamente,  sem quaisquer </w:t>
      </w:r>
      <w:r w:rsidRPr="00233635">
        <w:rPr>
          <w:rFonts w:eastAsia="Arial"/>
          <w:sz w:val="22"/>
          <w:szCs w:val="22"/>
        </w:rPr>
        <w:lastRenderedPageBreak/>
        <w:t>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a resilição for de iniciativa da QI SCD, nos termos da Cláusula 6.3, caberá a ela fornecer os extratos da Conta Fiduciária e receber a importância a que eventualmente fizer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21" w:name="_heading=h.lnxbz9" w:colFirst="0" w:colLast="0"/>
      <w:bookmarkEnd w:id="21"/>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lastRenderedPageBreak/>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673CDDF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2" w:name="_heading=h.35nkun2" w:colFirst="0" w:colLast="0"/>
      <w:bookmarkEnd w:id="22"/>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r w:rsidR="00911A0F" w:rsidRPr="00D41EF7">
        <w:rPr>
          <w:rFonts w:eastAsia="Arial"/>
          <w:b/>
          <w:bCs/>
          <w:color w:val="000000"/>
          <w:sz w:val="22"/>
          <w:szCs w:val="22"/>
          <w:highlight w:val="yellow"/>
        </w:rPr>
        <w:t>[Nota DC: incluir infos em decorrência da oferta pública]</w:t>
      </w:r>
      <w:r w:rsidR="0038371D" w:rsidRPr="00D41EF7">
        <w:rPr>
          <w:rFonts w:eastAsia="Arial"/>
          <w:b/>
          <w:bCs/>
          <w:color w:val="000000"/>
          <w:sz w:val="22"/>
          <w:szCs w:val="22"/>
          <w:highlight w:val="yellow"/>
        </w:rPr>
        <w:t>[Nota Coelho Advogados: Ajuste efetuado]</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3" w:name="_heading=h.1ksv4uv" w:colFirst="0" w:colLast="0"/>
      <w:bookmarkEnd w:id="23"/>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são sociedades devidamente constituídas e validamente existentes de acordo com as leis </w:t>
      </w:r>
      <w:r w:rsidRPr="00233635">
        <w:rPr>
          <w:rFonts w:eastAsia="Arial"/>
          <w:color w:val="000000"/>
          <w:sz w:val="22"/>
          <w:szCs w:val="22"/>
        </w:rPr>
        <w:lastRenderedPageBreak/>
        <w:t>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lastRenderedPageBreak/>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4" w:name="_heading=h.44sinio" w:colFirst="0" w:colLast="0"/>
      <w:bookmarkEnd w:id="24"/>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5" w:name="_heading=h.2jxsxqh" w:colFirst="0" w:colLast="0"/>
      <w:bookmarkEnd w:id="25"/>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lastRenderedPageBreak/>
        <w:t xml:space="preserve">At.: </w:t>
      </w:r>
      <w:r w:rsidRPr="00CC0363">
        <w:rPr>
          <w:bCs/>
          <w:sz w:val="22"/>
          <w:szCs w:val="22"/>
        </w:rPr>
        <w:t>Elvio José Machado</w:t>
      </w:r>
    </w:p>
    <w:p w14:paraId="15C136E8"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30640EF1" w14:textId="77777777" w:rsidR="00B0339B" w:rsidRPr="000B608E" w:rsidRDefault="00B0339B" w:rsidP="00455418">
      <w:pPr>
        <w:pStyle w:val="NormalWeb"/>
        <w:spacing w:before="0" w:beforeAutospacing="0" w:after="0" w:afterAutospacing="0" w:line="312" w:lineRule="auto"/>
        <w:ind w:left="1560"/>
        <w:jc w:val="both"/>
        <w:rPr>
          <w:b/>
          <w:bCs/>
          <w:sz w:val="22"/>
          <w:szCs w:val="22"/>
        </w:rPr>
      </w:pPr>
      <w:r w:rsidRPr="000B608E">
        <w:rPr>
          <w:b/>
          <w:bCs/>
          <w:sz w:val="22"/>
          <w:szCs w:val="22"/>
          <w:highlight w:val="yellow"/>
        </w:rPr>
        <w:t>OU</w:t>
      </w:r>
    </w:p>
    <w:p w14:paraId="099DF0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Cumari</w:t>
      </w:r>
      <w:r w:rsidRPr="00F478D6">
        <w:rPr>
          <w:sz w:val="22"/>
          <w:szCs w:val="22"/>
        </w:rPr>
        <w:t xml:space="preserve"> - GO</w:t>
      </w:r>
    </w:p>
    <w:p w14:paraId="7980C9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5CB07A22"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6" w:name="_heading=h.z337ya" w:colFirst="0" w:colLast="0"/>
      <w:bookmarkEnd w:id="26"/>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0E0073D" w:rsidR="0094361F" w:rsidRPr="00233635" w:rsidRDefault="0094361F" w:rsidP="00233635">
      <w:pPr>
        <w:tabs>
          <w:tab w:val="left" w:pos="1701"/>
        </w:tabs>
        <w:spacing w:line="300" w:lineRule="auto"/>
        <w:ind w:left="851"/>
        <w:jc w:val="both"/>
        <w:rPr>
          <w:rFonts w:eastAsia="Arial"/>
          <w:sz w:val="22"/>
          <w:szCs w:val="22"/>
        </w:rPr>
      </w:pPr>
      <w:r w:rsidRPr="008A7A32">
        <w:rPr>
          <w:rFonts w:eastAsia="Arial"/>
          <w:b/>
          <w:bCs/>
          <w:color w:val="000000"/>
          <w:sz w:val="22"/>
          <w:szCs w:val="22"/>
          <w:highlight w:val="yellow"/>
        </w:rPr>
        <w:t>[Nota Coelho Advogados: QI, favor preencher]</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7" w:name="_heading=h.3j2qqm3" w:colFirst="0" w:colLast="0"/>
      <w:bookmarkEnd w:id="27"/>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w:t>
      </w:r>
      <w:r w:rsidRPr="00233635">
        <w:rPr>
          <w:rFonts w:eastAsia="Arial"/>
          <w:color w:val="000000"/>
          <w:sz w:val="22"/>
          <w:szCs w:val="22"/>
        </w:rPr>
        <w:lastRenderedPageBreak/>
        <w:t xml:space="preserve">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8" w:name="_heading=h.1y810tw" w:colFirst="0" w:colLast="0"/>
      <w:bookmarkEnd w:id="28"/>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1A16354"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20761165"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[BERNOULLI ENERGIA LTDA.] </w:t>
      </w:r>
      <w:r w:rsidRPr="0096570D">
        <w:rPr>
          <w:b/>
          <w:sz w:val="22"/>
          <w:szCs w:val="22"/>
          <w:highlight w:val="yellow"/>
        </w:rPr>
        <w:t>OU</w:t>
      </w: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p w14:paraId="21A668BF" w14:textId="77777777" w:rsidR="00E404AD" w:rsidRDefault="00E404AD" w:rsidP="00E404AD">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404AD" w14:paraId="2FA688FE" w14:textId="77777777" w:rsidTr="00D009D2">
        <w:tc>
          <w:tcPr>
            <w:tcW w:w="4786" w:type="dxa"/>
            <w:hideMark/>
          </w:tcPr>
          <w:p w14:paraId="080D22F4" w14:textId="77777777" w:rsidR="00E404AD" w:rsidRDefault="00E404AD" w:rsidP="00D009D2">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7B02A5FB" w14:textId="77777777" w:rsidR="00E404AD" w:rsidRDefault="00E404AD" w:rsidP="00D009D2">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404AD" w14:paraId="641436D3" w14:textId="77777777" w:rsidTr="00D009D2">
        <w:tc>
          <w:tcPr>
            <w:tcW w:w="4786" w:type="dxa"/>
            <w:hideMark/>
          </w:tcPr>
          <w:p w14:paraId="22E24706"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DCB8759"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404AD" w14:paraId="4A8E4E0E" w14:textId="77777777" w:rsidTr="00D009D2">
        <w:tc>
          <w:tcPr>
            <w:tcW w:w="4786" w:type="dxa"/>
            <w:hideMark/>
          </w:tcPr>
          <w:p w14:paraId="76882027"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5F4680C3"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2EC697C6"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3B96617"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40948C15" w14:textId="1DCEDE6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502210" w:rsidRPr="0091049C" w14:paraId="10C5650A" w14:textId="77777777" w:rsidTr="00D009D2">
        <w:tc>
          <w:tcPr>
            <w:tcW w:w="4786" w:type="dxa"/>
          </w:tcPr>
          <w:p w14:paraId="560C971F"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______________________________</w:t>
            </w:r>
          </w:p>
        </w:tc>
        <w:tc>
          <w:tcPr>
            <w:tcW w:w="4111" w:type="dxa"/>
          </w:tcPr>
          <w:p w14:paraId="3C0E6F02"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______________________________</w:t>
            </w:r>
          </w:p>
        </w:tc>
      </w:tr>
      <w:tr w:rsidR="00502210" w:rsidRPr="0091049C" w14:paraId="67D70BF2" w14:textId="77777777" w:rsidTr="00D009D2">
        <w:tc>
          <w:tcPr>
            <w:tcW w:w="4786" w:type="dxa"/>
          </w:tcPr>
          <w:p w14:paraId="7FC1E4C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Nome: </w:t>
            </w:r>
          </w:p>
        </w:tc>
        <w:tc>
          <w:tcPr>
            <w:tcW w:w="4111" w:type="dxa"/>
          </w:tcPr>
          <w:p w14:paraId="4C72B6AE"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Nome: </w:t>
            </w:r>
          </w:p>
        </w:tc>
      </w:tr>
      <w:tr w:rsidR="00502210" w:rsidRPr="0091049C" w14:paraId="202FDEEB" w14:textId="77777777" w:rsidTr="00D009D2">
        <w:tc>
          <w:tcPr>
            <w:tcW w:w="4786" w:type="dxa"/>
          </w:tcPr>
          <w:p w14:paraId="3FF241D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CPF: </w:t>
            </w:r>
          </w:p>
          <w:p w14:paraId="4BD4C9C5"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e-mail: </w:t>
            </w:r>
          </w:p>
        </w:tc>
        <w:tc>
          <w:tcPr>
            <w:tcW w:w="4111" w:type="dxa"/>
          </w:tcPr>
          <w:p w14:paraId="3D4D5D4A"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CPF: </w:t>
            </w:r>
          </w:p>
          <w:p w14:paraId="5C00A7BD"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e-mail: </w:t>
            </w:r>
          </w:p>
        </w:tc>
      </w:tr>
    </w:tbl>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lastRenderedPageBreak/>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0FCC44A"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8D1070">
        <w:rPr>
          <w:rFonts w:eastAsia="Arial"/>
          <w:sz w:val="22"/>
          <w:szCs w:val="22"/>
        </w:rPr>
        <w:t>[</w:t>
      </w:r>
      <w:r w:rsidR="008D1070" w:rsidRPr="00455418">
        <w:rPr>
          <w:rFonts w:eastAsia="Arial"/>
          <w:sz w:val="22"/>
          <w:szCs w:val="22"/>
          <w:highlight w:val="yellow"/>
        </w:rPr>
        <w:t>completar</w:t>
      </w:r>
      <w:r w:rsidR="008D1070">
        <w:rPr>
          <w:rFonts w:eastAsia="Arial"/>
          <w:sz w:val="22"/>
          <w:szCs w:val="22"/>
        </w:rPr>
        <w:t>]</w:t>
      </w:r>
      <w:r w:rsidR="003B7272" w:rsidRPr="00233635">
        <w:rPr>
          <w:rFonts w:eastAsia="Arial"/>
          <w:sz w:val="22"/>
          <w:szCs w:val="22"/>
        </w:rPr>
        <w:t>/</w:t>
      </w:r>
      <w:r w:rsidR="00181298">
        <w:rPr>
          <w:rFonts w:eastAsia="Arial"/>
          <w:sz w:val="22"/>
          <w:szCs w:val="22"/>
        </w:rPr>
        <w:t>2022</w:t>
      </w:r>
    </w:p>
    <w:p w14:paraId="229F1C8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3C032A7E"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1287" w:type="dxa"/>
            <w:shd w:val="clear" w:color="auto" w:fill="auto"/>
            <w:tcMar>
              <w:top w:w="0" w:type="dxa"/>
              <w:left w:w="108" w:type="dxa"/>
              <w:bottom w:w="0" w:type="dxa"/>
              <w:right w:w="108" w:type="dxa"/>
            </w:tcMar>
          </w:tcPr>
          <w:p w14:paraId="7F374A40" w14:textId="6081F4EB"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p>
        </w:tc>
        <w:tc>
          <w:tcPr>
            <w:tcW w:w="2390" w:type="dxa"/>
          </w:tcPr>
          <w:p w14:paraId="07286D2B" w14:textId="749DD0B5"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34F0BE19" w14:textId="2CAC8039"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0FB527DA" w14:textId="77777777" w:rsidR="002218D9" w:rsidRPr="00233635" w:rsidRDefault="002218D9" w:rsidP="002218D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[Nota Virgo: incluir conta de livre movimentação e conta do patrimônio separado com definições diferentes]</w:t>
      </w: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B5C4" w14:textId="77777777" w:rsidR="004F6AAE" w:rsidRDefault="004F6AAE">
      <w:r>
        <w:separator/>
      </w:r>
    </w:p>
  </w:endnote>
  <w:endnote w:type="continuationSeparator" w:id="0">
    <w:p w14:paraId="103C7300" w14:textId="77777777" w:rsidR="004F6AAE" w:rsidRDefault="004F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A1AD" w14:textId="77777777" w:rsidR="004F6AAE" w:rsidRDefault="004F6AAE">
      <w:r>
        <w:separator/>
      </w:r>
    </w:p>
  </w:footnote>
  <w:footnote w:type="continuationSeparator" w:id="0">
    <w:p w14:paraId="0A11D97B" w14:textId="77777777" w:rsidR="004F6AAE" w:rsidRDefault="004F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117386">
    <w:abstractNumId w:val="10"/>
  </w:num>
  <w:num w:numId="2" w16cid:durableId="310597922">
    <w:abstractNumId w:val="11"/>
  </w:num>
  <w:num w:numId="3" w16cid:durableId="930088600">
    <w:abstractNumId w:val="8"/>
  </w:num>
  <w:num w:numId="4" w16cid:durableId="1512450432">
    <w:abstractNumId w:val="12"/>
  </w:num>
  <w:num w:numId="5" w16cid:durableId="150295432">
    <w:abstractNumId w:val="13"/>
  </w:num>
  <w:num w:numId="6" w16cid:durableId="313725625">
    <w:abstractNumId w:val="0"/>
  </w:num>
  <w:num w:numId="7" w16cid:durableId="753817903">
    <w:abstractNumId w:val="6"/>
  </w:num>
  <w:num w:numId="8" w16cid:durableId="1896234743">
    <w:abstractNumId w:val="3"/>
  </w:num>
  <w:num w:numId="9" w16cid:durableId="1525940907">
    <w:abstractNumId w:val="7"/>
  </w:num>
  <w:num w:numId="10" w16cid:durableId="2011639250">
    <w:abstractNumId w:val="2"/>
  </w:num>
  <w:num w:numId="11" w16cid:durableId="1198204985">
    <w:abstractNumId w:val="14"/>
  </w:num>
  <w:num w:numId="12" w16cid:durableId="971210310">
    <w:abstractNumId w:val="4"/>
  </w:num>
  <w:num w:numId="13" w16cid:durableId="697773613">
    <w:abstractNumId w:val="9"/>
  </w:num>
  <w:num w:numId="14" w16cid:durableId="1795364410">
    <w:abstractNumId w:val="5"/>
  </w:num>
  <w:num w:numId="15" w16cid:durableId="118921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670C8"/>
    <w:rsid w:val="00083A8D"/>
    <w:rsid w:val="00090C74"/>
    <w:rsid w:val="000A0E15"/>
    <w:rsid w:val="000A5C42"/>
    <w:rsid w:val="000C5EB0"/>
    <w:rsid w:val="000E0519"/>
    <w:rsid w:val="000E2138"/>
    <w:rsid w:val="000E336D"/>
    <w:rsid w:val="000F1923"/>
    <w:rsid w:val="000F3D0A"/>
    <w:rsid w:val="001124D3"/>
    <w:rsid w:val="00112FE5"/>
    <w:rsid w:val="00120611"/>
    <w:rsid w:val="00126CAC"/>
    <w:rsid w:val="00132C0D"/>
    <w:rsid w:val="0014475B"/>
    <w:rsid w:val="00157A6F"/>
    <w:rsid w:val="00167EB1"/>
    <w:rsid w:val="00170345"/>
    <w:rsid w:val="00170615"/>
    <w:rsid w:val="00181298"/>
    <w:rsid w:val="001A7C24"/>
    <w:rsid w:val="001B2AED"/>
    <w:rsid w:val="001C2A4A"/>
    <w:rsid w:val="001D0300"/>
    <w:rsid w:val="001D192B"/>
    <w:rsid w:val="001E0F26"/>
    <w:rsid w:val="001E4E2F"/>
    <w:rsid w:val="001E5A33"/>
    <w:rsid w:val="001F1867"/>
    <w:rsid w:val="001F37C1"/>
    <w:rsid w:val="001F7D6D"/>
    <w:rsid w:val="0020416F"/>
    <w:rsid w:val="002202BD"/>
    <w:rsid w:val="002218D9"/>
    <w:rsid w:val="00233635"/>
    <w:rsid w:val="0023460E"/>
    <w:rsid w:val="00235049"/>
    <w:rsid w:val="002351B1"/>
    <w:rsid w:val="002418C8"/>
    <w:rsid w:val="00243CA6"/>
    <w:rsid w:val="002512A8"/>
    <w:rsid w:val="002540E7"/>
    <w:rsid w:val="00254F0C"/>
    <w:rsid w:val="00267579"/>
    <w:rsid w:val="00296F7D"/>
    <w:rsid w:val="002A3DAD"/>
    <w:rsid w:val="002B33D7"/>
    <w:rsid w:val="002B7116"/>
    <w:rsid w:val="002D1AE9"/>
    <w:rsid w:val="002D69CF"/>
    <w:rsid w:val="00340E3A"/>
    <w:rsid w:val="003447F7"/>
    <w:rsid w:val="003501DB"/>
    <w:rsid w:val="003722C8"/>
    <w:rsid w:val="00377A6B"/>
    <w:rsid w:val="003803AF"/>
    <w:rsid w:val="0038371D"/>
    <w:rsid w:val="00387228"/>
    <w:rsid w:val="00387E2D"/>
    <w:rsid w:val="00395B55"/>
    <w:rsid w:val="003B172A"/>
    <w:rsid w:val="003B3472"/>
    <w:rsid w:val="003B7272"/>
    <w:rsid w:val="003E24AC"/>
    <w:rsid w:val="003E6C40"/>
    <w:rsid w:val="003F798F"/>
    <w:rsid w:val="004024F3"/>
    <w:rsid w:val="00406170"/>
    <w:rsid w:val="00444258"/>
    <w:rsid w:val="0044562F"/>
    <w:rsid w:val="00446762"/>
    <w:rsid w:val="004507DB"/>
    <w:rsid w:val="0045401E"/>
    <w:rsid w:val="00455418"/>
    <w:rsid w:val="00471E5B"/>
    <w:rsid w:val="00474B57"/>
    <w:rsid w:val="00492797"/>
    <w:rsid w:val="00493AD8"/>
    <w:rsid w:val="004B076F"/>
    <w:rsid w:val="004D6C39"/>
    <w:rsid w:val="004D7011"/>
    <w:rsid w:val="004E0AC1"/>
    <w:rsid w:val="004E4AC9"/>
    <w:rsid w:val="004E7F89"/>
    <w:rsid w:val="004F3818"/>
    <w:rsid w:val="004F3C52"/>
    <w:rsid w:val="004F6AAE"/>
    <w:rsid w:val="00502210"/>
    <w:rsid w:val="00511E21"/>
    <w:rsid w:val="00520413"/>
    <w:rsid w:val="005330D1"/>
    <w:rsid w:val="00540ED1"/>
    <w:rsid w:val="0055264C"/>
    <w:rsid w:val="00552BCC"/>
    <w:rsid w:val="00597EC8"/>
    <w:rsid w:val="005A34D2"/>
    <w:rsid w:val="005E13A5"/>
    <w:rsid w:val="005E3A11"/>
    <w:rsid w:val="005F606A"/>
    <w:rsid w:val="005F6382"/>
    <w:rsid w:val="00610083"/>
    <w:rsid w:val="00623988"/>
    <w:rsid w:val="00626D0C"/>
    <w:rsid w:val="006325BC"/>
    <w:rsid w:val="006348AA"/>
    <w:rsid w:val="00644DBF"/>
    <w:rsid w:val="00662588"/>
    <w:rsid w:val="00665D5A"/>
    <w:rsid w:val="00673749"/>
    <w:rsid w:val="00675A47"/>
    <w:rsid w:val="00682C2A"/>
    <w:rsid w:val="0068788E"/>
    <w:rsid w:val="006A1B3D"/>
    <w:rsid w:val="006A3EB0"/>
    <w:rsid w:val="006A7218"/>
    <w:rsid w:val="006B2975"/>
    <w:rsid w:val="006D4C9B"/>
    <w:rsid w:val="006D5FF7"/>
    <w:rsid w:val="006D6167"/>
    <w:rsid w:val="006D69FB"/>
    <w:rsid w:val="006D71DF"/>
    <w:rsid w:val="006D7408"/>
    <w:rsid w:val="006E29B4"/>
    <w:rsid w:val="006E31E3"/>
    <w:rsid w:val="006E4FAF"/>
    <w:rsid w:val="006E68F6"/>
    <w:rsid w:val="00746BBF"/>
    <w:rsid w:val="00790210"/>
    <w:rsid w:val="007A792B"/>
    <w:rsid w:val="007B5867"/>
    <w:rsid w:val="007C5DF4"/>
    <w:rsid w:val="007E6535"/>
    <w:rsid w:val="00806011"/>
    <w:rsid w:val="008144A0"/>
    <w:rsid w:val="00822973"/>
    <w:rsid w:val="00822E53"/>
    <w:rsid w:val="00825FBC"/>
    <w:rsid w:val="008275FC"/>
    <w:rsid w:val="00837A1F"/>
    <w:rsid w:val="0084421B"/>
    <w:rsid w:val="00856E58"/>
    <w:rsid w:val="0087105C"/>
    <w:rsid w:val="008808CC"/>
    <w:rsid w:val="008844EB"/>
    <w:rsid w:val="0089372D"/>
    <w:rsid w:val="00896D12"/>
    <w:rsid w:val="008A306E"/>
    <w:rsid w:val="008A7A32"/>
    <w:rsid w:val="008D1070"/>
    <w:rsid w:val="008D48A8"/>
    <w:rsid w:val="008E10E4"/>
    <w:rsid w:val="0090289D"/>
    <w:rsid w:val="00903611"/>
    <w:rsid w:val="00905591"/>
    <w:rsid w:val="00907316"/>
    <w:rsid w:val="00910DF0"/>
    <w:rsid w:val="00911A0F"/>
    <w:rsid w:val="0091399A"/>
    <w:rsid w:val="009408F3"/>
    <w:rsid w:val="0094361F"/>
    <w:rsid w:val="009623D3"/>
    <w:rsid w:val="00976BED"/>
    <w:rsid w:val="009833BD"/>
    <w:rsid w:val="009D0B59"/>
    <w:rsid w:val="009D1B7D"/>
    <w:rsid w:val="009E6F65"/>
    <w:rsid w:val="00A053E4"/>
    <w:rsid w:val="00A10E74"/>
    <w:rsid w:val="00A123F7"/>
    <w:rsid w:val="00A20779"/>
    <w:rsid w:val="00A2397A"/>
    <w:rsid w:val="00A27407"/>
    <w:rsid w:val="00A45366"/>
    <w:rsid w:val="00A47A91"/>
    <w:rsid w:val="00A50A36"/>
    <w:rsid w:val="00A6090C"/>
    <w:rsid w:val="00A60E9D"/>
    <w:rsid w:val="00A648A9"/>
    <w:rsid w:val="00A65A9F"/>
    <w:rsid w:val="00A845D3"/>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31E20"/>
    <w:rsid w:val="00B36796"/>
    <w:rsid w:val="00B57CD5"/>
    <w:rsid w:val="00B679EB"/>
    <w:rsid w:val="00B92A31"/>
    <w:rsid w:val="00BA6190"/>
    <w:rsid w:val="00BB4469"/>
    <w:rsid w:val="00BC6BE1"/>
    <w:rsid w:val="00BC7245"/>
    <w:rsid w:val="00BE27EF"/>
    <w:rsid w:val="00C46AFA"/>
    <w:rsid w:val="00C476BF"/>
    <w:rsid w:val="00C54632"/>
    <w:rsid w:val="00C54F2B"/>
    <w:rsid w:val="00C817BE"/>
    <w:rsid w:val="00C85521"/>
    <w:rsid w:val="00C901E4"/>
    <w:rsid w:val="00C94544"/>
    <w:rsid w:val="00CA29AC"/>
    <w:rsid w:val="00CB4E38"/>
    <w:rsid w:val="00CC0575"/>
    <w:rsid w:val="00CC150F"/>
    <w:rsid w:val="00CC1FCC"/>
    <w:rsid w:val="00CD5D75"/>
    <w:rsid w:val="00CE0912"/>
    <w:rsid w:val="00CE749B"/>
    <w:rsid w:val="00CF446E"/>
    <w:rsid w:val="00D17979"/>
    <w:rsid w:val="00D30263"/>
    <w:rsid w:val="00D3069A"/>
    <w:rsid w:val="00D33D6E"/>
    <w:rsid w:val="00D37432"/>
    <w:rsid w:val="00D41EF7"/>
    <w:rsid w:val="00D50661"/>
    <w:rsid w:val="00D521B2"/>
    <w:rsid w:val="00D57CE1"/>
    <w:rsid w:val="00D64989"/>
    <w:rsid w:val="00D73A78"/>
    <w:rsid w:val="00D905DE"/>
    <w:rsid w:val="00DB42D4"/>
    <w:rsid w:val="00DB74E8"/>
    <w:rsid w:val="00DB7A2F"/>
    <w:rsid w:val="00DD7903"/>
    <w:rsid w:val="00DF562E"/>
    <w:rsid w:val="00DF618B"/>
    <w:rsid w:val="00DF632D"/>
    <w:rsid w:val="00E134BB"/>
    <w:rsid w:val="00E20D87"/>
    <w:rsid w:val="00E24792"/>
    <w:rsid w:val="00E404AD"/>
    <w:rsid w:val="00E54AAC"/>
    <w:rsid w:val="00E648F4"/>
    <w:rsid w:val="00E66F99"/>
    <w:rsid w:val="00E71C13"/>
    <w:rsid w:val="00E72370"/>
    <w:rsid w:val="00E737CC"/>
    <w:rsid w:val="00E86498"/>
    <w:rsid w:val="00EA2239"/>
    <w:rsid w:val="00EA2736"/>
    <w:rsid w:val="00EA2A3F"/>
    <w:rsid w:val="00EA6FBD"/>
    <w:rsid w:val="00EB4BFA"/>
    <w:rsid w:val="00EE7F73"/>
    <w:rsid w:val="00F41554"/>
    <w:rsid w:val="00F764F9"/>
    <w:rsid w:val="00F82214"/>
    <w:rsid w:val="00F91BF6"/>
    <w:rsid w:val="00F92E7F"/>
    <w:rsid w:val="00FB3A07"/>
    <w:rsid w:val="00FB70CB"/>
    <w:rsid w:val="00FE3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7297</Words>
  <Characters>39409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7</cp:revision>
  <dcterms:created xsi:type="dcterms:W3CDTF">2022-06-01T20:33:00Z</dcterms:created>
  <dcterms:modified xsi:type="dcterms:W3CDTF">2022-06-01T20:37:00Z</dcterms:modified>
</cp:coreProperties>
</file>