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77777777"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03AD4877"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4482B1DD" w14:textId="5C5CABE0" w:rsidR="008B1994" w:rsidRDefault="008B1994" w:rsidP="008B1994">
      <w:pPr>
        <w:spacing w:line="300" w:lineRule="auto"/>
        <w:rPr>
          <w:sz w:val="22"/>
          <w:szCs w:val="22"/>
          <w:highlight w:val="yellow"/>
        </w:rPr>
      </w:pPr>
      <w:r>
        <w:rPr>
          <w:sz w:val="22"/>
          <w:szCs w:val="22"/>
          <w:highlight w:val="yellow"/>
        </w:rPr>
        <w:t xml:space="preserve">[Nota DC: </w:t>
      </w:r>
      <w:r w:rsidRPr="00560F84">
        <w:rPr>
          <w:sz w:val="22"/>
          <w:szCs w:val="22"/>
          <w:highlight w:val="yellow"/>
        </w:rPr>
        <w:t xml:space="preserve">Sugiro seguir </w:t>
      </w:r>
      <w:r>
        <w:rPr>
          <w:sz w:val="22"/>
          <w:szCs w:val="22"/>
          <w:highlight w:val="yellow"/>
        </w:rPr>
        <w:t>o padrão do considerando</w:t>
      </w:r>
      <w:r w:rsidRPr="00560F84">
        <w:rPr>
          <w:sz w:val="22"/>
          <w:szCs w:val="22"/>
          <w:highlight w:val="yellow"/>
        </w:rPr>
        <w:t xml:space="preserve"> da CF</w:t>
      </w:r>
      <w:r>
        <w:rPr>
          <w:sz w:val="22"/>
          <w:szCs w:val="22"/>
          <w:highlight w:val="yellow"/>
        </w:rPr>
        <w:t>] [</w:t>
      </w:r>
      <w:r w:rsidRPr="008B1994">
        <w:rPr>
          <w:b/>
          <w:bCs/>
          <w:sz w:val="22"/>
          <w:szCs w:val="22"/>
          <w:highlight w:val="yellow"/>
        </w:rPr>
        <w:t>Nota Coelho Advogados: apenas o item I e II são específicos deste contrato</w:t>
      </w:r>
      <w:r>
        <w:rPr>
          <w:sz w:val="22"/>
          <w:szCs w:val="22"/>
          <w:highlight w:val="yellow"/>
        </w:rPr>
        <w:t>]</w:t>
      </w:r>
    </w:p>
    <w:p w14:paraId="64EE5588" w14:textId="07C451AF" w:rsidR="008B1994" w:rsidRPr="00760BB3" w:rsidRDefault="008B1994" w:rsidP="008B1994">
      <w:pPr>
        <w:spacing w:line="300" w:lineRule="auto"/>
        <w:rPr>
          <w:sz w:val="22"/>
          <w:szCs w:val="22"/>
        </w:rPr>
      </w:pPr>
      <w:r>
        <w:rPr>
          <w:sz w:val="22"/>
          <w:szCs w:val="22"/>
          <w:highlight w:val="yellow"/>
        </w:rPr>
        <w:t xml:space="preserve">[Nota DC: conseguimos uma única AF dado que a Welt é proprietária de </w:t>
      </w:r>
      <w:r w:rsidR="00FD6EA0">
        <w:rPr>
          <w:sz w:val="22"/>
          <w:szCs w:val="22"/>
          <w:highlight w:val="yellow"/>
        </w:rPr>
        <w:t>ambas as empresas</w:t>
      </w:r>
      <w:r w:rsidRPr="00560F84">
        <w:rPr>
          <w:sz w:val="22"/>
          <w:szCs w:val="22"/>
          <w:highlight w:val="yellow"/>
        </w:rPr>
        <w:t>?</w:t>
      </w:r>
      <w:r>
        <w:rPr>
          <w:sz w:val="22"/>
          <w:szCs w:val="22"/>
        </w:rPr>
        <w:t>] [</w:t>
      </w:r>
      <w:r w:rsidRPr="005B63F5">
        <w:rPr>
          <w:b/>
          <w:bCs/>
          <w:sz w:val="22"/>
          <w:szCs w:val="22"/>
          <w:highlight w:val="yellow"/>
        </w:rPr>
        <w:t>Nota Coelho Advogados: Seguiremos apenas com a CF em instrumento único para am</w:t>
      </w:r>
      <w:r w:rsidR="00EB3C33" w:rsidRPr="005B63F5">
        <w:rPr>
          <w:b/>
          <w:bCs/>
          <w:sz w:val="22"/>
          <w:szCs w:val="22"/>
          <w:highlight w:val="yellow"/>
        </w:rPr>
        <w:t>bas as empresas</w:t>
      </w:r>
      <w:r w:rsidR="00EB3C33">
        <w:rPr>
          <w:sz w:val="22"/>
          <w:szCs w:val="22"/>
        </w:rPr>
        <w:t>]</w:t>
      </w:r>
    </w:p>
    <w:p w14:paraId="0FBF23AC" w14:textId="77777777" w:rsidR="008B012F" w:rsidRPr="00760BB3" w:rsidRDefault="008B012F" w:rsidP="00760BB3">
      <w:pPr>
        <w:spacing w:line="300" w:lineRule="auto"/>
        <w:rPr>
          <w:sz w:val="22"/>
          <w:szCs w:val="22"/>
        </w:rPr>
      </w:pPr>
    </w:p>
    <w:p w14:paraId="119586AD" w14:textId="7F302A31"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12A8F596"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2B710EEC"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33C29C11"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Nesta data, a Ouvidor emitiu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celebrado nesta data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0A2A18">
        <w:rPr>
          <w:sz w:val="22"/>
          <w:szCs w:val="22"/>
          <w:u w:val="single"/>
        </w:rPr>
        <w:t>MP n° 1.103/22</w:t>
      </w:r>
      <w:r w:rsidR="002546BF" w:rsidRPr="002546BF">
        <w:rPr>
          <w:sz w:val="22"/>
          <w:szCs w:val="22"/>
        </w:rPr>
        <w:t>”)</w:t>
      </w:r>
      <w:r w:rsidRPr="00104108">
        <w:rPr>
          <w:sz w:val="22"/>
          <w:szCs w:val="22"/>
        </w:rPr>
        <w:t>;</w:t>
      </w:r>
    </w:p>
    <w:p w14:paraId="56E33BB7" w14:textId="77777777" w:rsidR="00D02640" w:rsidRPr="000A2A18" w:rsidRDefault="00D02640" w:rsidP="000A2A18">
      <w:pPr>
        <w:pStyle w:val="PargrafodaLista"/>
        <w:rPr>
          <w:sz w:val="22"/>
          <w:szCs w:val="22"/>
        </w:rPr>
      </w:pPr>
    </w:p>
    <w:p w14:paraId="2E17DD54" w14:textId="4BE9FDDC" w:rsidR="00D02640" w:rsidRPr="003036A8" w:rsidRDefault="00D02640" w:rsidP="00D02640">
      <w:pPr>
        <w:pStyle w:val="PargrafodaLista"/>
        <w:numPr>
          <w:ilvl w:val="0"/>
          <w:numId w:val="46"/>
        </w:numPr>
        <w:spacing w:line="300" w:lineRule="auto"/>
        <w:ind w:left="0" w:firstLine="0"/>
        <w:jc w:val="both"/>
        <w:rPr>
          <w:sz w:val="22"/>
          <w:szCs w:val="22"/>
        </w:rPr>
      </w:pPr>
      <w:r w:rsidRPr="00104108">
        <w:rPr>
          <w:bCs/>
          <w:sz w:val="22"/>
          <w:szCs w:val="22"/>
        </w:rPr>
        <w:lastRenderedPageBreak/>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F825A3">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0A2A18" w:rsidRDefault="003036A8" w:rsidP="000A2A18">
      <w:pPr>
        <w:pStyle w:val="PargrafodaLista"/>
        <w:rPr>
          <w:sz w:val="22"/>
          <w:szCs w:val="22"/>
        </w:rPr>
      </w:pPr>
    </w:p>
    <w:p w14:paraId="4A329CF1" w14:textId="41EE6F22" w:rsidR="003036A8" w:rsidRPr="00104108" w:rsidRDefault="00A026F9" w:rsidP="000A2A18">
      <w:pPr>
        <w:pStyle w:val="PargrafodaLista"/>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sidR="00EB3C33">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EB3C33">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proofErr w:type="spellStart"/>
      <w:r w:rsidR="004D6F0B">
        <w:rPr>
          <w:bCs/>
          <w:sz w:val="22"/>
          <w:szCs w:val="22"/>
        </w:rPr>
        <w:t>Simplific</w:t>
      </w:r>
      <w:proofErr w:type="spellEnd"/>
      <w:r w:rsidR="004D6F0B">
        <w:rPr>
          <w:bCs/>
          <w:sz w:val="22"/>
          <w:szCs w:val="22"/>
        </w:rPr>
        <w:t xml:space="preserve"> Pavarini Distribuidora de Títulos e Valores Mobiliários Ltda.</w:t>
      </w:r>
      <w:r w:rsidRPr="00104108">
        <w:rPr>
          <w:bCs/>
          <w:sz w:val="22"/>
          <w:szCs w:val="22"/>
        </w:rPr>
        <w:t xml:space="preserve"> (“</w:t>
      </w:r>
      <w:r w:rsidRPr="00104108">
        <w:rPr>
          <w:bCs/>
          <w:sz w:val="22"/>
          <w:szCs w:val="22"/>
          <w:u w:val="single"/>
        </w:rPr>
        <w:t>Termo de Securitização</w:t>
      </w:r>
      <w:r w:rsidRPr="00104108">
        <w:rPr>
          <w:bCs/>
          <w:sz w:val="22"/>
          <w:szCs w:val="22"/>
        </w:rPr>
        <w:t>”</w:t>
      </w:r>
      <w:r w:rsidR="006A7A85">
        <w:rPr>
          <w:bCs/>
          <w:sz w:val="22"/>
          <w:szCs w:val="22"/>
        </w:rPr>
        <w:t xml:space="preserve"> e “</w:t>
      </w:r>
      <w:r w:rsidR="006A7A85" w:rsidRPr="005B63F5">
        <w:rPr>
          <w:bCs/>
          <w:sz w:val="22"/>
          <w:szCs w:val="22"/>
          <w:u w:val="single"/>
        </w:rPr>
        <w:t>Agente Fiduciário</w:t>
      </w:r>
      <w:r w:rsidR="006A7A85">
        <w:rPr>
          <w:bCs/>
          <w:sz w:val="22"/>
          <w:szCs w:val="22"/>
        </w:rPr>
        <w:t>”, respectivamente</w:t>
      </w:r>
      <w:r w:rsidRPr="00104108">
        <w:rPr>
          <w:bCs/>
          <w:sz w:val="22"/>
          <w:szCs w:val="22"/>
        </w:rPr>
        <w:t>), nos termos da Lei nº 9.514/97, e de acordo com os normativos da CVM</w:t>
      </w:r>
      <w:r w:rsidR="001B75F6">
        <w:rPr>
          <w:bCs/>
          <w:sz w:val="22"/>
          <w:szCs w:val="22"/>
        </w:rPr>
        <w:t>.</w:t>
      </w:r>
    </w:p>
    <w:p w14:paraId="00510CF8" w14:textId="77777777" w:rsidR="007B4C7B" w:rsidRPr="000A2A18" w:rsidRDefault="007B4C7B" w:rsidP="000A2A18">
      <w:pPr>
        <w:pStyle w:val="PargrafodaLista"/>
        <w:rPr>
          <w:sz w:val="22"/>
          <w:szCs w:val="22"/>
        </w:rPr>
      </w:pPr>
    </w:p>
    <w:p w14:paraId="785334E9" w14:textId="01A9E120"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 xml:space="preserve">Sr. Elvio,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xml:space="preserve">”, entre a </w:t>
      </w:r>
      <w:r w:rsidR="003A6D35">
        <w:rPr>
          <w:sz w:val="22"/>
          <w:szCs w:val="22"/>
        </w:rPr>
        <w:t>Sociedade</w:t>
      </w:r>
      <w:r w:rsidR="00BA5799">
        <w:rPr>
          <w:sz w:val="22"/>
          <w:szCs w:val="22"/>
        </w:rPr>
        <w:t>,</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de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5915E1">
        <w:rPr>
          <w:sz w:val="22"/>
          <w:szCs w:val="22"/>
        </w:rPr>
        <w:t xml:space="preserve">Emissora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F3283E">
        <w:rPr>
          <w:sz w:val="22"/>
          <w:szCs w:val="22"/>
        </w:rPr>
        <w:t>(</w:t>
      </w:r>
      <w:proofErr w:type="spellStart"/>
      <w:r w:rsidR="00F3283E">
        <w:rPr>
          <w:sz w:val="22"/>
          <w:szCs w:val="22"/>
        </w:rPr>
        <w:t>iii</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os Fiduciantes,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 xml:space="preserve"> (“</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r w:rsidR="00D92A39">
        <w:rPr>
          <w:sz w:val="22"/>
          <w:szCs w:val="22"/>
        </w:rPr>
        <w:t>[</w:t>
      </w:r>
      <w:r w:rsidR="00D92A39" w:rsidRPr="005B63F5">
        <w:rPr>
          <w:b/>
          <w:bCs/>
          <w:sz w:val="22"/>
          <w:szCs w:val="22"/>
          <w:highlight w:val="yellow"/>
        </w:rPr>
        <w:t>Nota DC: favor incluir no conceito de garantias o aval prestado na outra NC (que não a da sociedade mencionada aqui, e a outra AF de quotas</w:t>
      </w:r>
      <w:r w:rsidR="00D92A39" w:rsidRPr="005B63F5">
        <w:rPr>
          <w:sz w:val="22"/>
          <w:szCs w:val="22"/>
          <w:highlight w:val="yellow"/>
        </w:rPr>
        <w:t>.</w:t>
      </w:r>
      <w:r w:rsidR="00D92A39">
        <w:rPr>
          <w:sz w:val="22"/>
          <w:szCs w:val="22"/>
        </w:rPr>
        <w:t>]</w:t>
      </w:r>
      <w:r w:rsidR="00603FAA">
        <w:rPr>
          <w:sz w:val="22"/>
          <w:szCs w:val="22"/>
        </w:rPr>
        <w:t xml:space="preserve"> [</w:t>
      </w:r>
      <w:r w:rsidR="00603FAA" w:rsidRPr="005B63F5">
        <w:rPr>
          <w:b/>
          <w:bCs/>
          <w:sz w:val="22"/>
          <w:szCs w:val="22"/>
          <w:highlight w:val="yellow"/>
        </w:rPr>
        <w:t>Nota Coelho Advogados: Ajuste efetuado</w:t>
      </w:r>
      <w:r w:rsidR="00603FAA">
        <w:rPr>
          <w:sz w:val="22"/>
          <w:szCs w:val="22"/>
        </w:rPr>
        <w:t>]</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lastRenderedPageBreak/>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3F72663F"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r w:rsidR="008978B2">
        <w:rPr>
          <w:sz w:val="22"/>
          <w:szCs w:val="22"/>
        </w:rPr>
        <w:t>[</w:t>
      </w:r>
      <w:r w:rsidR="008978B2" w:rsidRPr="005B63F5">
        <w:rPr>
          <w:b/>
          <w:bCs/>
          <w:sz w:val="22"/>
          <w:szCs w:val="22"/>
          <w:highlight w:val="yellow"/>
        </w:rPr>
        <w:t>Nota DC: faltaram a outra NC, a outra AF, e o outro contrato de conta vinculada. Acho melhor seguirmos o padrão da CF, contrato de distribuição e termo de securitização</w:t>
      </w:r>
      <w:r w:rsidR="008978B2">
        <w:rPr>
          <w:sz w:val="22"/>
          <w:szCs w:val="22"/>
        </w:rPr>
        <w:t>]</w:t>
      </w:r>
      <w:r w:rsidR="007F6927">
        <w:rPr>
          <w:sz w:val="22"/>
          <w:szCs w:val="22"/>
        </w:rPr>
        <w:t>[</w:t>
      </w:r>
      <w:r w:rsidR="007F6927" w:rsidRPr="005B63F5">
        <w:rPr>
          <w:b/>
          <w:bCs/>
          <w:sz w:val="22"/>
          <w:szCs w:val="22"/>
          <w:highlight w:val="yellow"/>
        </w:rPr>
        <w:t>Nota Coelho Advogados: Ajuste efetuado</w:t>
      </w:r>
      <w:r w:rsidR="007F6927">
        <w:rPr>
          <w:sz w:val="22"/>
          <w:szCs w:val="22"/>
        </w:rPr>
        <w:t>]</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38F9643A"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 das obrigações principais e acessórias, presentes e futuras, assumidas ou que venham a ser assumidas pela Emissora em razão</w:t>
      </w:r>
      <w:r>
        <w:rPr>
          <w:sz w:val="22"/>
          <w:szCs w:val="22"/>
        </w:rPr>
        <w:t xml:space="preserve"> dos CRI e</w:t>
      </w:r>
      <w:r w:rsidRPr="006B0792">
        <w:rPr>
          <w:sz w:val="22"/>
          <w:szCs w:val="22"/>
        </w:rPr>
        <w:t xml:space="preserve"> das Notas Comerciais, no âmbito d</w:t>
      </w:r>
      <w:r w:rsidRPr="0024250F">
        <w:rPr>
          <w:sz w:val="22"/>
          <w:szCs w:val="22"/>
        </w:rPr>
        <w:t>o Instrumento de Emissão</w:t>
      </w:r>
      <w:r>
        <w:rPr>
          <w:sz w:val="22"/>
          <w:szCs w:val="22"/>
        </w:rPr>
        <w:t xml:space="preserve"> e </w:t>
      </w:r>
      <w:r>
        <w:rPr>
          <w:iCs/>
          <w:sz w:val="22"/>
          <w:szCs w:val="22"/>
        </w:rPr>
        <w:t>dos demais Documentos da Operação</w:t>
      </w:r>
      <w:r w:rsidRPr="0024250F">
        <w:rPr>
          <w:sz w:val="22"/>
          <w:szCs w:val="22"/>
        </w:rPr>
        <w:t>, incluindo, mas sem se limitar, ao saldo devedor</w:t>
      </w:r>
      <w:r>
        <w:rPr>
          <w:sz w:val="22"/>
          <w:szCs w:val="22"/>
        </w:rPr>
        <w:t xml:space="preserve"> dos CRI</w:t>
      </w:r>
      <w:r w:rsidRPr="0024250F">
        <w:rPr>
          <w:sz w:val="22"/>
          <w:szCs w:val="22"/>
        </w:rPr>
        <w:t xml:space="preserve">, bem como a todos e quaisquer valores devidos aos </w:t>
      </w:r>
      <w:r>
        <w:rPr>
          <w:sz w:val="22"/>
          <w:szCs w:val="22"/>
        </w:rPr>
        <w:t>t</w:t>
      </w:r>
      <w:r w:rsidRPr="00560F84">
        <w:rPr>
          <w:sz w:val="22"/>
          <w:szCs w:val="22"/>
        </w:rPr>
        <w:t>itulares dos CRI</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 pelos titulares e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6" w:name="_Toc522079146"/>
      <w:bookmarkStart w:id="7"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6"/>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5286E2A8"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4CEB45B6"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9474F1" w:rsidRPr="00760BB3">
        <w:rPr>
          <w:sz w:val="22"/>
          <w:szCs w:val="22"/>
        </w:rPr>
        <w:t xml:space="preserve"> </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8" w:name="_DV_M125"/>
      <w:bookmarkEnd w:id="8"/>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9" w:name="_Toc522079148"/>
      <w:bookmarkEnd w:id="7"/>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343AEEB5"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w:t>
      </w:r>
      <w:r w:rsidRPr="0029217C">
        <w:rPr>
          <w:bCs/>
          <w:sz w:val="22"/>
          <w:szCs w:val="22"/>
        </w:rPr>
        <w:t>;</w:t>
      </w:r>
    </w:p>
    <w:p w14:paraId="53E4652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C0A5DD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]dias</w:t>
      </w:r>
      <w:r w:rsidRPr="0029217C">
        <w:rPr>
          <w:bCs/>
          <w:sz w:val="22"/>
          <w:szCs w:val="22"/>
        </w:rPr>
        <w:t xml:space="preserve"> contados da Data de Emissão</w:t>
      </w:r>
    </w:p>
    <w:p w14:paraId="34BFE46B" w14:textId="77777777"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Pr="00D20D39">
        <w:rPr>
          <w:bCs/>
          <w:sz w:val="22"/>
          <w:szCs w:val="22"/>
        </w:rPr>
        <w:t>de 2022</w:t>
      </w:r>
      <w:r w:rsidRPr="00173F2C">
        <w:rPr>
          <w:bCs/>
          <w:sz w:val="22"/>
          <w:szCs w:val="22"/>
        </w:rPr>
        <w:t>;</w:t>
      </w:r>
    </w:p>
    <w:p w14:paraId="40AA9D89"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6C6A613D" w14:textId="23C92E1C"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Pr>
          <w:rFonts w:eastAsia="Arial Unicode MS"/>
          <w:sz w:val="22"/>
          <w:szCs w:val="22"/>
          <w:lang w:bidi="th-TH"/>
        </w:rPr>
        <w:t>IPCA</w:t>
      </w:r>
    </w:p>
    <w:p w14:paraId="48216482" w14:textId="6176838C" w:rsidR="005A5563" w:rsidRPr="004F7186"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Remuneração</w:t>
      </w:r>
      <w:r w:rsidRPr="0029217C">
        <w:rPr>
          <w:bCs/>
          <w:sz w:val="22"/>
          <w:szCs w:val="22"/>
        </w:rPr>
        <w:t>:</w:t>
      </w:r>
      <w:r>
        <w:rPr>
          <w:bCs/>
          <w:sz w:val="22"/>
          <w:szCs w:val="22"/>
        </w:rPr>
        <w:t xml:space="preserve"> </w:t>
      </w:r>
      <w:r w:rsidR="007B400B" w:rsidRPr="007B400B">
        <w:rPr>
          <w:bCs/>
          <w:sz w:val="22"/>
          <w:szCs w:val="22"/>
        </w:rPr>
        <w:t>juros remuneratórios prefixados correspondentes a [</w:t>
      </w:r>
      <w:r w:rsidR="007B400B" w:rsidRPr="005B63F5">
        <w:rPr>
          <w:bCs/>
          <w:sz w:val="22"/>
          <w:szCs w:val="22"/>
          <w:highlight w:val="yellow"/>
        </w:rPr>
        <w:t>completar</w:t>
      </w:r>
      <w:r w:rsidR="007B400B" w:rsidRPr="007B400B">
        <w:rPr>
          <w:bCs/>
          <w:sz w:val="22"/>
          <w:szCs w:val="22"/>
        </w:rPr>
        <w:t>]% ([completar] por cento) ao ano, base 252 (duzentos e cinquenta e dois) dias úteis (“</w:t>
      </w:r>
      <w:r w:rsidR="007B400B" w:rsidRPr="005B63F5">
        <w:rPr>
          <w:bCs/>
          <w:sz w:val="22"/>
          <w:szCs w:val="22"/>
          <w:u w:val="single"/>
        </w:rPr>
        <w:t>Remuneração</w:t>
      </w:r>
      <w:r w:rsidR="007B400B" w:rsidRPr="007B400B">
        <w:rPr>
          <w:bCs/>
          <w:sz w:val="22"/>
          <w:szCs w:val="22"/>
        </w:rPr>
        <w:t>”), 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 (abaixo descrita</w:t>
      </w:r>
      <w:r>
        <w:rPr>
          <w:sz w:val="22"/>
          <w:szCs w:val="22"/>
        </w:rPr>
        <w:t>;</w:t>
      </w:r>
    </w:p>
    <w:p w14:paraId="4419B91A"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29DEE72C" w14:textId="77777777" w:rsidR="005A5563" w:rsidRPr="005B63F5"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Pr>
          <w:bCs/>
          <w:sz w:val="22"/>
          <w:szCs w:val="22"/>
        </w:rPr>
        <w:t>o</w:t>
      </w:r>
      <w:r w:rsidRPr="0029217C">
        <w:rPr>
          <w:bCs/>
          <w:sz w:val="22"/>
          <w:szCs w:val="22"/>
        </w:rPr>
        <w:t xml:space="preserve"> Instrumento de Emissão, serão realizados </w:t>
      </w:r>
      <w:r>
        <w:rPr>
          <w:bCs/>
          <w:sz w:val="22"/>
          <w:szCs w:val="22"/>
        </w:rPr>
        <w:t xml:space="preserve">de acordo com os procedimentos adotados pela B3; </w:t>
      </w:r>
      <w:r w:rsidRPr="005B63F5">
        <w:rPr>
          <w:color w:val="000000"/>
          <w:sz w:val="22"/>
          <w:szCs w:val="22"/>
        </w:rPr>
        <w:t>e</w:t>
      </w:r>
    </w:p>
    <w:p w14:paraId="67575CD2"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Demais Características</w:t>
      </w:r>
      <w:r w:rsidRPr="0029217C">
        <w:rPr>
          <w:sz w:val="22"/>
          <w:szCs w:val="22"/>
        </w:rPr>
        <w:t xml:space="preserve">: conforme descritas </w:t>
      </w:r>
      <w:r>
        <w:rPr>
          <w:sz w:val="22"/>
          <w:szCs w:val="22"/>
        </w:rPr>
        <w:t>nos Documentos da Operação.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lastRenderedPageBreak/>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Recuonormal"/>
        <w:spacing w:line="300" w:lineRule="auto"/>
        <w:rPr>
          <w:rFonts w:ascii="Times New Roman" w:hAnsi="Times New Roman"/>
          <w:sz w:val="22"/>
          <w:szCs w:val="22"/>
          <w:lang w:val="pt-BR"/>
        </w:rPr>
      </w:pPr>
      <w:bookmarkStart w:id="10" w:name="_Toc522079149"/>
      <w:bookmarkEnd w:id="9"/>
    </w:p>
    <w:p w14:paraId="72C13582" w14:textId="77777777" w:rsidR="003B4CB3" w:rsidRPr="00760BB3" w:rsidRDefault="00FF1842"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3AC15F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w:t>
      </w:r>
      <w:r w:rsidR="00462555" w:rsidRPr="00760BB3">
        <w:rPr>
          <w:sz w:val="22"/>
          <w:szCs w:val="22"/>
        </w:rPr>
        <w:t>obrigad</w:t>
      </w:r>
      <w:r w:rsidR="00F869FD">
        <w:rPr>
          <w:sz w:val="22"/>
          <w:szCs w:val="22"/>
        </w:rPr>
        <w:t>o</w:t>
      </w:r>
      <w:r w:rsidR="00462555">
        <w:rPr>
          <w:sz w:val="22"/>
          <w:szCs w:val="22"/>
        </w:rPr>
        <w:t>s</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74C3A016"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17CE5B7A"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0A2A18">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w:t>
      </w:r>
      <w:r w:rsidR="00DF403C">
        <w:rPr>
          <w:rFonts w:ascii="Times New Roman" w:hAnsi="Times New Roman"/>
          <w:b w:val="0"/>
          <w:sz w:val="22"/>
          <w:szCs w:val="22"/>
        </w:rPr>
        <w:lastRenderedPageBreak/>
        <w:t>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4A09F69C"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298258B"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4F872502" w14:textId="77777777" w:rsidR="009A508D" w:rsidRPr="00760BB3" w:rsidRDefault="009A508D" w:rsidP="00760BB3">
      <w:pPr>
        <w:pStyle w:val="Corpodetexto2"/>
        <w:spacing w:line="300" w:lineRule="auto"/>
        <w:rPr>
          <w:rFonts w:ascii="Times New Roman" w:hAnsi="Times New Roman"/>
          <w:sz w:val="22"/>
          <w:szCs w:val="22"/>
        </w:rPr>
      </w:pPr>
    </w:p>
    <w:p w14:paraId="083252E8" w14:textId="68056A7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xml:space="preserve">) não </w:t>
      </w:r>
      <w:r w:rsidRPr="00760BB3">
        <w:rPr>
          <w:sz w:val="22"/>
          <w:szCs w:val="22"/>
        </w:rPr>
        <w:lastRenderedPageBreak/>
        <w:t>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19ECFBA1" w:rsidR="003B4CB3" w:rsidRPr="00760BB3" w:rsidRDefault="00D96154"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1BED740"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lastRenderedPageBreak/>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A16F47" w:rsidRPr="00237FCD">
        <w:rPr>
          <w:rFonts w:ascii="Times New Roman" w:hAnsi="Times New Roman"/>
          <w:b w:val="0"/>
          <w:sz w:val="22"/>
          <w:szCs w:val="22"/>
        </w:rPr>
        <w:t>as Fiduciantes declaram, desde já, sob as penas da legislação aplicável: (i) aprovam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as Quotas e os Direitos são de sua exclusiva titularidade, podendo dispor, alienar sob qualquer forma ou, ainda, oferecer em 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pelas Fiduciantes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71746435"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 xml:space="preserve">procedimentos administrativos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297C881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0A2A18">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10"/>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94FCC97"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07339F5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lastRenderedPageBreak/>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162E0EA6"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1" w:name="_Hlk72083983"/>
      <w:r w:rsidR="00D21A36" w:rsidRPr="00760BB3">
        <w:rPr>
          <w:sz w:val="22"/>
          <w:szCs w:val="22"/>
        </w:rPr>
        <w:t xml:space="preserve">Contrato </w:t>
      </w:r>
      <w:r w:rsidR="00A8557C" w:rsidRPr="00760BB3">
        <w:rPr>
          <w:sz w:val="22"/>
          <w:szCs w:val="22"/>
        </w:rPr>
        <w:t>de Alienação Fiduciária de Quotas</w:t>
      </w:r>
      <w:bookmarkEnd w:id="11"/>
      <w:r w:rsidR="00A8557C" w:rsidRPr="00760BB3">
        <w:rPr>
          <w:sz w:val="22"/>
          <w:szCs w:val="22"/>
        </w:rPr>
        <w:t xml:space="preserve"> </w:t>
      </w:r>
      <w:bookmarkStart w:id="12"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2"/>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5982191F"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3"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3"/>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77E56B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VIRGO COMPANHIA DE SECURITIZAÇÃO, nova denominação da Isec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(“Fiduciária”)</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0A2A18">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0A2A18">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w:t>
      </w:r>
      <w:r w:rsidR="00616EB1" w:rsidRPr="0044671F">
        <w:rPr>
          <w:i/>
          <w:sz w:val="22"/>
          <w:szCs w:val="22"/>
        </w:rPr>
        <w:lastRenderedPageBreak/>
        <w:t xml:space="preserve">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57FB2C0B"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59D57B3C"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E75D0D3"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lastRenderedPageBreak/>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CC4F943"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77777777"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4FA11E4E" w:rsidR="00245998" w:rsidRDefault="00245998" w:rsidP="00843037">
      <w:pPr>
        <w:pStyle w:val="PargrafodaLista"/>
        <w:numPr>
          <w:ilvl w:val="1"/>
          <w:numId w:val="51"/>
        </w:numPr>
        <w:tabs>
          <w:tab w:val="left" w:pos="567"/>
        </w:tabs>
        <w:spacing w:line="300" w:lineRule="auto"/>
        <w:ind w:left="567" w:hanging="567"/>
        <w:jc w:val="both"/>
        <w:rPr>
          <w:sz w:val="22"/>
          <w:szCs w:val="22"/>
        </w:rPr>
      </w:pPr>
      <w:r w:rsidRPr="005B63F5">
        <w:rPr>
          <w:sz w:val="22"/>
          <w:szCs w:val="22"/>
        </w:rPr>
        <w:lastRenderedPageBreak/>
        <w:t xml:space="preserve">Alienação, cessão, transmissão, permuta, dação em comodato, empréstimo, dação em pagamento ou qualquer outra forma de transmissão ou disposição, </w:t>
      </w:r>
      <w:r>
        <w:rPr>
          <w:sz w:val="22"/>
          <w:szCs w:val="22"/>
        </w:rPr>
        <w:t>pela Sociedade</w:t>
      </w:r>
      <w:r w:rsidRPr="005B63F5">
        <w:rPr>
          <w:sz w:val="22"/>
          <w:szCs w:val="22"/>
        </w:rPr>
        <w:t>, de ativos, inclusive imobiliário, independentemente de o contrato social, ou de a legislação aplicável exigir deliberação societária</w:t>
      </w:r>
      <w:r>
        <w:rPr>
          <w:sz w:val="22"/>
          <w:szCs w:val="22"/>
        </w:rPr>
        <w:t>;</w:t>
      </w:r>
    </w:p>
    <w:p w14:paraId="3A09E4AA" w14:textId="77777777" w:rsidR="00245998" w:rsidRPr="00245998" w:rsidRDefault="00245998" w:rsidP="00245998">
      <w:pPr>
        <w:pStyle w:val="PargrafodaLista"/>
        <w:rPr>
          <w:sz w:val="22"/>
          <w:szCs w:val="22"/>
        </w:rPr>
      </w:pPr>
    </w:p>
    <w:p w14:paraId="3B6D48EB" w14:textId="76F02FE3"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9B62F9">
      <w:pPr>
        <w:pStyle w:val="PargrafodaLista"/>
        <w:numPr>
          <w:ilvl w:val="1"/>
          <w:numId w:val="51"/>
        </w:numPr>
        <w:tabs>
          <w:tab w:val="left" w:pos="567"/>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pPr>
        <w:pStyle w:val="PargrafodaLista"/>
        <w:numPr>
          <w:ilvl w:val="1"/>
          <w:numId w:val="51"/>
        </w:numPr>
        <w:tabs>
          <w:tab w:val="left" w:pos="567"/>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2CEB7559"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6373F9E6"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7866594C"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lastRenderedPageBreak/>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14"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2532B7FF"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18085AFE"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w:t>
      </w:r>
      <w:r w:rsidR="00195E21" w:rsidRPr="0031579E">
        <w:rPr>
          <w:bCs/>
          <w:sz w:val="22"/>
          <w:szCs w:val="22"/>
        </w:rPr>
        <w:lastRenderedPageBreak/>
        <w:t xml:space="preserve">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277DA1EE"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03710E7D"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os Fiduciantes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42F470D8"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1F409184"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7FC8CCE6" w:rsidR="00E22C32" w:rsidRPr="00CE0315" w:rsidRDefault="00E22C32" w:rsidP="00E22C32">
      <w:pPr>
        <w:spacing w:line="300" w:lineRule="auto"/>
        <w:jc w:val="both"/>
        <w:rPr>
          <w:sz w:val="22"/>
          <w:szCs w:val="22"/>
        </w:rPr>
      </w:pPr>
      <w:r w:rsidRPr="00EB3134">
        <w:rPr>
          <w:b/>
          <w:bCs/>
          <w:sz w:val="22"/>
          <w:szCs w:val="22"/>
        </w:rPr>
        <w:lastRenderedPageBreak/>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F3B04D1"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77777777" w:rsidR="00EB3134" w:rsidRPr="005B63F5" w:rsidRDefault="00EB3134" w:rsidP="005B63F5">
      <w:pPr>
        <w:spacing w:line="300" w:lineRule="auto"/>
        <w:jc w:val="both"/>
        <w:rPr>
          <w:sz w:val="22"/>
          <w:szCs w:val="22"/>
        </w:rPr>
      </w:pPr>
      <w:bookmarkStart w:id="15" w:name="_Ref8667662"/>
      <w:r w:rsidRPr="005B63F5">
        <w:rPr>
          <w:b/>
          <w:bCs/>
          <w:sz w:val="22"/>
          <w:szCs w:val="22"/>
        </w:rPr>
        <w:t>6.8</w:t>
      </w:r>
      <w:r>
        <w:rPr>
          <w:sz w:val="22"/>
          <w:szCs w:val="22"/>
        </w:rPr>
        <w:tab/>
      </w:r>
      <w:r w:rsidRPr="005B63F5">
        <w:rPr>
          <w:sz w:val="22"/>
          <w:szCs w:val="22"/>
        </w:rPr>
        <w:t>Reforço e Complementação.</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as Fiduciantes ficarão obrigadas a, mediante aviso ou notificação da Fiduciária, reforçá-la ou substituí-la, total ou parcialmente, por bens adicionais, sem qualquer ônus, no prazo de até 15 (quinze) Dias Úteis, </w:t>
      </w:r>
      <w:bookmarkStart w:id="16" w:name="_Hlk31933237"/>
      <w:r w:rsidRPr="005B63F5">
        <w:rPr>
          <w:sz w:val="22"/>
          <w:szCs w:val="22"/>
        </w:rPr>
        <w:t xml:space="preserve">os quais serão submetidos à deliberação </w:t>
      </w:r>
      <w:bookmarkEnd w:id="16"/>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15"/>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33A4E454"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Sem prejuízo do disposto acima, no caso de qualquer evento de Reforço e Complementação, as Fiduciantes, obrigam-se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40469089" w14:textId="77777777" w:rsidR="00EB3134" w:rsidRDefault="00EB3134" w:rsidP="00EB3134">
      <w:pPr>
        <w:spacing w:line="300" w:lineRule="auto"/>
        <w:jc w:val="both"/>
        <w:rPr>
          <w:sz w:val="22"/>
          <w:szCs w:val="22"/>
        </w:rPr>
      </w:pP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5B63F5">
      <w:pPr>
        <w:pStyle w:val="Recuonormal"/>
        <w:pageBreakBefore/>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4E1E9849"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3B1D63" w:rsidRPr="00760BB3">
        <w:rPr>
          <w:rFonts w:ascii="Times New Roman" w:hAnsi="Times New Roman"/>
          <w:b w:val="0"/>
          <w:sz w:val="22"/>
          <w:szCs w:val="22"/>
          <w:lang w:val="pt-BR"/>
        </w:rPr>
        <w:t xml:space="preserve">Adicionalmente às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que serão aplicadas ao presente instrumento como se estivessem aqui transcritas, </w:t>
      </w:r>
      <w:r w:rsidRPr="00760BB3">
        <w:rPr>
          <w:rFonts w:ascii="Times New Roman" w:hAnsi="Times New Roman"/>
          <w:b w:val="0"/>
          <w:sz w:val="22"/>
          <w:szCs w:val="22"/>
          <w:lang w:val="pt-BR"/>
        </w:rPr>
        <w:t xml:space="preserve">qualquer dos eventos </w:t>
      </w:r>
      <w:r w:rsidR="003B1D63" w:rsidRPr="00760BB3">
        <w:rPr>
          <w:rFonts w:ascii="Times New Roman" w:hAnsi="Times New Roman"/>
          <w:b w:val="0"/>
          <w:sz w:val="22"/>
          <w:szCs w:val="22"/>
          <w:lang w:val="pt-BR"/>
        </w:rPr>
        <w:t xml:space="preserve">descritos </w:t>
      </w:r>
      <w:r w:rsidRPr="00760BB3">
        <w:rPr>
          <w:rFonts w:ascii="Times New Roman" w:hAnsi="Times New Roman"/>
          <w:b w:val="0"/>
          <w:sz w:val="22"/>
          <w:szCs w:val="22"/>
          <w:lang w:val="pt-BR"/>
        </w:rPr>
        <w:t xml:space="preserve">abaixo será considerado um </w:t>
      </w:r>
      <w:r w:rsidR="00FC1A75">
        <w:rPr>
          <w:rFonts w:ascii="Times New Roman" w:hAnsi="Times New Roman"/>
          <w:b w:val="0"/>
          <w:sz w:val="22"/>
          <w:szCs w:val="22"/>
          <w:lang w:val="pt-BR"/>
        </w:rPr>
        <w:t>e</w:t>
      </w:r>
      <w:r w:rsidR="003B1D63" w:rsidRPr="00760BB3">
        <w:rPr>
          <w:rFonts w:ascii="Times New Roman" w:hAnsi="Times New Roman"/>
          <w:b w:val="0"/>
          <w:sz w:val="22"/>
          <w:szCs w:val="22"/>
          <w:lang w:val="pt-BR"/>
        </w:rPr>
        <w:t xml:space="preserve">vento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1A6190"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280BF1">
        <w:rPr>
          <w:rFonts w:ascii="Times New Roman" w:hAnsi="Times New Roman"/>
          <w:b w:val="0"/>
          <w:bCs/>
          <w:sz w:val="22"/>
          <w:szCs w:val="22"/>
          <w:lang w:val="pt-BR"/>
        </w:rPr>
        <w:t>,</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Pr="00760BB3">
        <w:rPr>
          <w:rFonts w:ascii="Times New Roman" w:hAnsi="Times New Roman"/>
          <w:b w:val="0"/>
          <w:sz w:val="22"/>
          <w:szCs w:val="22"/>
          <w:lang w:val="pt-BR"/>
        </w:rPr>
        <w:t>:</w:t>
      </w:r>
    </w:p>
    <w:p w14:paraId="2105E875" w14:textId="77777777" w:rsidR="00F108DC" w:rsidRPr="00760BB3" w:rsidRDefault="00F108DC" w:rsidP="00F108DC">
      <w:pPr>
        <w:pStyle w:val="Recuonormal"/>
        <w:spacing w:line="300" w:lineRule="auto"/>
        <w:jc w:val="both"/>
        <w:rPr>
          <w:rFonts w:ascii="Times New Roman" w:hAnsi="Times New Roman"/>
          <w:sz w:val="22"/>
          <w:szCs w:val="22"/>
          <w:lang w:val="pt-BR"/>
        </w:rPr>
      </w:pPr>
    </w:p>
    <w:p w14:paraId="7AB39F40" w14:textId="493DA370" w:rsidR="00F108DC" w:rsidRPr="00760BB3" w:rsidRDefault="00D57A89"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os</w:t>
      </w:r>
      <w:r w:rsidRPr="00760BB3">
        <w:rPr>
          <w:rFonts w:ascii="Times New Roman" w:hAnsi="Times New Roman"/>
          <w:sz w:val="22"/>
          <w:szCs w:val="22"/>
          <w:lang w:val="pt-BR"/>
        </w:rPr>
        <w:t xml:space="preserve"> Fiduciante</w:t>
      </w:r>
      <w:r>
        <w:rPr>
          <w:rFonts w:ascii="Times New Roman" w:hAnsi="Times New Roman"/>
          <w:sz w:val="22"/>
          <w:szCs w:val="22"/>
          <w:lang w:val="pt-BR"/>
        </w:rPr>
        <w:t>s e pela Sociedade</w:t>
      </w:r>
      <w:r w:rsidRPr="00760BB3">
        <w:rPr>
          <w:rFonts w:ascii="Times New Roman" w:hAnsi="Times New Roman"/>
          <w:sz w:val="22"/>
          <w:szCs w:val="22"/>
          <w:lang w:val="pt-BR"/>
        </w:rPr>
        <w:t xml:space="preserve"> no âmbito da presente Alienação Fiduciária de Quotas não for cumprida na forma e quando devida</w:t>
      </w:r>
      <w:r w:rsidR="00F108DC" w:rsidRPr="00760BB3">
        <w:rPr>
          <w:rFonts w:ascii="Times New Roman" w:hAnsi="Times New Roman"/>
          <w:sz w:val="22"/>
          <w:szCs w:val="22"/>
          <w:lang w:val="pt-BR"/>
        </w:rPr>
        <w:t>;</w:t>
      </w:r>
    </w:p>
    <w:p w14:paraId="57F156C8" w14:textId="77777777" w:rsidR="00F108DC" w:rsidRPr="00760BB3" w:rsidRDefault="00F108DC" w:rsidP="00F108DC">
      <w:pPr>
        <w:pStyle w:val="Recuonormal"/>
        <w:spacing w:line="300" w:lineRule="auto"/>
        <w:ind w:left="1276" w:hanging="567"/>
        <w:jc w:val="both"/>
        <w:rPr>
          <w:rFonts w:ascii="Times New Roman" w:hAnsi="Times New Roman"/>
          <w:sz w:val="22"/>
          <w:szCs w:val="22"/>
          <w:lang w:val="pt-BR"/>
        </w:rPr>
      </w:pPr>
    </w:p>
    <w:p w14:paraId="609B0C4C" w14:textId="77777777" w:rsidR="00F108DC" w:rsidRDefault="00F108DC"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não forem mantidos em dia os pagamentos de todos os tributos, impostos, taxas ou quaisquer outras contribuições pela Sociedade;</w:t>
      </w:r>
    </w:p>
    <w:p w14:paraId="32854E33" w14:textId="26C0C2B8" w:rsidR="00523402" w:rsidRPr="00760BB3" w:rsidRDefault="00523402" w:rsidP="00FD603A">
      <w:pPr>
        <w:pStyle w:val="Recuonormal"/>
        <w:spacing w:line="300" w:lineRule="auto"/>
        <w:ind w:left="1276" w:hanging="567"/>
        <w:jc w:val="both"/>
        <w:rPr>
          <w:rFonts w:ascii="Times New Roman" w:hAnsi="Times New Roman"/>
          <w:sz w:val="22"/>
          <w:szCs w:val="22"/>
          <w:lang w:val="pt-BR"/>
        </w:rPr>
      </w:pPr>
    </w:p>
    <w:p w14:paraId="0FB3E068" w14:textId="47984A45" w:rsidR="008E1055" w:rsidRPr="00760BB3" w:rsidRDefault="00842ECE"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em caso de </w:t>
      </w:r>
      <w:r w:rsidR="007A68AD" w:rsidRPr="00760BB3">
        <w:rPr>
          <w:rFonts w:ascii="Times New Roman" w:hAnsi="Times New Roman"/>
          <w:sz w:val="22"/>
          <w:szCs w:val="22"/>
          <w:lang w:val="pt-BR"/>
        </w:rPr>
        <w:t xml:space="preserve">propositura de ações, execuções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medidas judiciais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extrajudiciais de qualquer natureza que, por algum modo, afetem ou possam afetar as </w:t>
      </w:r>
      <w:r w:rsidR="00C30CB3" w:rsidRPr="00760BB3">
        <w:rPr>
          <w:rFonts w:ascii="Times New Roman" w:hAnsi="Times New Roman"/>
          <w:sz w:val="22"/>
          <w:szCs w:val="22"/>
          <w:lang w:val="pt-BR"/>
        </w:rPr>
        <w:t>Quotas</w:t>
      </w:r>
      <w:r w:rsidR="007A68AD" w:rsidRPr="00760BB3">
        <w:rPr>
          <w:rFonts w:ascii="Times New Roman" w:hAnsi="Times New Roman"/>
          <w:sz w:val="22"/>
          <w:szCs w:val="22"/>
          <w:lang w:val="pt-BR"/>
        </w:rPr>
        <w:t xml:space="preserve"> </w:t>
      </w:r>
      <w:r w:rsidR="00047D1F" w:rsidRPr="00760BB3">
        <w:rPr>
          <w:rFonts w:ascii="Times New Roman" w:hAnsi="Times New Roman"/>
          <w:sz w:val="22"/>
          <w:szCs w:val="22"/>
          <w:lang w:val="pt-BR"/>
        </w:rPr>
        <w:t xml:space="preserve">e/ou os Direitos objeto desta </w:t>
      </w:r>
      <w:r w:rsidR="007A68AD" w:rsidRPr="00760BB3">
        <w:rPr>
          <w:rFonts w:ascii="Times New Roman" w:hAnsi="Times New Roman"/>
          <w:sz w:val="22"/>
          <w:szCs w:val="22"/>
          <w:lang w:val="pt-BR"/>
        </w:rPr>
        <w:t>Alienação Fiduciária de Quotas</w:t>
      </w:r>
      <w:r w:rsidR="00E86F38" w:rsidRPr="00760BB3">
        <w:rPr>
          <w:rFonts w:ascii="Times New Roman" w:hAnsi="Times New Roman"/>
          <w:sz w:val="22"/>
          <w:szCs w:val="22"/>
          <w:lang w:val="pt-BR"/>
        </w:rPr>
        <w:t>,</w:t>
      </w:r>
      <w:r w:rsidR="00242BA4" w:rsidRPr="00760BB3">
        <w:rPr>
          <w:rFonts w:ascii="Times New Roman" w:hAnsi="Times New Roman"/>
          <w:sz w:val="22"/>
          <w:szCs w:val="22"/>
          <w:lang w:val="pt-BR"/>
        </w:rPr>
        <w:t xml:space="preserve"> </w:t>
      </w:r>
      <w:r w:rsidR="00E86F38" w:rsidRPr="00760BB3">
        <w:rPr>
          <w:rFonts w:ascii="Times New Roman" w:hAnsi="Times New Roman"/>
          <w:sz w:val="22"/>
          <w:szCs w:val="22"/>
          <w:lang w:val="pt-BR"/>
        </w:rPr>
        <w:t xml:space="preserve">exceto se </w:t>
      </w:r>
      <w:r w:rsidR="00242BA4" w:rsidRPr="00760BB3">
        <w:rPr>
          <w:rFonts w:ascii="Times New Roman" w:hAnsi="Times New Roman"/>
          <w:sz w:val="22"/>
          <w:szCs w:val="22"/>
          <w:lang w:val="pt-BR"/>
        </w:rPr>
        <w:t xml:space="preserve">tais ações, execuções e/ou medidas judiciais e/ou extrajudiciais tenham sido devidamente </w:t>
      </w:r>
      <w:r w:rsidR="0040065F" w:rsidRPr="00760BB3">
        <w:rPr>
          <w:rFonts w:ascii="Times New Roman" w:hAnsi="Times New Roman"/>
          <w:sz w:val="22"/>
          <w:szCs w:val="22"/>
          <w:lang w:val="pt-BR"/>
        </w:rPr>
        <w:t xml:space="preserve">noticiadas </w:t>
      </w:r>
      <w:r w:rsidR="00735417">
        <w:rPr>
          <w:rFonts w:ascii="Times New Roman" w:hAnsi="Times New Roman"/>
          <w:sz w:val="22"/>
          <w:szCs w:val="22"/>
          <w:lang w:val="pt-BR"/>
        </w:rPr>
        <w:t>à</w:t>
      </w:r>
      <w:r w:rsidR="001954A6">
        <w:rPr>
          <w:rFonts w:ascii="Times New Roman" w:hAnsi="Times New Roman"/>
          <w:sz w:val="22"/>
          <w:szCs w:val="22"/>
          <w:lang w:val="pt-BR"/>
        </w:rPr>
        <w:t xml:space="preserve"> Fiduciária</w:t>
      </w:r>
      <w:r w:rsidR="0040065F" w:rsidRPr="00760BB3">
        <w:rPr>
          <w:rFonts w:ascii="Times New Roman" w:hAnsi="Times New Roman"/>
          <w:sz w:val="22"/>
          <w:szCs w:val="22"/>
          <w:lang w:val="pt-BR"/>
        </w:rPr>
        <w:t xml:space="preserve"> e </w:t>
      </w:r>
      <w:r w:rsidR="00242BA4" w:rsidRPr="00760BB3">
        <w:rPr>
          <w:rFonts w:ascii="Times New Roman" w:hAnsi="Times New Roman"/>
          <w:sz w:val="22"/>
          <w:szCs w:val="22"/>
          <w:lang w:val="pt-BR"/>
        </w:rPr>
        <w:t xml:space="preserve">obstadas </w:t>
      </w:r>
      <w:r w:rsidR="001D5B88" w:rsidRPr="00760BB3">
        <w:rPr>
          <w:rFonts w:ascii="Times New Roman" w:hAnsi="Times New Roman"/>
          <w:sz w:val="22"/>
          <w:szCs w:val="22"/>
          <w:lang w:val="pt-BR"/>
        </w:rPr>
        <w:t>pel</w:t>
      </w:r>
      <w:r w:rsidR="001D5B88">
        <w:rPr>
          <w:rFonts w:ascii="Times New Roman" w:hAnsi="Times New Roman"/>
          <w:sz w:val="22"/>
          <w:szCs w:val="22"/>
          <w:lang w:val="pt-BR"/>
        </w:rPr>
        <w:t>os</w:t>
      </w:r>
      <w:r w:rsidR="001D5B88" w:rsidRPr="00760BB3">
        <w:rPr>
          <w:rFonts w:ascii="Times New Roman" w:hAnsi="Times New Roman"/>
          <w:sz w:val="22"/>
          <w:szCs w:val="22"/>
          <w:lang w:val="pt-BR"/>
        </w:rPr>
        <w:t xml:space="preserve"> </w:t>
      </w:r>
      <w:r w:rsidR="00242BA4" w:rsidRPr="00760BB3">
        <w:rPr>
          <w:rFonts w:ascii="Times New Roman" w:hAnsi="Times New Roman"/>
          <w:sz w:val="22"/>
          <w:szCs w:val="22"/>
          <w:lang w:val="pt-BR"/>
        </w:rPr>
        <w:t>Fiduciante</w:t>
      </w:r>
      <w:r w:rsidR="001D5B88">
        <w:rPr>
          <w:rFonts w:ascii="Times New Roman" w:hAnsi="Times New Roman"/>
          <w:sz w:val="22"/>
          <w:szCs w:val="22"/>
          <w:lang w:val="pt-BR"/>
        </w:rPr>
        <w:t>s</w:t>
      </w:r>
      <w:r w:rsidR="00242BA4" w:rsidRPr="00760BB3">
        <w:rPr>
          <w:rFonts w:ascii="Times New Roman" w:hAnsi="Times New Roman"/>
          <w:sz w:val="22"/>
          <w:szCs w:val="22"/>
          <w:lang w:val="pt-BR"/>
        </w:rPr>
        <w:t xml:space="preserve"> ou pela Sociedade, no prazo e forma determinados em lei</w:t>
      </w:r>
      <w:r w:rsidR="007A68AD" w:rsidRPr="00760BB3">
        <w:rPr>
          <w:rFonts w:ascii="Times New Roman" w:hAnsi="Times New Roman"/>
          <w:sz w:val="22"/>
          <w:szCs w:val="22"/>
          <w:lang w:val="pt-BR"/>
        </w:rPr>
        <w:t>;</w:t>
      </w:r>
      <w:r w:rsidR="005678A4" w:rsidRPr="00760BB3">
        <w:rPr>
          <w:rFonts w:ascii="Times New Roman" w:hAnsi="Times New Roman"/>
          <w:sz w:val="22"/>
          <w:szCs w:val="22"/>
          <w:lang w:val="pt-BR"/>
        </w:rPr>
        <w:t xml:space="preserve"> </w:t>
      </w:r>
    </w:p>
    <w:p w14:paraId="02B4A7D6"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2AC3D0A" w14:textId="09808B9A" w:rsidR="008E1055" w:rsidRPr="00760BB3" w:rsidRDefault="007A68AD"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851C5A" w:rsidRPr="00760BB3">
        <w:rPr>
          <w:rFonts w:ascii="Times New Roman" w:hAnsi="Times New Roman"/>
          <w:sz w:val="22"/>
          <w:szCs w:val="22"/>
          <w:lang w:val="pt-BR"/>
        </w:rPr>
        <w:t xml:space="preserve">qualquer </w:t>
      </w:r>
      <w:r w:rsidR="00851C5A" w:rsidRPr="00EE5A83">
        <w:rPr>
          <w:rFonts w:ascii="Times New Roman" w:hAnsi="Times New Roman"/>
          <w:sz w:val="22"/>
          <w:szCs w:val="22"/>
          <w:lang w:val="pt-BR"/>
        </w:rPr>
        <w:t>d</w:t>
      </w:r>
      <w:r w:rsidR="00422977" w:rsidRPr="00EE5A83">
        <w:rPr>
          <w:rFonts w:ascii="Times New Roman" w:hAnsi="Times New Roman"/>
          <w:sz w:val="22"/>
          <w:szCs w:val="22"/>
          <w:lang w:val="pt-BR"/>
        </w:rPr>
        <w:t>os</w:t>
      </w:r>
      <w:r w:rsidRPr="00EE5A83">
        <w:rPr>
          <w:rFonts w:ascii="Times New Roman" w:hAnsi="Times New Roman"/>
          <w:sz w:val="22"/>
          <w:szCs w:val="22"/>
          <w:lang w:val="pt-BR"/>
        </w:rPr>
        <w:t xml:space="preserve"> Fiduciante</w:t>
      </w:r>
      <w:r w:rsidR="00422977" w:rsidRPr="00EE5A83">
        <w:rPr>
          <w:rFonts w:ascii="Times New Roman" w:hAnsi="Times New Roman"/>
          <w:sz w:val="22"/>
          <w:szCs w:val="22"/>
          <w:lang w:val="pt-BR"/>
        </w:rPr>
        <w:t>s</w:t>
      </w:r>
      <w:r w:rsidR="00EF0B27" w:rsidRPr="00760BB3">
        <w:rPr>
          <w:rFonts w:ascii="Times New Roman" w:hAnsi="Times New Roman"/>
          <w:sz w:val="22"/>
          <w:szCs w:val="22"/>
          <w:lang w:val="pt-BR"/>
        </w:rPr>
        <w:t xml:space="preserve"> </w:t>
      </w:r>
      <w:r w:rsidRPr="00760BB3">
        <w:rPr>
          <w:rFonts w:ascii="Times New Roman" w:hAnsi="Times New Roman"/>
          <w:sz w:val="22"/>
          <w:szCs w:val="22"/>
          <w:lang w:val="pt-BR"/>
        </w:rPr>
        <w:t xml:space="preserve">ceder ou transferir quaisquer de seus direitos, deveres e obrigações decorrentes desta Alienação Fiduciária de Quotas, total ou parcialmente; </w:t>
      </w:r>
    </w:p>
    <w:p w14:paraId="04AE87DF"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369F2451" w14:textId="42E5AC36"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w:t>
      </w:r>
      <w:r w:rsidR="00422977" w:rsidRPr="00760BB3">
        <w:rPr>
          <w:rFonts w:ascii="Times New Roman" w:hAnsi="Times New Roman"/>
          <w:sz w:val="22"/>
          <w:szCs w:val="22"/>
          <w:lang w:val="pt-BR"/>
        </w:rPr>
        <w:t>l</w:t>
      </w:r>
      <w:r w:rsidRPr="00760BB3">
        <w:rPr>
          <w:rFonts w:ascii="Times New Roman" w:hAnsi="Times New Roman"/>
          <w:sz w:val="22"/>
          <w:szCs w:val="22"/>
          <w:lang w:val="pt-BR"/>
        </w:rPr>
        <w:t xml:space="preserve"> consolidado da</w:t>
      </w:r>
      <w:r w:rsidRPr="00760BB3">
        <w:rPr>
          <w:rFonts w:ascii="Times New Roman" w:hAnsi="Times New Roman"/>
          <w:b/>
          <w:sz w:val="22"/>
          <w:szCs w:val="22"/>
          <w:lang w:val="pt-BR"/>
        </w:rPr>
        <w:t xml:space="preserve"> </w:t>
      </w:r>
      <w:r w:rsidRPr="00760BB3">
        <w:rPr>
          <w:rFonts w:ascii="Times New Roman" w:hAnsi="Times New Roman"/>
          <w:sz w:val="22"/>
          <w:szCs w:val="22"/>
          <w:lang w:val="pt-BR"/>
        </w:rPr>
        <w:t xml:space="preserve">Sociedade conforme na Cláusula </w:t>
      </w:r>
      <w:r w:rsidR="00842ECE" w:rsidRPr="00760BB3">
        <w:rPr>
          <w:rFonts w:ascii="Times New Roman" w:hAnsi="Times New Roman"/>
          <w:sz w:val="22"/>
          <w:szCs w:val="22"/>
          <w:lang w:val="pt-BR"/>
        </w:rPr>
        <w:t>5.2.2.</w:t>
      </w:r>
      <w:r w:rsidRPr="00760BB3">
        <w:rPr>
          <w:rFonts w:ascii="Times New Roman" w:hAnsi="Times New Roman"/>
          <w:sz w:val="22"/>
          <w:szCs w:val="22"/>
          <w:lang w:val="pt-BR"/>
        </w:rPr>
        <w:t xml:space="preserve"> acima</w:t>
      </w:r>
      <w:r w:rsidR="006E4147">
        <w:rPr>
          <w:rFonts w:ascii="Times New Roman" w:hAnsi="Times New Roman"/>
          <w:sz w:val="22"/>
          <w:szCs w:val="22"/>
          <w:lang w:val="pt-BR"/>
        </w:rPr>
        <w:t>, respeitado prazo de cura de 30 (trinta) dias</w:t>
      </w:r>
      <w:r w:rsidRPr="00760BB3">
        <w:rPr>
          <w:rFonts w:ascii="Times New Roman" w:hAnsi="Times New Roman"/>
          <w:sz w:val="22"/>
          <w:szCs w:val="22"/>
          <w:lang w:val="pt-BR"/>
        </w:rPr>
        <w:t>;</w:t>
      </w:r>
    </w:p>
    <w:p w14:paraId="12411B02"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6B5DE90" w14:textId="77777777"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caso não sejam entregues nos prazos acordados os respectivos demonstrativos contábeis; </w:t>
      </w:r>
    </w:p>
    <w:p w14:paraId="6A28150C"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1EBC6C4A" w14:textId="55D62D2B"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acima, sem a prévia e expressa aprovação </w:t>
      </w:r>
      <w:r w:rsidR="00D13C2D">
        <w:rPr>
          <w:rFonts w:ascii="Times New Roman" w:hAnsi="Times New Roman"/>
          <w:sz w:val="22"/>
          <w:szCs w:val="22"/>
          <w:lang w:val="pt-BR"/>
        </w:rPr>
        <w:t>d</w:t>
      </w:r>
      <w:r w:rsidR="001954A6">
        <w:rPr>
          <w:rFonts w:ascii="Times New Roman" w:hAnsi="Times New Roman"/>
          <w:sz w:val="22"/>
          <w:szCs w:val="22"/>
          <w:lang w:val="pt-BR"/>
        </w:rPr>
        <w:t>a Fiduciária</w:t>
      </w:r>
      <w:r w:rsidRPr="00760BB3">
        <w:rPr>
          <w:rFonts w:ascii="Times New Roman" w:hAnsi="Times New Roman"/>
          <w:sz w:val="22"/>
          <w:szCs w:val="22"/>
          <w:lang w:val="pt-BR"/>
        </w:rPr>
        <w:t>; e</w:t>
      </w:r>
    </w:p>
    <w:p w14:paraId="3D93212F" w14:textId="77777777" w:rsidR="00033D16" w:rsidRPr="00760BB3" w:rsidRDefault="00033D16" w:rsidP="00760BB3">
      <w:pPr>
        <w:pStyle w:val="Recuonormal"/>
        <w:spacing w:line="300" w:lineRule="auto"/>
        <w:ind w:left="1276"/>
        <w:jc w:val="both"/>
        <w:rPr>
          <w:rFonts w:ascii="Times New Roman" w:hAnsi="Times New Roman"/>
          <w:sz w:val="22"/>
          <w:szCs w:val="22"/>
          <w:lang w:val="pt-BR"/>
        </w:rPr>
      </w:pPr>
    </w:p>
    <w:p w14:paraId="506CDACB" w14:textId="2326ADD5"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sem a prévia e expressa aprovação </w:t>
      </w:r>
      <w:r w:rsidR="00E76FF0">
        <w:rPr>
          <w:rFonts w:ascii="Times New Roman" w:hAnsi="Times New Roman"/>
          <w:sz w:val="22"/>
          <w:szCs w:val="22"/>
          <w:lang w:val="pt-BR"/>
        </w:rPr>
        <w:t>d</w:t>
      </w:r>
      <w:r w:rsidR="001954A6">
        <w:rPr>
          <w:sz w:val="22"/>
          <w:szCs w:val="22"/>
          <w:lang w:val="pt-BR"/>
        </w:rPr>
        <w:t>a Fiduciária</w:t>
      </w:r>
      <w:r w:rsidRPr="00760BB3">
        <w:rPr>
          <w:rFonts w:ascii="Times New Roman" w:hAnsi="Times New Roman"/>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1DE7802D"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A412FE">
        <w:rPr>
          <w:rFonts w:ascii="Times New Roman" w:hAnsi="Times New Roman"/>
          <w:sz w:val="22"/>
          <w:szCs w:val="22"/>
          <w:lang w:val="pt-BR"/>
        </w:rPr>
        <w:t>Os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lastRenderedPageBreak/>
        <w:t xml:space="preserve">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3CED7163"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483871C8"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17"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lastRenderedPageBreak/>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17"/>
    <w:p w14:paraId="00D6F86F" w14:textId="77777777" w:rsidR="0079406F" w:rsidRDefault="0079406F" w:rsidP="00760BB3">
      <w:pPr>
        <w:widowControl w:val="0"/>
        <w:spacing w:line="300" w:lineRule="auto"/>
        <w:ind w:left="567"/>
        <w:jc w:val="both"/>
        <w:rPr>
          <w:i/>
          <w:sz w:val="22"/>
          <w:szCs w:val="22"/>
          <w:u w:val="single"/>
        </w:rPr>
      </w:pPr>
    </w:p>
    <w:p w14:paraId="58E2E011" w14:textId="7DC63E04"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18" w:name="_DV_M248"/>
      <w:bookmarkEnd w:id="18"/>
      <w:r w:rsidR="00355680">
        <w:rPr>
          <w:sz w:val="22"/>
          <w:szCs w:val="22"/>
        </w:rPr>
        <w:fldChar w:fldCharType="begin"/>
      </w:r>
      <w:r w:rsidR="00355680">
        <w:rPr>
          <w:sz w:val="22"/>
          <w:szCs w:val="22"/>
        </w:rPr>
        <w:instrText xml:space="preserve"> HYPERLINK "mailto:" </w:instrText>
      </w:r>
      <w:r w:rsidR="009F71A0">
        <w:rPr>
          <w:sz w:val="22"/>
          <w:szCs w:val="22"/>
        </w:rPr>
        <w:fldChar w:fldCharType="separate"/>
      </w:r>
      <w:r w:rsidR="00355680">
        <w:rPr>
          <w:sz w:val="22"/>
          <w:szCs w:val="22"/>
        </w:rPr>
        <w:fldChar w:fldCharType="end"/>
      </w:r>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0FB65A17"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xml:space="preserve">: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w:t>
      </w:r>
      <w:r w:rsidR="0039440C">
        <w:rPr>
          <w:sz w:val="22"/>
          <w:szCs w:val="22"/>
        </w:rPr>
        <w:lastRenderedPageBreak/>
        <w:t>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4"/>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19" w:name="_DV_M242"/>
      <w:bookmarkStart w:id="20" w:name="_DV_M243"/>
      <w:bookmarkStart w:id="21" w:name="_DV_M244"/>
      <w:bookmarkStart w:id="22" w:name="_DV_M245"/>
      <w:bookmarkStart w:id="23" w:name="_DV_M246"/>
      <w:bookmarkStart w:id="24" w:name="_DV_M247"/>
      <w:bookmarkStart w:id="25" w:name="_DV_M249"/>
      <w:bookmarkStart w:id="26" w:name="_DV_M252"/>
      <w:bookmarkStart w:id="27" w:name="_DV_M253"/>
      <w:bookmarkStart w:id="28" w:name="_DV_M254"/>
      <w:bookmarkStart w:id="29" w:name="_DV_M255"/>
      <w:bookmarkStart w:id="30" w:name="_DV_M256"/>
      <w:bookmarkStart w:id="31" w:name="_DV_M257"/>
      <w:bookmarkStart w:id="32" w:name="_DV_M258"/>
      <w:bookmarkStart w:id="33" w:name="_DV_M259"/>
      <w:bookmarkStart w:id="34" w:name="_DV_M260"/>
      <w:bookmarkStart w:id="35" w:name="_DV_M261"/>
      <w:bookmarkStart w:id="36" w:name="_DV_M262"/>
      <w:bookmarkStart w:id="37" w:name="_DV_M263"/>
      <w:bookmarkStart w:id="38" w:name="_DV_M265"/>
      <w:bookmarkStart w:id="39" w:name="_DV_M266"/>
      <w:bookmarkStart w:id="40" w:name="_DV_M267"/>
      <w:bookmarkStart w:id="41" w:name="_DV_M268"/>
      <w:bookmarkStart w:id="42" w:name="_DV_M272"/>
      <w:bookmarkStart w:id="43" w:name="_DV_M27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398EDE2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9356" w:type="dxa"/>
        <w:jc w:val="center"/>
        <w:tblLook w:val="01E0" w:firstRow="1" w:lastRow="1" w:firstColumn="1" w:lastColumn="1" w:noHBand="0" w:noVBand="0"/>
      </w:tblPr>
      <w:tblGrid>
        <w:gridCol w:w="4111"/>
        <w:gridCol w:w="425"/>
        <w:gridCol w:w="4820"/>
      </w:tblGrid>
      <w:tr w:rsidR="000F2AFA" w:rsidRPr="0035249C" w14:paraId="2A82109E" w14:textId="4AD46CC5" w:rsidTr="0035249C">
        <w:trPr>
          <w:jc w:val="center"/>
        </w:trPr>
        <w:tc>
          <w:tcPr>
            <w:tcW w:w="4111" w:type="dxa"/>
            <w:tcBorders>
              <w:top w:val="single" w:sz="4" w:space="0" w:color="auto"/>
            </w:tcBorders>
          </w:tcPr>
          <w:p w14:paraId="3A9CC017" w14:textId="3D5DD144"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4820" w:type="dxa"/>
            <w:tcBorders>
              <w:top w:val="single" w:sz="4" w:space="0" w:color="auto"/>
              <w:left w:val="nil"/>
            </w:tcBorders>
          </w:tcPr>
          <w:p w14:paraId="525DA5AB" w14:textId="22A8FB4C"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7C20CAA2"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62E518E8"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57AB3957"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EC3ABC6"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0A2A18">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7DA370A4"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44"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44"/>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5DBB0AEB"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F0FD" w14:textId="77777777" w:rsidR="009F71A0" w:rsidRDefault="009F71A0">
      <w:r>
        <w:separator/>
      </w:r>
    </w:p>
  </w:endnote>
  <w:endnote w:type="continuationSeparator" w:id="0">
    <w:p w14:paraId="37421032" w14:textId="77777777" w:rsidR="009F71A0" w:rsidRDefault="009F71A0">
      <w:r>
        <w:continuationSeparator/>
      </w:r>
    </w:p>
  </w:endnote>
  <w:endnote w:type="continuationNotice" w:id="1">
    <w:p w14:paraId="102C74A8" w14:textId="77777777" w:rsidR="009F71A0" w:rsidRDefault="009F7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36A9" w14:textId="77777777" w:rsidR="009F71A0" w:rsidRDefault="009F71A0">
      <w:r>
        <w:separator/>
      </w:r>
    </w:p>
  </w:footnote>
  <w:footnote w:type="continuationSeparator" w:id="0">
    <w:p w14:paraId="4825C885" w14:textId="77777777" w:rsidR="009F71A0" w:rsidRDefault="009F71A0">
      <w:r>
        <w:continuationSeparator/>
      </w:r>
    </w:p>
  </w:footnote>
  <w:footnote w:type="continuationNotice" w:id="1">
    <w:p w14:paraId="16427D1A" w14:textId="77777777" w:rsidR="009F71A0" w:rsidRDefault="009F7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9211912">
    <w:abstractNumId w:val="0"/>
  </w:num>
  <w:num w:numId="2" w16cid:durableId="2001541277">
    <w:abstractNumId w:val="6"/>
  </w:num>
  <w:num w:numId="3" w16cid:durableId="5098350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269359">
    <w:abstractNumId w:val="26"/>
  </w:num>
  <w:num w:numId="5" w16cid:durableId="901452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023030">
    <w:abstractNumId w:val="19"/>
  </w:num>
  <w:num w:numId="7" w16cid:durableId="550187864">
    <w:abstractNumId w:val="6"/>
  </w:num>
  <w:num w:numId="8" w16cid:durableId="244337380">
    <w:abstractNumId w:val="34"/>
  </w:num>
  <w:num w:numId="9" w16cid:durableId="316763142">
    <w:abstractNumId w:val="10"/>
  </w:num>
  <w:num w:numId="10" w16cid:durableId="1941722521">
    <w:abstractNumId w:val="30"/>
  </w:num>
  <w:num w:numId="11" w16cid:durableId="221331576">
    <w:abstractNumId w:val="9"/>
  </w:num>
  <w:num w:numId="12" w16cid:durableId="799956323">
    <w:abstractNumId w:val="2"/>
  </w:num>
  <w:num w:numId="13" w16cid:durableId="502203608">
    <w:abstractNumId w:val="26"/>
  </w:num>
  <w:num w:numId="14" w16cid:durableId="1575701039">
    <w:abstractNumId w:val="38"/>
  </w:num>
  <w:num w:numId="15" w16cid:durableId="2063942284">
    <w:abstractNumId w:val="48"/>
  </w:num>
  <w:num w:numId="16" w16cid:durableId="2082438558">
    <w:abstractNumId w:val="8"/>
  </w:num>
  <w:num w:numId="17" w16cid:durableId="705182097">
    <w:abstractNumId w:val="36"/>
  </w:num>
  <w:num w:numId="18" w16cid:durableId="789327251">
    <w:abstractNumId w:val="17"/>
  </w:num>
  <w:num w:numId="19" w16cid:durableId="651374315">
    <w:abstractNumId w:val="28"/>
  </w:num>
  <w:num w:numId="20" w16cid:durableId="353310314">
    <w:abstractNumId w:val="40"/>
  </w:num>
  <w:num w:numId="21" w16cid:durableId="48042804">
    <w:abstractNumId w:val="27"/>
  </w:num>
  <w:num w:numId="22" w16cid:durableId="1490748547">
    <w:abstractNumId w:val="1"/>
  </w:num>
  <w:num w:numId="23" w16cid:durableId="1906328755">
    <w:abstractNumId w:val="4"/>
  </w:num>
  <w:num w:numId="24" w16cid:durableId="1078088998">
    <w:abstractNumId w:val="3"/>
  </w:num>
  <w:num w:numId="25" w16cid:durableId="468598843">
    <w:abstractNumId w:val="7"/>
  </w:num>
  <w:num w:numId="26" w16cid:durableId="417405033">
    <w:abstractNumId w:val="18"/>
  </w:num>
  <w:num w:numId="27" w16cid:durableId="736049602">
    <w:abstractNumId w:val="35"/>
  </w:num>
  <w:num w:numId="28" w16cid:durableId="9126641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387366">
    <w:abstractNumId w:val="16"/>
  </w:num>
  <w:num w:numId="30" w16cid:durableId="828447126">
    <w:abstractNumId w:val="15"/>
  </w:num>
  <w:num w:numId="31" w16cid:durableId="1835685098">
    <w:abstractNumId w:val="45"/>
  </w:num>
  <w:num w:numId="32" w16cid:durableId="554896113">
    <w:abstractNumId w:val="41"/>
  </w:num>
  <w:num w:numId="33" w16cid:durableId="1565331303">
    <w:abstractNumId w:val="32"/>
  </w:num>
  <w:num w:numId="34" w16cid:durableId="782960290">
    <w:abstractNumId w:val="33"/>
  </w:num>
  <w:num w:numId="35" w16cid:durableId="868177862">
    <w:abstractNumId w:val="42"/>
  </w:num>
  <w:num w:numId="36" w16cid:durableId="1255897986">
    <w:abstractNumId w:val="5"/>
  </w:num>
  <w:num w:numId="37" w16cid:durableId="378625884">
    <w:abstractNumId w:val="25"/>
  </w:num>
  <w:num w:numId="38" w16cid:durableId="448744432">
    <w:abstractNumId w:val="22"/>
  </w:num>
  <w:num w:numId="39" w16cid:durableId="759447755">
    <w:abstractNumId w:val="49"/>
  </w:num>
  <w:num w:numId="40" w16cid:durableId="920869963">
    <w:abstractNumId w:val="12"/>
  </w:num>
  <w:num w:numId="41" w16cid:durableId="435640109">
    <w:abstractNumId w:val="21"/>
  </w:num>
  <w:num w:numId="42" w16cid:durableId="509218548">
    <w:abstractNumId w:val="29"/>
  </w:num>
  <w:num w:numId="43" w16cid:durableId="1584954671">
    <w:abstractNumId w:val="14"/>
  </w:num>
  <w:num w:numId="44" w16cid:durableId="566956331">
    <w:abstractNumId w:val="46"/>
  </w:num>
  <w:num w:numId="45" w16cid:durableId="557211142">
    <w:abstractNumId w:val="13"/>
  </w:num>
  <w:num w:numId="46" w16cid:durableId="1429156664">
    <w:abstractNumId w:val="23"/>
  </w:num>
  <w:num w:numId="47" w16cid:durableId="351613660">
    <w:abstractNumId w:val="24"/>
  </w:num>
  <w:num w:numId="48" w16cid:durableId="324826486">
    <w:abstractNumId w:val="20"/>
  </w:num>
  <w:num w:numId="49" w16cid:durableId="1393430712">
    <w:abstractNumId w:val="39"/>
  </w:num>
  <w:num w:numId="50" w16cid:durableId="1016543619">
    <w:abstractNumId w:val="43"/>
  </w:num>
  <w:num w:numId="51" w16cid:durableId="1097214529">
    <w:abstractNumId w:val="44"/>
  </w:num>
  <w:num w:numId="52" w16cid:durableId="239796930">
    <w:abstractNumId w:val="47"/>
  </w:num>
  <w:num w:numId="53" w16cid:durableId="684135436">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606A"/>
    <w:rsid w:val="003C6273"/>
    <w:rsid w:val="003C6550"/>
    <w:rsid w:val="003C66EC"/>
    <w:rsid w:val="003C67C2"/>
    <w:rsid w:val="003C6914"/>
    <w:rsid w:val="003C6D1F"/>
    <w:rsid w:val="003C7255"/>
    <w:rsid w:val="003C7456"/>
    <w:rsid w:val="003C7649"/>
    <w:rsid w:val="003C7F47"/>
    <w:rsid w:val="003D0831"/>
    <w:rsid w:val="003D11CD"/>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0526"/>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B87"/>
    <w:rsid w:val="004A4EDF"/>
    <w:rsid w:val="004A5A6C"/>
    <w:rsid w:val="004A63D6"/>
    <w:rsid w:val="004A6FFB"/>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6381"/>
    <w:rsid w:val="005073E8"/>
    <w:rsid w:val="005074CA"/>
    <w:rsid w:val="00507898"/>
    <w:rsid w:val="005079B0"/>
    <w:rsid w:val="00507B78"/>
    <w:rsid w:val="00510A99"/>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2C4"/>
    <w:rsid w:val="00932C21"/>
    <w:rsid w:val="00933626"/>
    <w:rsid w:val="00933807"/>
    <w:rsid w:val="009338B9"/>
    <w:rsid w:val="00934515"/>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701D"/>
    <w:rsid w:val="009D0F3C"/>
    <w:rsid w:val="009D1419"/>
    <w:rsid w:val="009D1694"/>
    <w:rsid w:val="009D21EC"/>
    <w:rsid w:val="009D33F6"/>
    <w:rsid w:val="009D39C5"/>
    <w:rsid w:val="009D3A71"/>
    <w:rsid w:val="009D3D8D"/>
    <w:rsid w:val="009D4B66"/>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38"/>
    <w:rsid w:val="00A36BFB"/>
    <w:rsid w:val="00A36ED8"/>
    <w:rsid w:val="00A37007"/>
    <w:rsid w:val="00A374EF"/>
    <w:rsid w:val="00A37AE1"/>
    <w:rsid w:val="00A40CFC"/>
    <w:rsid w:val="00A412FE"/>
    <w:rsid w:val="00A41948"/>
    <w:rsid w:val="00A41FAB"/>
    <w:rsid w:val="00A423EB"/>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C9C"/>
    <w:rsid w:val="00B35D3B"/>
    <w:rsid w:val="00B36478"/>
    <w:rsid w:val="00B36A65"/>
    <w:rsid w:val="00B36EDE"/>
    <w:rsid w:val="00B37069"/>
    <w:rsid w:val="00B37208"/>
    <w:rsid w:val="00B37C08"/>
    <w:rsid w:val="00B37E30"/>
    <w:rsid w:val="00B40120"/>
    <w:rsid w:val="00B402D6"/>
    <w:rsid w:val="00B40462"/>
    <w:rsid w:val="00B41684"/>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6474"/>
    <w:rsid w:val="00C76AF7"/>
    <w:rsid w:val="00C77CCF"/>
    <w:rsid w:val="00C8030F"/>
    <w:rsid w:val="00C805B1"/>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5054E"/>
    <w:rsid w:val="00E50BDA"/>
    <w:rsid w:val="00E51066"/>
    <w:rsid w:val="00E5159F"/>
    <w:rsid w:val="00E51FE0"/>
    <w:rsid w:val="00E5260A"/>
    <w:rsid w:val="00E5297B"/>
    <w:rsid w:val="00E52A3B"/>
    <w:rsid w:val="00E52F7A"/>
    <w:rsid w:val="00E53390"/>
    <w:rsid w:val="00E53584"/>
    <w:rsid w:val="00E5388D"/>
    <w:rsid w:val="00E541B7"/>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3.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5.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6.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7.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9202</Words>
  <Characters>49693</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AF de Cotas</vt:lpstr>
    </vt:vector>
  </TitlesOfParts>
  <Company>Cascione Pulino</Company>
  <LinksUpToDate>false</LinksUpToDate>
  <CharactersWithSpaces>58778</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3</cp:revision>
  <cp:lastPrinted>2020-04-03T21:34:00Z</cp:lastPrinted>
  <dcterms:created xsi:type="dcterms:W3CDTF">2022-06-01T19:14:00Z</dcterms:created>
  <dcterms:modified xsi:type="dcterms:W3CDTF">2022-06-01T19:15:00Z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