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0EF9F37D"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w:t>
      </w:r>
      <w:proofErr w:type="spellStart"/>
      <w:r w:rsidR="00532EFD">
        <w:rPr>
          <w:sz w:val="22"/>
          <w:szCs w:val="22"/>
        </w:rPr>
        <w:t>Concept</w:t>
      </w:r>
      <w:proofErr w:type="spellEnd"/>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289CF7E3" w14:textId="77777777" w:rsidR="00687608" w:rsidRPr="00760BB3" w:rsidRDefault="00687608" w:rsidP="00687608">
      <w:pPr>
        <w:pStyle w:val="Recuonormal"/>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7E638A54"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0A2A18">
        <w:rPr>
          <w:sz w:val="22"/>
          <w:szCs w:val="22"/>
          <w:highlight w:val="yellow"/>
          <w:u w:val="single"/>
        </w:rPr>
        <w:t>Bernoulli</w:t>
      </w:r>
      <w:r w:rsidR="00014027" w:rsidRPr="000A2A18">
        <w:rPr>
          <w:sz w:val="22"/>
          <w:szCs w:val="22"/>
          <w:highlight w:val="yellow"/>
        </w:rPr>
        <w:t>”</w:t>
      </w:r>
      <w:r w:rsidRPr="000A2A18">
        <w:rPr>
          <w:sz w:val="22"/>
          <w:szCs w:val="22"/>
          <w:highlight w:val="yellow"/>
        </w:rPr>
        <w:t>/ “</w:t>
      </w:r>
      <w:r w:rsidRPr="000A2A18">
        <w:rPr>
          <w:sz w:val="22"/>
          <w:szCs w:val="22"/>
          <w:highlight w:val="yellow"/>
          <w:u w:val="single"/>
        </w:rPr>
        <w:t>Ouvidor</w:t>
      </w:r>
      <w:r w:rsidRPr="000A2A18">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03AD4877"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(Fiduciante</w:t>
      </w:r>
      <w:r w:rsidR="00734353">
        <w:rPr>
          <w:rFonts w:ascii="Times New Roman" w:hAnsi="Times New Roman"/>
          <w:sz w:val="22"/>
          <w:szCs w:val="22"/>
          <w:lang w:val="pt-BR"/>
        </w:rPr>
        <w:t>s</w:t>
      </w:r>
      <w:r w:rsidRPr="00760BB3">
        <w:rPr>
          <w:rFonts w:ascii="Times New Roman" w:hAnsi="Times New Roman"/>
          <w:sz w:val="22"/>
          <w:szCs w:val="22"/>
          <w:lang w:val="pt-BR"/>
        </w:rPr>
        <w:t xml:space="preserv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64EE5588" w14:textId="504AF984" w:rsidR="008B1994" w:rsidRPr="00760BB3" w:rsidRDefault="008B1994" w:rsidP="008B1994">
      <w:pPr>
        <w:spacing w:line="300" w:lineRule="auto"/>
        <w:rPr>
          <w:sz w:val="22"/>
          <w:szCs w:val="22"/>
        </w:rPr>
      </w:pP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PargrafodaLista"/>
        <w:numPr>
          <w:ilvl w:val="0"/>
          <w:numId w:val="46"/>
        </w:numPr>
        <w:spacing w:line="300" w:lineRule="auto"/>
        <w:ind w:left="0" w:firstLine="0"/>
        <w:jc w:val="both"/>
        <w:rPr>
          <w:sz w:val="22"/>
          <w:szCs w:val="22"/>
        </w:rPr>
      </w:pPr>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6753221B" w:rsidR="008E1055" w:rsidRPr="005B63F5" w:rsidRDefault="000E6376" w:rsidP="005B63F5">
      <w:pPr>
        <w:pStyle w:val="PargrafodaLista"/>
        <w:numPr>
          <w:ilvl w:val="0"/>
          <w:numId w:val="46"/>
        </w:numPr>
        <w:spacing w:line="300" w:lineRule="auto"/>
        <w:ind w:left="0" w:firstLine="0"/>
        <w:jc w:val="both"/>
        <w:rPr>
          <w:bCs/>
          <w:sz w:val="22"/>
          <w:szCs w:val="22"/>
        </w:rPr>
      </w:pPr>
      <w:r>
        <w:rPr>
          <w:sz w:val="22"/>
          <w:szCs w:val="22"/>
        </w:rPr>
        <w:lastRenderedPageBreak/>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2B710EEC" w:rsidR="00A4429D" w:rsidRDefault="00A4429D" w:rsidP="00A4429D">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4047B6">
        <w:rPr>
          <w:sz w:val="22"/>
          <w:szCs w:val="22"/>
        </w:rPr>
        <w:t>[</w:t>
      </w:r>
      <w:r w:rsidRPr="005B63F5">
        <w:rPr>
          <w:sz w:val="22"/>
          <w:szCs w:val="22"/>
          <w:highlight w:val="yellow"/>
        </w:rPr>
        <w:t xml:space="preserve">Bernoulli </w:t>
      </w:r>
      <w:r w:rsidR="00E04F53" w:rsidRPr="005B63F5">
        <w:rPr>
          <w:sz w:val="22"/>
          <w:szCs w:val="22"/>
          <w:highlight w:val="yellow"/>
        </w:rPr>
        <w:t>Energia Ltda (“</w:t>
      </w:r>
      <w:r w:rsidR="00E04F53" w:rsidRPr="005B63F5">
        <w:rPr>
          <w:sz w:val="22"/>
          <w:szCs w:val="22"/>
          <w:highlight w:val="yellow"/>
          <w:u w:val="single"/>
        </w:rPr>
        <w:t>Bernoulli</w:t>
      </w:r>
      <w:r w:rsidR="004047B6" w:rsidRPr="005B63F5">
        <w:rPr>
          <w:sz w:val="22"/>
          <w:szCs w:val="22"/>
          <w:highlight w:val="yellow"/>
        </w:rPr>
        <w:t>”)</w:t>
      </w:r>
      <w:r w:rsidR="00E04F53" w:rsidRPr="005B63F5">
        <w:rPr>
          <w:sz w:val="22"/>
          <w:szCs w:val="22"/>
          <w:highlight w:val="yellow"/>
        </w:rPr>
        <w:t xml:space="preserve">. </w:t>
      </w:r>
      <w:r w:rsidRPr="005B63F5">
        <w:rPr>
          <w:sz w:val="22"/>
          <w:szCs w:val="22"/>
          <w:highlight w:val="yellow"/>
        </w:rPr>
        <w:t>na qualidade de emissora, Ouvidor</w:t>
      </w:r>
      <w:r w:rsidR="00E04F53" w:rsidRPr="005B63F5">
        <w:rPr>
          <w:sz w:val="22"/>
          <w:szCs w:val="22"/>
          <w:highlight w:val="yellow"/>
        </w:rPr>
        <w:t xml:space="preserve"> Energia Ltda.(“</w:t>
      </w:r>
      <w:r w:rsidR="00E04F53" w:rsidRPr="005B63F5">
        <w:rPr>
          <w:sz w:val="22"/>
          <w:szCs w:val="22"/>
          <w:highlight w:val="yellow"/>
          <w:u w:val="single"/>
        </w:rPr>
        <w:t>Ouvidor</w:t>
      </w:r>
      <w:r w:rsidR="00E04F53" w:rsidRPr="005B63F5">
        <w:rPr>
          <w:sz w:val="22"/>
          <w:szCs w:val="22"/>
          <w:highlight w:val="yellow"/>
        </w:rPr>
        <w:t>”)</w:t>
      </w:r>
      <w:r w:rsidR="004047B6">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p>
    <w:p w14:paraId="392E8EC6" w14:textId="77777777" w:rsidR="00A4429D" w:rsidRDefault="00A4429D" w:rsidP="00A4429D">
      <w:pPr>
        <w:pStyle w:val="PargrafodaLista"/>
        <w:widowControl w:val="0"/>
        <w:adjustRightInd w:val="0"/>
        <w:spacing w:line="300" w:lineRule="auto"/>
        <w:ind w:left="0"/>
        <w:jc w:val="both"/>
        <w:textAlignment w:val="baseline"/>
        <w:rPr>
          <w:sz w:val="22"/>
          <w:szCs w:val="22"/>
        </w:rPr>
      </w:pPr>
    </w:p>
    <w:p w14:paraId="1C153157" w14:textId="33C29C11" w:rsidR="001F4DFE" w:rsidRPr="00200B2C" w:rsidRDefault="00A4429D" w:rsidP="00200B2C">
      <w:pPr>
        <w:pStyle w:val="PargrafodaLista"/>
        <w:widowControl w:val="0"/>
        <w:numPr>
          <w:ilvl w:val="0"/>
          <w:numId w:val="46"/>
        </w:numPr>
        <w:adjustRightInd w:val="0"/>
        <w:spacing w:line="300" w:lineRule="auto"/>
        <w:ind w:left="0" w:firstLine="0"/>
        <w:jc w:val="both"/>
        <w:textAlignment w:val="baseline"/>
        <w:rPr>
          <w:sz w:val="22"/>
          <w:szCs w:val="22"/>
        </w:rPr>
      </w:pPr>
      <w:r w:rsidRPr="00200B2C">
        <w:rPr>
          <w:sz w:val="22"/>
          <w:szCs w:val="22"/>
        </w:rPr>
        <w:t>Nesta data, a Ouvidor emitiu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celebrado nesta data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PargrafodaLista"/>
        <w:spacing w:line="300" w:lineRule="auto"/>
        <w:rPr>
          <w:bCs/>
          <w:sz w:val="22"/>
          <w:szCs w:val="22"/>
        </w:rPr>
      </w:pPr>
    </w:p>
    <w:p w14:paraId="1ECBA9CD" w14:textId="4A9E4C0F" w:rsidR="007B4C7B" w:rsidRDefault="007B4C7B" w:rsidP="007B4C7B">
      <w:pPr>
        <w:pStyle w:val="PargrafodaLista"/>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alterada (“</w:t>
      </w:r>
      <w:r w:rsidR="002546BF" w:rsidRPr="000A2A18">
        <w:rPr>
          <w:sz w:val="22"/>
          <w:szCs w:val="22"/>
          <w:u w:val="single"/>
        </w:rPr>
        <w:t>MP n° 1.103/22</w:t>
      </w:r>
      <w:r w:rsidR="002546BF" w:rsidRPr="002546BF">
        <w:rPr>
          <w:sz w:val="22"/>
          <w:szCs w:val="22"/>
        </w:rPr>
        <w:t>”)</w:t>
      </w:r>
      <w:r w:rsidRPr="00104108">
        <w:rPr>
          <w:sz w:val="22"/>
          <w:szCs w:val="22"/>
        </w:rPr>
        <w:t>;</w:t>
      </w:r>
    </w:p>
    <w:p w14:paraId="56E33BB7" w14:textId="77777777" w:rsidR="00D02640" w:rsidRPr="000A2A18" w:rsidRDefault="00D02640" w:rsidP="000A2A18">
      <w:pPr>
        <w:pStyle w:val="PargrafodaLista"/>
        <w:rPr>
          <w:sz w:val="22"/>
          <w:szCs w:val="22"/>
        </w:rPr>
      </w:pPr>
    </w:p>
    <w:p w14:paraId="2E17DD54" w14:textId="4BE9FDDC" w:rsidR="00D02640" w:rsidRPr="003036A8" w:rsidRDefault="00D02640" w:rsidP="00D02640">
      <w:pPr>
        <w:pStyle w:val="PargrafodaLista"/>
        <w:numPr>
          <w:ilvl w:val="0"/>
          <w:numId w:val="46"/>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F825A3">
        <w:rPr>
          <w:bCs/>
          <w:sz w:val="22"/>
          <w:szCs w:val="22"/>
          <w:u w:val="single"/>
        </w:rPr>
        <w:t xml:space="preserve">Instituição </w:t>
      </w:r>
      <w:r w:rsidR="00F825A3">
        <w:rPr>
          <w:bCs/>
          <w:sz w:val="22"/>
          <w:szCs w:val="22"/>
          <w:u w:val="single"/>
        </w:rPr>
        <w:lastRenderedPageBreak/>
        <w:t>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12BBAB8F" w14:textId="77777777" w:rsidR="003036A8" w:rsidRPr="000A2A18" w:rsidRDefault="003036A8" w:rsidP="000A2A18">
      <w:pPr>
        <w:pStyle w:val="PargrafodaLista"/>
        <w:rPr>
          <w:sz w:val="22"/>
          <w:szCs w:val="22"/>
        </w:rPr>
      </w:pPr>
    </w:p>
    <w:p w14:paraId="4A329CF1" w14:textId="41EE6F22" w:rsidR="003036A8" w:rsidRPr="00104108" w:rsidRDefault="00A026F9" w:rsidP="000A2A18">
      <w:pPr>
        <w:pStyle w:val="PargrafodaLista"/>
        <w:numPr>
          <w:ilvl w:val="0"/>
          <w:numId w:val="46"/>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sidR="00EB3C33">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EB3C33">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w:t>
      </w:r>
      <w:r w:rsidR="008F4EC6" w:rsidRPr="00A026F9">
        <w:rPr>
          <w:i/>
          <w:iCs/>
          <w:sz w:val="22"/>
          <w:szCs w:val="22"/>
        </w:rPr>
        <w:t xml:space="preserve">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4D6F0B">
        <w:rPr>
          <w:bCs/>
          <w:sz w:val="22"/>
          <w:szCs w:val="22"/>
        </w:rPr>
        <w:t>Simplific Pavarini Distribuidora de Títulos e Valores Mobiliários Ltda.</w:t>
      </w:r>
      <w:r w:rsidRPr="00104108">
        <w:rPr>
          <w:bCs/>
          <w:sz w:val="22"/>
          <w:szCs w:val="22"/>
        </w:rPr>
        <w:t xml:space="preserve"> (“</w:t>
      </w:r>
      <w:r w:rsidRPr="00104108">
        <w:rPr>
          <w:bCs/>
          <w:sz w:val="22"/>
          <w:szCs w:val="22"/>
          <w:u w:val="single"/>
        </w:rPr>
        <w:t>Termo de Securitização</w:t>
      </w:r>
      <w:r w:rsidRPr="00104108">
        <w:rPr>
          <w:bCs/>
          <w:sz w:val="22"/>
          <w:szCs w:val="22"/>
        </w:rPr>
        <w:t>”</w:t>
      </w:r>
      <w:r w:rsidR="006A7A85">
        <w:rPr>
          <w:bCs/>
          <w:sz w:val="22"/>
          <w:szCs w:val="22"/>
        </w:rPr>
        <w:t xml:space="preserve"> e “</w:t>
      </w:r>
      <w:r w:rsidR="006A7A85" w:rsidRPr="005B63F5">
        <w:rPr>
          <w:bCs/>
          <w:sz w:val="22"/>
          <w:szCs w:val="22"/>
          <w:u w:val="single"/>
        </w:rPr>
        <w:t>Agente Fiduciário</w:t>
      </w:r>
      <w:r w:rsidR="006A7A85">
        <w:rPr>
          <w:bCs/>
          <w:sz w:val="22"/>
          <w:szCs w:val="22"/>
        </w:rPr>
        <w:t>”, respectivamente</w:t>
      </w:r>
      <w:r w:rsidRPr="00104108">
        <w:rPr>
          <w:bCs/>
          <w:sz w:val="22"/>
          <w:szCs w:val="22"/>
        </w:rPr>
        <w:t>), nos termos da Lei nº 9.514/97, e de acordo com os normativos da CVM</w:t>
      </w:r>
      <w:r w:rsidR="001B75F6">
        <w:rPr>
          <w:bCs/>
          <w:sz w:val="22"/>
          <w:szCs w:val="22"/>
        </w:rPr>
        <w:t>.</w:t>
      </w:r>
    </w:p>
    <w:p w14:paraId="00510CF8" w14:textId="77777777" w:rsidR="007B4C7B" w:rsidRPr="000A2A18" w:rsidRDefault="007B4C7B" w:rsidP="000A2A18">
      <w:pPr>
        <w:pStyle w:val="PargrafodaLista"/>
        <w:rPr>
          <w:sz w:val="22"/>
          <w:szCs w:val="22"/>
        </w:rPr>
      </w:pPr>
    </w:p>
    <w:p w14:paraId="785334E9" w14:textId="16038B3F"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 xml:space="preserve">Ouvidor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w:t>
      </w:r>
      <w:r w:rsidR="008447E5">
        <w:rPr>
          <w:sz w:val="22"/>
          <w:szCs w:val="22"/>
        </w:rPr>
        <w:t>i</w:t>
      </w:r>
      <w:r w:rsidRPr="00BF27E8">
        <w:rPr>
          <w:sz w:val="22"/>
          <w:szCs w:val="22"/>
        </w:rPr>
        <w:t>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os Fiduciantes,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w:t>
      </w:r>
      <w:proofErr w:type="spellStart"/>
      <w:r w:rsidR="00F3283E">
        <w:rPr>
          <w:sz w:val="22"/>
          <w:szCs w:val="22"/>
        </w:rPr>
        <w:t>i</w:t>
      </w:r>
      <w:r w:rsidR="008447E5">
        <w:rPr>
          <w:sz w:val="22"/>
          <w:szCs w:val="22"/>
        </w:rPr>
        <w:t>v</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os Fiduciantes,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 xml:space="preserve"> (“</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 xml:space="preserve">razão pela qual este instrumento deve sempre ser interpretado em conjunto com os demais </w:t>
      </w:r>
      <w:r w:rsidRPr="007F617C">
        <w:rPr>
          <w:sz w:val="22"/>
          <w:szCs w:val="22"/>
        </w:rPr>
        <w:lastRenderedPageBreak/>
        <w:t>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4426CC26" w:rsidR="00C24A51" w:rsidRDefault="00D45925"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5DEFDD57" w:rsidR="008B012F" w:rsidRPr="00760BB3" w:rsidRDefault="00C25E70"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6"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7" w:name="_Hlk105169110"/>
      <w:bookmarkEnd w:id="6"/>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8" w:name="_Hlk105170539"/>
      <w:bookmarkEnd w:id="7"/>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8"/>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9"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9"/>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10" w:name="_Hlk105170580"/>
      <w:r w:rsidR="00934573">
        <w:rPr>
          <w:sz w:val="22"/>
          <w:szCs w:val="22"/>
        </w:rPr>
        <w:t>pela Fiduciante e/ou</w:t>
      </w:r>
      <w:r w:rsidRPr="00560F84">
        <w:rPr>
          <w:sz w:val="22"/>
          <w:szCs w:val="22"/>
        </w:rPr>
        <w:t xml:space="preserve"> </w:t>
      </w:r>
      <w:bookmarkEnd w:id="10"/>
      <w:r w:rsidRPr="00560F84">
        <w:rPr>
          <w:sz w:val="22"/>
          <w:szCs w:val="22"/>
        </w:rPr>
        <w:t>pelos titulares e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s Fiduciantes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lastRenderedPageBreak/>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1" w:name="_Toc522079146"/>
      <w:bookmarkStart w:id="12"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1"/>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5286E2A8"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os </w:t>
      </w:r>
      <w:r w:rsidR="008215D3" w:rsidRPr="00760BB3">
        <w:rPr>
          <w:bCs/>
          <w:sz w:val="22"/>
          <w:szCs w:val="22"/>
        </w:rPr>
        <w:t>Fiduciante</w:t>
      </w:r>
      <w:r w:rsidR="00653F7E">
        <w:rPr>
          <w:bCs/>
          <w:sz w:val="22"/>
          <w:szCs w:val="22"/>
        </w:rPr>
        <w:t>s</w:t>
      </w:r>
      <w:r w:rsidR="008215D3" w:rsidRPr="00760BB3">
        <w:rPr>
          <w:bCs/>
          <w:sz w:val="22"/>
          <w:szCs w:val="22"/>
        </w:rPr>
        <w:t>, neste ato, em caráter irrevogável e irretratável, aliena</w:t>
      </w:r>
      <w:r w:rsidR="00653F7E">
        <w:rPr>
          <w:bCs/>
          <w:sz w:val="22"/>
          <w:szCs w:val="22"/>
        </w:rPr>
        <w:t>m</w:t>
      </w:r>
      <w:r w:rsidR="008215D3" w:rsidRPr="00760BB3">
        <w:rPr>
          <w:bCs/>
          <w:sz w:val="22"/>
          <w:szCs w:val="22"/>
        </w:rPr>
        <w:t xml:space="preserve"> </w:t>
      </w:r>
      <w:r w:rsidR="008215D3" w:rsidRPr="00760BB3">
        <w:rPr>
          <w:sz w:val="22"/>
          <w:szCs w:val="22"/>
        </w:rPr>
        <w:t>fiduciariamente a propriedade, o domínio resolúvel e a posse indireta das Quotas e dos Direitos (conforme definidos abaixo), de que seja</w:t>
      </w:r>
      <w:r w:rsidR="00653F7E">
        <w:rPr>
          <w:sz w:val="22"/>
          <w:szCs w:val="22"/>
        </w:rPr>
        <w:t>m</w:t>
      </w:r>
      <w:r w:rsidR="008215D3" w:rsidRPr="00760BB3">
        <w:rPr>
          <w:sz w:val="22"/>
          <w:szCs w:val="22"/>
        </w:rPr>
        <w:t xml:space="preserve"> ou venha</w:t>
      </w:r>
      <w:r w:rsidR="00653F7E">
        <w:rPr>
          <w:sz w:val="22"/>
          <w:szCs w:val="22"/>
        </w:rPr>
        <w:t>m</w:t>
      </w:r>
      <w:r w:rsidR="008215D3" w:rsidRPr="00760BB3">
        <w:rPr>
          <w:sz w:val="22"/>
          <w:szCs w:val="22"/>
        </w:rPr>
        <w:t xml:space="preserve"> a ser titular</w:t>
      </w:r>
      <w:r w:rsidR="00653F7E">
        <w:rPr>
          <w:sz w:val="22"/>
          <w:szCs w:val="22"/>
        </w:rPr>
        <w:t>es</w:t>
      </w:r>
      <w:r w:rsidR="008215D3" w:rsidRPr="00760BB3">
        <w:rPr>
          <w:sz w:val="22"/>
          <w:szCs w:val="22"/>
        </w:rPr>
        <w:t>,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3" w:name="_DV_M125"/>
      <w:bookmarkEnd w:id="13"/>
    </w:p>
    <w:p w14:paraId="49B2E9A0" w14:textId="75359A47"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os</w:t>
      </w:r>
      <w:r w:rsidR="0002762A" w:rsidRPr="00760BB3">
        <w:rPr>
          <w:sz w:val="22"/>
          <w:szCs w:val="22"/>
        </w:rPr>
        <w:t xml:space="preserve"> </w:t>
      </w:r>
      <w:r w:rsidR="00C026AF" w:rsidRPr="00760BB3">
        <w:rPr>
          <w:sz w:val="22"/>
          <w:szCs w:val="22"/>
        </w:rPr>
        <w:t>Fiduciante</w:t>
      </w:r>
      <w:r w:rsidR="00EC5E67">
        <w:rPr>
          <w:sz w:val="22"/>
          <w:szCs w:val="22"/>
        </w:rPr>
        <w:t>s</w:t>
      </w:r>
      <w:r w:rsidR="00C64120" w:rsidRPr="00760BB3">
        <w:rPr>
          <w:sz w:val="22"/>
          <w:szCs w:val="22"/>
        </w:rPr>
        <w:t xml:space="preserve"> </w:t>
      </w:r>
      <w:r w:rsidR="00C026AF" w:rsidRPr="00760BB3">
        <w:rPr>
          <w:sz w:val="22"/>
          <w:szCs w:val="22"/>
        </w:rPr>
        <w:t>declara</w:t>
      </w:r>
      <w:r w:rsidR="00EC5E67">
        <w:rPr>
          <w:sz w:val="22"/>
          <w:szCs w:val="22"/>
        </w:rPr>
        <w:t>m</w:t>
      </w:r>
      <w:r w:rsidR="00C026AF" w:rsidRPr="00760BB3">
        <w:rPr>
          <w:sz w:val="22"/>
          <w:szCs w:val="22"/>
        </w:rPr>
        <w:t xml:space="preserve">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7367591B"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os</w:t>
      </w:r>
      <w:r w:rsidR="00583703" w:rsidRPr="00760BB3">
        <w:rPr>
          <w:sz w:val="22"/>
          <w:szCs w:val="22"/>
        </w:rPr>
        <w:t xml:space="preserve"> </w:t>
      </w:r>
      <w:r w:rsidR="002A693E" w:rsidRPr="00760BB3">
        <w:rPr>
          <w:sz w:val="22"/>
          <w:szCs w:val="22"/>
        </w:rPr>
        <w:t>Fiduciante</w:t>
      </w:r>
      <w:r w:rsidR="00BE7102">
        <w:rPr>
          <w:sz w:val="22"/>
          <w:szCs w:val="22"/>
        </w:rPr>
        <w:t>s</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BE7102">
        <w:rPr>
          <w:sz w:val="22"/>
          <w:szCs w:val="22"/>
        </w:rPr>
        <w:t>m</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3B2F11" w:rsidRPr="00760BB3">
        <w:rPr>
          <w:sz w:val="22"/>
          <w:szCs w:val="22"/>
        </w:rPr>
        <w:lastRenderedPageBreak/>
        <w:t>(</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bookmarkStart w:id="14" w:name="_Toc522079148"/>
      <w:bookmarkEnd w:id="12"/>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6C0DE2D0" w14:textId="77777777" w:rsidR="00B4287D" w:rsidRPr="00760BB3" w:rsidRDefault="00B4287D" w:rsidP="00760BB3">
      <w:pPr>
        <w:spacing w:line="300" w:lineRule="auto"/>
        <w:jc w:val="both"/>
        <w:rPr>
          <w:sz w:val="22"/>
          <w:szCs w:val="22"/>
        </w:rPr>
      </w:pPr>
    </w:p>
    <w:p w14:paraId="343AEEB5"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w:t>
      </w:r>
      <w:r w:rsidRPr="0029217C">
        <w:rPr>
          <w:bCs/>
          <w:sz w:val="22"/>
          <w:szCs w:val="22"/>
        </w:rPr>
        <w:t>;</w:t>
      </w:r>
    </w:p>
    <w:p w14:paraId="53E4652D"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 de 2022</w:t>
      </w:r>
      <w:r w:rsidRPr="0029217C">
        <w:rPr>
          <w:bCs/>
          <w:sz w:val="22"/>
          <w:szCs w:val="22"/>
        </w:rPr>
        <w:t xml:space="preserve"> (“</w:t>
      </w:r>
      <w:r w:rsidRPr="0029217C">
        <w:rPr>
          <w:bCs/>
          <w:sz w:val="22"/>
          <w:szCs w:val="22"/>
          <w:u w:val="single"/>
        </w:rPr>
        <w:t>Data de Emissão</w:t>
      </w:r>
      <w:r w:rsidRPr="0029217C">
        <w:rPr>
          <w:bCs/>
          <w:sz w:val="22"/>
          <w:szCs w:val="22"/>
        </w:rPr>
        <w:t>");</w:t>
      </w:r>
    </w:p>
    <w:p w14:paraId="7C0A5DDD"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]dias</w:t>
      </w:r>
      <w:r w:rsidRPr="0029217C">
        <w:rPr>
          <w:bCs/>
          <w:sz w:val="22"/>
          <w:szCs w:val="22"/>
        </w:rPr>
        <w:t xml:space="preserve"> contados da Data de Emissão</w:t>
      </w:r>
    </w:p>
    <w:p w14:paraId="34BFE46B" w14:textId="13976CF8" w:rsidR="005A5563"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w:t>
      </w:r>
      <w:r w:rsidR="003F3798">
        <w:rPr>
          <w:bCs/>
          <w:sz w:val="22"/>
          <w:szCs w:val="22"/>
        </w:rPr>
        <w:t xml:space="preserve"> </w:t>
      </w:r>
      <w:r w:rsidRPr="00D20D39">
        <w:rPr>
          <w:bCs/>
          <w:sz w:val="22"/>
          <w:szCs w:val="22"/>
        </w:rPr>
        <w:t>de 2022</w:t>
      </w:r>
      <w:r w:rsidRPr="00173F2C">
        <w:rPr>
          <w:bCs/>
          <w:sz w:val="22"/>
          <w:szCs w:val="22"/>
        </w:rPr>
        <w:t>;</w:t>
      </w:r>
    </w:p>
    <w:p w14:paraId="40AA9D89" w14:textId="77777777" w:rsidR="005A5563" w:rsidRPr="004F7186"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6C6A613D" w14:textId="23C92E1C" w:rsidR="005A5563"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Pr>
          <w:rFonts w:eastAsia="Arial Unicode MS"/>
          <w:sz w:val="22"/>
          <w:szCs w:val="22"/>
          <w:lang w:bidi="th-TH"/>
        </w:rPr>
        <w:t>IPCA</w:t>
      </w:r>
    </w:p>
    <w:p w14:paraId="48216482" w14:textId="4341C9ED" w:rsidR="005A5563" w:rsidRPr="004F7186"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Remuneração</w:t>
      </w:r>
      <w:r w:rsidRPr="0029217C">
        <w:rPr>
          <w:bCs/>
          <w:sz w:val="22"/>
          <w:szCs w:val="22"/>
        </w:rPr>
        <w:t>:</w:t>
      </w:r>
      <w:r>
        <w:rPr>
          <w:bCs/>
          <w:sz w:val="22"/>
          <w:szCs w:val="22"/>
        </w:rPr>
        <w:t xml:space="preserve"> </w:t>
      </w:r>
      <w:r w:rsidR="00CF75DE">
        <w:rPr>
          <w:bCs/>
          <w:sz w:val="22"/>
          <w:szCs w:val="22"/>
        </w:rPr>
        <w:t>[</w:t>
      </w:r>
      <w:r w:rsidR="00CF75DE" w:rsidRPr="000B608E">
        <w:rPr>
          <w:bCs/>
          <w:sz w:val="22"/>
          <w:szCs w:val="22"/>
          <w:highlight w:val="yellow"/>
        </w:rPr>
        <w:t>completar</w:t>
      </w:r>
      <w:r w:rsidR="00CF75DE">
        <w:rPr>
          <w:bCs/>
          <w:sz w:val="22"/>
          <w:szCs w:val="22"/>
        </w:rPr>
        <w:t>]</w:t>
      </w:r>
      <w:r>
        <w:rPr>
          <w:sz w:val="22"/>
          <w:szCs w:val="22"/>
        </w:rPr>
        <w:t>;</w:t>
      </w:r>
    </w:p>
    <w:p w14:paraId="4419B91A" w14:textId="77777777" w:rsidR="005A5563" w:rsidRPr="004F7186"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29DEE72C" w14:textId="77777777" w:rsidR="005A5563" w:rsidRPr="005B63F5"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Pr>
          <w:bCs/>
          <w:sz w:val="22"/>
          <w:szCs w:val="22"/>
        </w:rPr>
        <w:t>o</w:t>
      </w:r>
      <w:r w:rsidRPr="0029217C">
        <w:rPr>
          <w:bCs/>
          <w:sz w:val="22"/>
          <w:szCs w:val="22"/>
        </w:rPr>
        <w:t xml:space="preserve"> Instrumento de Emissão, serão realizados </w:t>
      </w:r>
      <w:r>
        <w:rPr>
          <w:bCs/>
          <w:sz w:val="22"/>
          <w:szCs w:val="22"/>
        </w:rPr>
        <w:t xml:space="preserve">de acordo com os procedimentos adotados pela B3; </w:t>
      </w:r>
      <w:r w:rsidRPr="005B63F5">
        <w:rPr>
          <w:color w:val="000000"/>
          <w:sz w:val="22"/>
          <w:szCs w:val="22"/>
        </w:rPr>
        <w:t>e</w:t>
      </w:r>
    </w:p>
    <w:p w14:paraId="67575CD2"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Demais Características</w:t>
      </w:r>
      <w:r w:rsidRPr="0029217C">
        <w:rPr>
          <w:sz w:val="22"/>
          <w:szCs w:val="22"/>
        </w:rPr>
        <w:t xml:space="preserve">: conforme descritas </w:t>
      </w:r>
      <w:r>
        <w:rPr>
          <w:sz w:val="22"/>
          <w:szCs w:val="22"/>
        </w:rPr>
        <w:t>nos Documentos da Operação.</w:t>
      </w:r>
    </w:p>
    <w:p w14:paraId="6C0CB9F2" w14:textId="77777777" w:rsidR="00CA23C7" w:rsidRPr="00760BB3" w:rsidRDefault="00CA23C7" w:rsidP="00760BB3">
      <w:pPr>
        <w:spacing w:line="300" w:lineRule="auto"/>
        <w:jc w:val="both"/>
        <w:rPr>
          <w:b/>
          <w:sz w:val="22"/>
          <w:szCs w:val="22"/>
        </w:rPr>
      </w:pPr>
    </w:p>
    <w:p w14:paraId="3F467A04" w14:textId="79C05AC5" w:rsidR="00123B3D" w:rsidRPr="00760BB3" w:rsidRDefault="00123B3D" w:rsidP="00760BB3">
      <w:pPr>
        <w:spacing w:line="300" w:lineRule="auto"/>
        <w:jc w:val="both"/>
        <w:rPr>
          <w:sz w:val="22"/>
          <w:szCs w:val="22"/>
        </w:rPr>
      </w:pPr>
      <w:r w:rsidRPr="00760BB3">
        <w:rPr>
          <w:b/>
          <w:sz w:val="22"/>
          <w:szCs w:val="22"/>
        </w:rPr>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BF3355">
        <w:rPr>
          <w:sz w:val="22"/>
          <w:szCs w:val="22"/>
        </w:rPr>
        <w:t>nas Notas Comerciais</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A93D60" w:rsidRPr="00760BB3">
        <w:rPr>
          <w:sz w:val="22"/>
          <w:szCs w:val="22"/>
        </w:rPr>
        <w:t>Contrato</w:t>
      </w:r>
      <w:r w:rsidR="00030CFA" w:rsidRPr="00760BB3">
        <w:rPr>
          <w:sz w:val="22"/>
          <w:szCs w:val="22"/>
        </w:rPr>
        <w:t xml:space="preserve"> de</w:t>
      </w:r>
      <w:r w:rsidR="00A93D60" w:rsidRPr="00760BB3">
        <w:rPr>
          <w:sz w:val="22"/>
          <w:szCs w:val="22"/>
        </w:rPr>
        <w:t xml:space="preserve"> </w:t>
      </w:r>
      <w:r w:rsidR="00030CFA" w:rsidRPr="00760BB3">
        <w:rPr>
          <w:sz w:val="22"/>
          <w:szCs w:val="22"/>
        </w:rPr>
        <w:t xml:space="preserve">Alienação Fiduciária de Quotas </w:t>
      </w:r>
      <w:r w:rsidR="003553CD" w:rsidRPr="00760BB3">
        <w:rPr>
          <w:sz w:val="22"/>
          <w:szCs w:val="22"/>
        </w:rPr>
        <w:t>constitui parte integrante e inseparável para todos os fins e efeitos de direito</w:t>
      </w:r>
      <w:r w:rsidR="00C93CBD" w:rsidRPr="00760BB3">
        <w:rPr>
          <w:sz w:val="22"/>
          <w:szCs w:val="22"/>
        </w:rPr>
        <w:t>.</w:t>
      </w:r>
    </w:p>
    <w:p w14:paraId="2A46A1FD" w14:textId="77777777" w:rsidR="00362EE7" w:rsidRPr="00760BB3" w:rsidRDefault="00362EE7" w:rsidP="00760BB3">
      <w:pPr>
        <w:pStyle w:val="Recuonormal"/>
        <w:spacing w:line="300" w:lineRule="auto"/>
        <w:rPr>
          <w:rFonts w:ascii="Times New Roman" w:hAnsi="Times New Roman"/>
          <w:sz w:val="22"/>
          <w:szCs w:val="22"/>
          <w:lang w:val="pt-BR"/>
        </w:rPr>
      </w:pPr>
      <w:bookmarkStart w:id="15" w:name="_Toc522079149"/>
      <w:bookmarkEnd w:id="14"/>
    </w:p>
    <w:p w14:paraId="72C13582" w14:textId="77777777" w:rsidR="003B4CB3" w:rsidRPr="00760BB3" w:rsidRDefault="00FF1842"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77CB4D28"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lastRenderedPageBreak/>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2875BF">
        <w:rPr>
          <w:rFonts w:ascii="Times New Roman" w:hAnsi="Times New Roman"/>
          <w:b w:val="0"/>
          <w:sz w:val="22"/>
          <w:szCs w:val="22"/>
        </w:rPr>
        <w:t>s</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3AC15F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Para os fins do disposto no item 3.1.1. acima, sempre que forem emitidas Novas Quotas pela Sociedade, fica</w:t>
      </w:r>
      <w:r w:rsidR="008F2EE3">
        <w:rPr>
          <w:sz w:val="22"/>
          <w:szCs w:val="22"/>
        </w:rPr>
        <w:t>m</w:t>
      </w:r>
      <w:r w:rsidR="008F2EE3" w:rsidRPr="00760BB3">
        <w:rPr>
          <w:sz w:val="22"/>
          <w:szCs w:val="22"/>
        </w:rPr>
        <w:t xml:space="preserve"> </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w:t>
      </w:r>
      <w:r w:rsidR="00462555" w:rsidRPr="00760BB3">
        <w:rPr>
          <w:sz w:val="22"/>
          <w:szCs w:val="22"/>
        </w:rPr>
        <w:t>obrigad</w:t>
      </w:r>
      <w:r w:rsidR="00F869FD">
        <w:rPr>
          <w:sz w:val="22"/>
          <w:szCs w:val="22"/>
        </w:rPr>
        <w:t>o</w:t>
      </w:r>
      <w:r w:rsidR="00462555">
        <w:rPr>
          <w:sz w:val="22"/>
          <w:szCs w:val="22"/>
        </w:rPr>
        <w:t>s</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suas respectivas participações societárias,</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74C3A016"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w:t>
      </w:r>
      <w:r w:rsidR="00DD6704">
        <w:rPr>
          <w:rFonts w:ascii="Times New Roman" w:hAnsi="Times New Roman"/>
          <w:b w:val="0"/>
          <w:sz w:val="22"/>
          <w:szCs w:val="22"/>
        </w:rPr>
        <w:t>s</w:t>
      </w:r>
      <w:r w:rsidR="009F634E" w:rsidRPr="00760BB3">
        <w:rPr>
          <w:rFonts w:ascii="Times New Roman" w:hAnsi="Times New Roman"/>
          <w:b w:val="0"/>
          <w:sz w:val="22"/>
          <w:szCs w:val="22"/>
        </w:rPr>
        <w:t xml:space="preserv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17CE5B7A"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165219" w:rsidRPr="000A2A18">
        <w:rPr>
          <w:rFonts w:ascii="Times New Roman" w:hAnsi="Times New Roman"/>
          <w:b w:val="0"/>
          <w:sz w:val="22"/>
          <w:szCs w:val="22"/>
          <w:highlight w:val="yellow"/>
        </w:rPr>
        <w:t>completar</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4A09F69C"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lastRenderedPageBreak/>
        <w:t xml:space="preserve">3.2.1. </w:t>
      </w:r>
      <w:r w:rsidR="00583703">
        <w:rPr>
          <w:rFonts w:ascii="Times New Roman" w:hAnsi="Times New Roman"/>
          <w:b w:val="0"/>
          <w:iCs/>
          <w:sz w:val="22"/>
          <w:szCs w:val="22"/>
        </w:rPr>
        <w:t xml:space="preserve">Os </w:t>
      </w:r>
      <w:r>
        <w:rPr>
          <w:rFonts w:ascii="Times New Roman" w:hAnsi="Times New Roman"/>
          <w:b w:val="0"/>
          <w:iCs/>
          <w:sz w:val="22"/>
          <w:szCs w:val="22"/>
        </w:rPr>
        <w:t>Fiduciante</w:t>
      </w:r>
      <w:r w:rsidR="00583703">
        <w:rPr>
          <w:rFonts w:ascii="Times New Roman" w:hAnsi="Times New Roman"/>
          <w:b w:val="0"/>
          <w:iCs/>
          <w:sz w:val="22"/>
          <w:szCs w:val="22"/>
        </w:rPr>
        <w:t>s</w:t>
      </w:r>
      <w:r>
        <w:rPr>
          <w:rFonts w:ascii="Times New Roman" w:hAnsi="Times New Roman"/>
          <w:b w:val="0"/>
          <w:iCs/>
          <w:sz w:val="22"/>
          <w:szCs w:val="22"/>
        </w:rPr>
        <w:t xml:space="preserve"> se </w:t>
      </w:r>
      <w:r w:rsidR="00D62996">
        <w:rPr>
          <w:rFonts w:ascii="Times New Roman" w:hAnsi="Times New Roman"/>
          <w:b w:val="0"/>
          <w:iCs/>
          <w:sz w:val="22"/>
          <w:szCs w:val="22"/>
        </w:rPr>
        <w:t>obriga</w:t>
      </w:r>
      <w:r w:rsidR="00583703">
        <w:rPr>
          <w:rFonts w:ascii="Times New Roman" w:hAnsi="Times New Roman"/>
          <w:b w:val="0"/>
          <w:iCs/>
          <w:sz w:val="22"/>
          <w:szCs w:val="22"/>
        </w:rPr>
        <w:t>m</w:t>
      </w:r>
      <w:r w:rsidR="00D62996">
        <w:rPr>
          <w:rFonts w:ascii="Times New Roman" w:hAnsi="Times New Roman"/>
          <w:b w:val="0"/>
          <w:iCs/>
          <w:sz w:val="22"/>
          <w:szCs w:val="22"/>
        </w:rPr>
        <w:t xml:space="preserve">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298258B"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os</w:t>
      </w:r>
      <w:r w:rsidR="00B67926" w:rsidRPr="00760BB3">
        <w:rPr>
          <w:sz w:val="22"/>
          <w:szCs w:val="22"/>
        </w:rPr>
        <w:t xml:space="preserve"> </w:t>
      </w:r>
      <w:r w:rsidRPr="00760BB3">
        <w:rPr>
          <w:sz w:val="22"/>
          <w:szCs w:val="22"/>
        </w:rPr>
        <w:t>Fiduciante</w:t>
      </w:r>
      <w:r w:rsidR="00D6214D">
        <w:rPr>
          <w:sz w:val="22"/>
          <w:szCs w:val="22"/>
        </w:rPr>
        <w:t>s</w:t>
      </w:r>
      <w:r w:rsidRPr="00760BB3">
        <w:rPr>
          <w:sz w:val="22"/>
          <w:szCs w:val="22"/>
        </w:rPr>
        <w:t>,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4F872502" w14:textId="77777777" w:rsidR="009A508D" w:rsidRPr="00760BB3" w:rsidRDefault="009A508D" w:rsidP="00760BB3">
      <w:pPr>
        <w:pStyle w:val="Corpodetexto2"/>
        <w:spacing w:line="300" w:lineRule="auto"/>
        <w:rPr>
          <w:rFonts w:ascii="Times New Roman" w:hAnsi="Times New Roman"/>
          <w:sz w:val="22"/>
          <w:szCs w:val="22"/>
        </w:rPr>
      </w:pPr>
    </w:p>
    <w:p w14:paraId="083252E8" w14:textId="68056A7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Os</w:t>
      </w:r>
      <w:r w:rsidR="00B67926" w:rsidRPr="00760BB3">
        <w:rPr>
          <w:sz w:val="22"/>
          <w:szCs w:val="22"/>
        </w:rPr>
        <w:t xml:space="preserve"> </w:t>
      </w:r>
      <w:r w:rsidR="00F06B23" w:rsidRPr="00760BB3">
        <w:rPr>
          <w:sz w:val="22"/>
          <w:szCs w:val="22"/>
        </w:rPr>
        <w:t>Fiduciante</w:t>
      </w:r>
      <w:r w:rsidR="00D6214D">
        <w:rPr>
          <w:sz w:val="22"/>
          <w:szCs w:val="22"/>
        </w:rPr>
        <w:t>s</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os</w:t>
      </w:r>
      <w:r w:rsidR="00B67926" w:rsidRPr="00760BB3">
        <w:rPr>
          <w:sz w:val="22"/>
          <w:szCs w:val="22"/>
        </w:rPr>
        <w:t xml:space="preserve"> </w:t>
      </w:r>
      <w:r w:rsidR="008B26C2" w:rsidRPr="00760BB3">
        <w:rPr>
          <w:sz w:val="22"/>
          <w:szCs w:val="22"/>
        </w:rPr>
        <w:t>Fiduciante</w:t>
      </w:r>
      <w:r w:rsidR="00D6214D">
        <w:rPr>
          <w:sz w:val="22"/>
          <w:szCs w:val="22"/>
        </w:rPr>
        <w:t>s</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19ECFBA1" w:rsidR="003B4CB3" w:rsidRPr="00760BB3" w:rsidRDefault="00D96154"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Os</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E9475B">
        <w:rPr>
          <w:rFonts w:ascii="Times New Roman" w:hAnsi="Times New Roman"/>
          <w:b w:val="0"/>
          <w:sz w:val="22"/>
          <w:szCs w:val="22"/>
        </w:rPr>
        <w:t>s</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E9475B">
        <w:rPr>
          <w:rFonts w:ascii="Times New Roman" w:hAnsi="Times New Roman"/>
          <w:b w:val="0"/>
          <w:sz w:val="22"/>
          <w:szCs w:val="22"/>
        </w:rPr>
        <w:t>m</w:t>
      </w:r>
      <w:r w:rsidR="001727A2" w:rsidRPr="00760BB3">
        <w:rPr>
          <w:rFonts w:ascii="Times New Roman" w:hAnsi="Times New Roman"/>
          <w:b w:val="0"/>
          <w:sz w:val="22"/>
          <w:szCs w:val="22"/>
        </w:rPr>
        <w:t xml:space="preserve"> e garante</w:t>
      </w:r>
      <w:r w:rsidR="00E9475B">
        <w:rPr>
          <w:rFonts w:ascii="Times New Roman" w:hAnsi="Times New Roman"/>
          <w:b w:val="0"/>
          <w:sz w:val="22"/>
          <w:szCs w:val="22"/>
        </w:rPr>
        <w:t>m</w:t>
      </w:r>
      <w:r w:rsidR="00FF1842" w:rsidRPr="00760BB3">
        <w:rPr>
          <w:rFonts w:ascii="Times New Roman" w:hAnsi="Times New Roman"/>
          <w:b w:val="0"/>
          <w:sz w:val="22"/>
          <w:szCs w:val="22"/>
        </w:rPr>
        <w:t xml:space="preserve"> ainda que:</w:t>
      </w:r>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61BED740"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A16F47" w:rsidRPr="00237FCD">
        <w:rPr>
          <w:rFonts w:ascii="Times New Roman" w:hAnsi="Times New Roman"/>
          <w:b w:val="0"/>
          <w:sz w:val="22"/>
          <w:szCs w:val="22"/>
        </w:rPr>
        <w:t>as Fiduciantes declaram, desde já, sob as penas da legislação aplicável: (i) aprovam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xml:space="preserve">) as Quotas e os Direitos são de sua exclusiva titularidade, podendo dispor, alienar sob qualquer forma ou, ainda, oferecer em </w:t>
      </w:r>
      <w:r w:rsidR="00A16F47" w:rsidRPr="00237FCD">
        <w:rPr>
          <w:rFonts w:ascii="Times New Roman" w:hAnsi="Times New Roman"/>
          <w:b w:val="0"/>
          <w:sz w:val="22"/>
          <w:szCs w:val="22"/>
        </w:rPr>
        <w:lastRenderedPageBreak/>
        <w:t>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pelas Fiduciantes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drag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3793B31F"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297C8813"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r w:rsidR="009D662A">
        <w:rPr>
          <w:rFonts w:ascii="Times New Roman" w:hAnsi="Times New Roman"/>
          <w:b w:val="0"/>
          <w:sz w:val="22"/>
          <w:szCs w:val="22"/>
        </w:rPr>
        <w:t>[</w:t>
      </w:r>
      <w:r w:rsidR="009D662A" w:rsidRPr="000A2A18">
        <w:rPr>
          <w:rFonts w:ascii="Times New Roman" w:hAnsi="Times New Roman"/>
          <w:bCs/>
          <w:sz w:val="22"/>
          <w:szCs w:val="22"/>
          <w:highlight w:val="yellow"/>
        </w:rPr>
        <w:t>Nota Coelho Advogados: favor confirmar</w:t>
      </w:r>
      <w:r w:rsidR="009D662A">
        <w:rPr>
          <w:rFonts w:ascii="Times New Roman" w:hAnsi="Times New Roman"/>
          <w:b w:val="0"/>
          <w:sz w:val="22"/>
          <w:szCs w:val="22"/>
        </w:rPr>
        <w:t>]</w:t>
      </w:r>
    </w:p>
    <w:bookmarkEnd w:id="15"/>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94FCC97"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426A25">
        <w:rPr>
          <w:rFonts w:ascii="Times New Roman" w:hAnsi="Times New Roman"/>
          <w:b w:val="0"/>
          <w:sz w:val="22"/>
          <w:szCs w:val="22"/>
        </w:rPr>
        <w:t>s</w:t>
      </w:r>
      <w:r w:rsidR="00C51FFC" w:rsidRPr="00760BB3">
        <w:rPr>
          <w:rFonts w:ascii="Times New Roman" w:hAnsi="Times New Roman"/>
          <w:b w:val="0"/>
          <w:sz w:val="22"/>
          <w:szCs w:val="22"/>
        </w:rPr>
        <w:t xml:space="preserve"> </w:t>
      </w:r>
      <w:r w:rsidR="00426A25">
        <w:rPr>
          <w:rFonts w:ascii="Times New Roman" w:hAnsi="Times New Roman"/>
          <w:b w:val="0"/>
          <w:sz w:val="22"/>
          <w:szCs w:val="22"/>
        </w:rPr>
        <w:t>são</w:t>
      </w:r>
      <w:r w:rsidR="00426A25" w:rsidRPr="00760BB3">
        <w:rPr>
          <w:rFonts w:ascii="Times New Roman" w:hAnsi="Times New Roman"/>
          <w:b w:val="0"/>
          <w:sz w:val="22"/>
          <w:szCs w:val="22"/>
        </w:rPr>
        <w:t xml:space="preserve"> responsáve</w:t>
      </w:r>
      <w:r w:rsidR="00426A25">
        <w:rPr>
          <w:rFonts w:ascii="Times New Roman" w:hAnsi="Times New Roman"/>
          <w:b w:val="0"/>
          <w:sz w:val="22"/>
          <w:szCs w:val="22"/>
        </w:rPr>
        <w:t>is</w:t>
      </w:r>
      <w:r w:rsidR="00426A25"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07339F55"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426A25">
        <w:rPr>
          <w:rFonts w:ascii="Times New Roman" w:hAnsi="Times New Roman"/>
          <w:b w:val="0"/>
          <w:sz w:val="22"/>
          <w:szCs w:val="22"/>
        </w:rPr>
        <w:t>s</w:t>
      </w:r>
      <w:r w:rsidR="008A7C42" w:rsidRPr="00760BB3">
        <w:rPr>
          <w:rFonts w:ascii="Times New Roman" w:hAnsi="Times New Roman"/>
          <w:b w:val="0"/>
          <w:sz w:val="22"/>
          <w:szCs w:val="22"/>
        </w:rPr>
        <w:t xml:space="preserve"> </w:t>
      </w:r>
      <w:r w:rsidR="00426A25" w:rsidRPr="00760BB3">
        <w:rPr>
          <w:rFonts w:ascii="Times New Roman" w:hAnsi="Times New Roman"/>
          <w:b w:val="0"/>
          <w:sz w:val="22"/>
          <w:szCs w:val="22"/>
        </w:rPr>
        <w:t>indenizar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426A25" w:rsidRPr="00760BB3">
        <w:rPr>
          <w:rFonts w:ascii="Times New Roman" w:hAnsi="Times New Roman"/>
          <w:b w:val="0"/>
          <w:sz w:val="22"/>
          <w:szCs w:val="22"/>
        </w:rPr>
        <w:t>reembolsar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manter</w:t>
      </w:r>
      <w:r w:rsidR="00C221E7" w:rsidRPr="00760BB3">
        <w:rPr>
          <w:rFonts w:ascii="Times New Roman" w:hAnsi="Times New Roman"/>
          <w:b w:val="0"/>
          <w:sz w:val="22"/>
          <w:szCs w:val="22"/>
        </w:rPr>
        <w:t>ão</w:t>
      </w:r>
      <w:r w:rsidR="00470896" w:rsidRPr="00760BB3">
        <w:rPr>
          <w:rFonts w:ascii="Times New Roman" w:hAnsi="Times New Roman"/>
          <w:b w:val="0"/>
          <w:sz w:val="22"/>
          <w:szCs w:val="22"/>
        </w:rPr>
        <w:t xml:space="preserve"> 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162E0EA6"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Os</w:t>
      </w:r>
      <w:r w:rsidR="00320068" w:rsidRPr="00760BB3">
        <w:rPr>
          <w:sz w:val="22"/>
          <w:szCs w:val="22"/>
        </w:rPr>
        <w:t xml:space="preserve"> </w:t>
      </w:r>
      <w:r w:rsidRPr="00760BB3">
        <w:rPr>
          <w:sz w:val="22"/>
          <w:szCs w:val="22"/>
        </w:rPr>
        <w:t>Fiduciante</w:t>
      </w:r>
      <w:r w:rsidR="00320068">
        <w:rPr>
          <w:sz w:val="22"/>
          <w:szCs w:val="22"/>
        </w:rPr>
        <w:t>s</w:t>
      </w:r>
      <w:r w:rsidRPr="00760BB3">
        <w:rPr>
          <w:sz w:val="22"/>
          <w:szCs w:val="22"/>
        </w:rPr>
        <w:t xml:space="preserve"> se obriga</w:t>
      </w:r>
      <w:r w:rsidR="00320068">
        <w:rPr>
          <w:sz w:val="22"/>
          <w:szCs w:val="22"/>
        </w:rPr>
        <w:t>m</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lastRenderedPageBreak/>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6" w:name="_Hlk72083983"/>
      <w:r w:rsidR="00D21A36" w:rsidRPr="00760BB3">
        <w:rPr>
          <w:sz w:val="22"/>
          <w:szCs w:val="22"/>
        </w:rPr>
        <w:t xml:space="preserve">Contrato </w:t>
      </w:r>
      <w:r w:rsidR="00A8557C" w:rsidRPr="00760BB3">
        <w:rPr>
          <w:sz w:val="22"/>
          <w:szCs w:val="22"/>
        </w:rPr>
        <w:t>de Alienação Fiduciária de Quotas</w:t>
      </w:r>
      <w:bookmarkEnd w:id="16"/>
      <w:r w:rsidR="00A8557C" w:rsidRPr="00760BB3">
        <w:rPr>
          <w:sz w:val="22"/>
          <w:szCs w:val="22"/>
        </w:rPr>
        <w:t xml:space="preserve"> </w:t>
      </w:r>
      <w:bookmarkStart w:id="17"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Pr>
          <w:sz w:val="22"/>
          <w:szCs w:val="22"/>
        </w:rPr>
        <w:t>[</w:t>
      </w:r>
      <w:r w:rsidR="00617D37" w:rsidRPr="000A2A18">
        <w:rPr>
          <w:sz w:val="22"/>
          <w:szCs w:val="22"/>
          <w:highlight w:val="yellow"/>
        </w:rPr>
        <w:t>Quirinópolis/Cumari</w:t>
      </w:r>
      <w:r w:rsidR="00617D37">
        <w:rPr>
          <w:sz w:val="22"/>
          <w:szCs w:val="22"/>
        </w:rPr>
        <w:t>]</w:t>
      </w:r>
      <w:r w:rsidR="00112374">
        <w:rPr>
          <w:sz w:val="22"/>
          <w:szCs w:val="22"/>
        </w:rPr>
        <w:t xml:space="preserve"> 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17"/>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5982191F"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18" w:name="_Hlk72084772"/>
      <w:r w:rsidR="00C221E7" w:rsidRPr="00760BB3">
        <w:rPr>
          <w:sz w:val="22"/>
          <w:szCs w:val="22"/>
        </w:rPr>
        <w:t>Os</w:t>
      </w:r>
      <w:r w:rsidR="003D7F4D" w:rsidRPr="00760BB3">
        <w:rPr>
          <w:sz w:val="22"/>
          <w:szCs w:val="22"/>
        </w:rPr>
        <w:t xml:space="preserve"> Fiduciante</w:t>
      </w:r>
      <w:r w:rsidR="00C221E7" w:rsidRPr="00760BB3">
        <w:rPr>
          <w:sz w:val="22"/>
          <w:szCs w:val="22"/>
        </w:rPr>
        <w:t>s</w:t>
      </w:r>
      <w:r w:rsidR="003D7F4D" w:rsidRPr="00760BB3">
        <w:rPr>
          <w:sz w:val="22"/>
          <w:szCs w:val="22"/>
        </w:rPr>
        <w:t xml:space="preserve"> se obriga</w:t>
      </w:r>
      <w:r w:rsidR="00C221E7" w:rsidRPr="00760BB3">
        <w:rPr>
          <w:sz w:val="22"/>
          <w:szCs w:val="22"/>
        </w:rPr>
        <w:t>m</w:t>
      </w:r>
      <w:r w:rsidR="003D7F4D" w:rsidRPr="00760BB3">
        <w:rPr>
          <w:sz w:val="22"/>
          <w:szCs w:val="22"/>
        </w:rPr>
        <w:t>,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18"/>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677E56B3"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VIRGO COMPANHIA DE SECURITIZAÇÃO, nova denominação da Isec Securitizadora S.A, sociedade anônima,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C4570B" w:rsidRPr="000A2A18">
        <w:rPr>
          <w:i/>
          <w:sz w:val="22"/>
          <w:szCs w:val="22"/>
          <w:highlight w:val="yellow"/>
          <w:lang w:val="pt-PT"/>
        </w:rPr>
        <w:t>[completar</w:t>
      </w:r>
      <w:r w:rsidR="00C4570B">
        <w:rPr>
          <w:i/>
          <w:sz w:val="22"/>
          <w:szCs w:val="22"/>
          <w:lang w:val="pt-PT"/>
        </w:rPr>
        <w:t>]</w:t>
      </w:r>
      <w:r w:rsidR="00C171ED" w:rsidRPr="0089537D">
        <w:rPr>
          <w:sz w:val="22"/>
          <w:szCs w:val="22"/>
        </w:rPr>
        <w:t xml:space="preserve"> </w:t>
      </w:r>
      <w:r w:rsidR="00C171ED">
        <w:rPr>
          <w:sz w:val="22"/>
          <w:szCs w:val="22"/>
        </w:rPr>
        <w:t>“</w:t>
      </w:r>
      <w:r w:rsidR="00C171ED" w:rsidRPr="00E90970">
        <w:rPr>
          <w:sz w:val="22"/>
          <w:szCs w:val="22"/>
          <w:u w:val="single"/>
        </w:rPr>
        <w:t>Fiduciantes</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CF2ED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00A77A92" w:rsidRPr="00DB254B">
        <w:rPr>
          <w:i/>
          <w:sz w:val="22"/>
          <w:szCs w:val="22"/>
        </w:rPr>
        <w:t xml:space="preserve"> no valor </w:t>
      </w:r>
      <w:r w:rsidR="00E275A4" w:rsidRPr="00DB254B">
        <w:rPr>
          <w:i/>
          <w:sz w:val="22"/>
          <w:szCs w:val="22"/>
        </w:rPr>
        <w:t xml:space="preserve">principal </w:t>
      </w:r>
      <w:r w:rsidR="00A77A92" w:rsidRPr="00DB254B">
        <w:rPr>
          <w:i/>
          <w:sz w:val="22"/>
          <w:szCs w:val="22"/>
        </w:rPr>
        <w:t xml:space="preserve">de </w:t>
      </w:r>
      <w:r w:rsidR="00B34A4C" w:rsidRPr="0024250F">
        <w:rPr>
          <w:i/>
          <w:sz w:val="22"/>
          <w:szCs w:val="22"/>
        </w:rPr>
        <w:t>R</w:t>
      </w:r>
      <w:r w:rsidR="00B707E9" w:rsidRPr="0024250F">
        <w:rPr>
          <w:i/>
          <w:sz w:val="22"/>
          <w:szCs w:val="22"/>
        </w:rPr>
        <w:t xml:space="preserve">$ </w:t>
      </w:r>
      <w:r w:rsidR="004F6784">
        <w:rPr>
          <w:i/>
          <w:sz w:val="22"/>
          <w:szCs w:val="22"/>
        </w:rPr>
        <w:t xml:space="preserve">35.000.000,00 (trinta e cinco milhões de reais) </w:t>
      </w:r>
      <w:r w:rsidR="004F6784" w:rsidRPr="000A2A18">
        <w:rPr>
          <w:b/>
          <w:bCs/>
          <w:i/>
          <w:sz w:val="22"/>
          <w:szCs w:val="22"/>
          <w:highlight w:val="yellow"/>
        </w:rPr>
        <w:t>OU</w:t>
      </w:r>
      <w:r w:rsidR="004F6784">
        <w:rPr>
          <w:i/>
          <w:sz w:val="22"/>
          <w:szCs w:val="22"/>
        </w:rPr>
        <w:t xml:space="preserve"> R$ 18.000.000,00 (dezoito milhões de reais)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57FB2C0B" w:rsidR="00DA6C48" w:rsidRPr="00760BB3" w:rsidRDefault="003B4623" w:rsidP="00760BB3">
      <w:pPr>
        <w:spacing w:line="300" w:lineRule="auto"/>
        <w:jc w:val="both"/>
        <w:rPr>
          <w:sz w:val="22"/>
          <w:szCs w:val="22"/>
        </w:rPr>
      </w:pPr>
      <w:r w:rsidRPr="00760BB3">
        <w:rPr>
          <w:b/>
          <w:sz w:val="22"/>
          <w:szCs w:val="22"/>
        </w:rPr>
        <w:lastRenderedPageBreak/>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os</w:t>
      </w:r>
      <w:r w:rsidR="002E640B" w:rsidRPr="00760BB3">
        <w:rPr>
          <w:sz w:val="22"/>
          <w:szCs w:val="22"/>
        </w:rPr>
        <w:t xml:space="preserve"> </w:t>
      </w:r>
      <w:r w:rsidR="006D49D8" w:rsidRPr="00760BB3">
        <w:rPr>
          <w:sz w:val="22"/>
          <w:szCs w:val="22"/>
        </w:rPr>
        <w:t>Fiduciante</w:t>
      </w:r>
      <w:r w:rsidR="002E640B">
        <w:rPr>
          <w:sz w:val="22"/>
          <w:szCs w:val="22"/>
        </w:rPr>
        <w:t>s</w:t>
      </w:r>
      <w:r w:rsidR="00201D12">
        <w:rPr>
          <w:sz w:val="22"/>
          <w:szCs w:val="22"/>
        </w:rPr>
        <w:t xml:space="preserve"> e/ou da Sociedade</w:t>
      </w:r>
      <w:r w:rsidR="006D49D8" w:rsidRPr="00760BB3">
        <w:rPr>
          <w:sz w:val="22"/>
          <w:szCs w:val="22"/>
        </w:rPr>
        <w:t xml:space="preserve">. </w:t>
      </w:r>
      <w:r w:rsidR="002E640B">
        <w:rPr>
          <w:sz w:val="22"/>
          <w:szCs w:val="22"/>
        </w:rPr>
        <w:t>Os</w:t>
      </w:r>
      <w:r w:rsidR="002E640B" w:rsidRPr="00760BB3">
        <w:rPr>
          <w:sz w:val="22"/>
          <w:szCs w:val="22"/>
        </w:rPr>
        <w:t xml:space="preserve"> </w:t>
      </w:r>
      <w:r w:rsidRPr="00760BB3">
        <w:rPr>
          <w:sz w:val="22"/>
          <w:szCs w:val="22"/>
        </w:rPr>
        <w:t>Fiduciante</w:t>
      </w:r>
      <w:r w:rsidR="002E640B">
        <w:rPr>
          <w:sz w:val="22"/>
          <w:szCs w:val="22"/>
        </w:rPr>
        <w:t>s</w:t>
      </w:r>
      <w:r w:rsidRPr="00760BB3">
        <w:rPr>
          <w:sz w:val="22"/>
          <w:szCs w:val="22"/>
        </w:rPr>
        <w:t xml:space="preserve"> </w:t>
      </w:r>
      <w:r w:rsidR="002E640B" w:rsidRPr="00760BB3">
        <w:rPr>
          <w:sz w:val="22"/>
          <w:szCs w:val="22"/>
        </w:rPr>
        <w:t>dever</w:t>
      </w:r>
      <w:r w:rsidR="002E640B">
        <w:rPr>
          <w:sz w:val="22"/>
          <w:szCs w:val="22"/>
        </w:rPr>
        <w:t>ão</w:t>
      </w:r>
      <w:r w:rsidR="002E640B"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59D57B3C"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pelos Fiduciantes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0E75D0D3"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os</w:t>
      </w:r>
      <w:r w:rsidR="00797D2E" w:rsidRPr="00760BB3">
        <w:rPr>
          <w:sz w:val="22"/>
          <w:szCs w:val="22"/>
        </w:rPr>
        <w:t xml:space="preserve"> </w:t>
      </w:r>
      <w:r w:rsidR="00C64120" w:rsidRPr="00760BB3">
        <w:rPr>
          <w:sz w:val="22"/>
          <w:szCs w:val="22"/>
        </w:rPr>
        <w:t>Fiduciante</w:t>
      </w:r>
      <w:r w:rsidR="00797D2E">
        <w:rPr>
          <w:sz w:val="22"/>
          <w:szCs w:val="22"/>
        </w:rPr>
        <w:t>s</w:t>
      </w:r>
      <w:r w:rsidR="00C64120" w:rsidRPr="00760BB3">
        <w:rPr>
          <w:sz w:val="22"/>
          <w:szCs w:val="22"/>
        </w:rPr>
        <w:t xml:space="preserve"> </w:t>
      </w:r>
      <w:r w:rsidR="00797D2E" w:rsidRPr="00760BB3">
        <w:rPr>
          <w:sz w:val="22"/>
          <w:szCs w:val="22"/>
        </w:rPr>
        <w:t>poder</w:t>
      </w:r>
      <w:r w:rsidR="00797D2E">
        <w:rPr>
          <w:sz w:val="22"/>
          <w:szCs w:val="22"/>
        </w:rPr>
        <w:t>ão</w:t>
      </w:r>
      <w:r w:rsidR="00797D2E"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Os</w:t>
      </w:r>
      <w:r w:rsidR="00797D2E" w:rsidRPr="00760BB3">
        <w:rPr>
          <w:sz w:val="22"/>
          <w:szCs w:val="22"/>
        </w:rPr>
        <w:t xml:space="preserve"> </w:t>
      </w:r>
      <w:r w:rsidR="00AF5D78" w:rsidRPr="00760BB3">
        <w:rPr>
          <w:sz w:val="22"/>
          <w:szCs w:val="22"/>
        </w:rPr>
        <w:t>Fiduciante</w:t>
      </w:r>
      <w:r w:rsidR="00797D2E">
        <w:rPr>
          <w:sz w:val="22"/>
          <w:szCs w:val="22"/>
        </w:rPr>
        <w:t>s</w:t>
      </w:r>
      <w:r w:rsidR="00AF5D78" w:rsidRPr="00760BB3">
        <w:rPr>
          <w:sz w:val="22"/>
          <w:szCs w:val="22"/>
        </w:rPr>
        <w:t xml:space="preserve"> obriga</w:t>
      </w:r>
      <w:r w:rsidR="00797D2E">
        <w:rPr>
          <w:sz w:val="22"/>
          <w:szCs w:val="22"/>
        </w:rPr>
        <w:t>m</w:t>
      </w:r>
      <w:r w:rsidR="00AF5D78" w:rsidRPr="00760BB3">
        <w:rPr>
          <w:sz w:val="22"/>
          <w:szCs w:val="22"/>
        </w:rPr>
        <w:t>-se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35F6605D"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os</w:t>
      </w:r>
      <w:r w:rsidR="00022781" w:rsidRPr="0031579E">
        <w:rPr>
          <w:sz w:val="22"/>
          <w:szCs w:val="22"/>
        </w:rPr>
        <w:t xml:space="preserve"> </w:t>
      </w:r>
      <w:r w:rsidRPr="0031579E">
        <w:rPr>
          <w:sz w:val="22"/>
          <w:szCs w:val="22"/>
        </w:rPr>
        <w:t>Fiduciante</w:t>
      </w:r>
      <w:r w:rsidR="00022781">
        <w:rPr>
          <w:sz w:val="22"/>
          <w:szCs w:val="22"/>
        </w:rPr>
        <w:t>s</w:t>
      </w:r>
      <w:r w:rsidRPr="0031579E">
        <w:rPr>
          <w:sz w:val="22"/>
          <w:szCs w:val="22"/>
        </w:rPr>
        <w:t>,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2F496BA7" w:rsidR="004017F8" w:rsidRDefault="004017F8" w:rsidP="00D6348B">
      <w:pPr>
        <w:pStyle w:val="PargrafodaLista"/>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lastRenderedPageBreak/>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4A21B447" w:rsidR="004017F8" w:rsidRDefault="0029200A" w:rsidP="00316E38">
      <w:pPr>
        <w:pStyle w:val="PargrafodaLista"/>
        <w:numPr>
          <w:ilvl w:val="1"/>
          <w:numId w:val="51"/>
        </w:numPr>
        <w:tabs>
          <w:tab w:val="left" w:pos="567"/>
        </w:tabs>
        <w:spacing w:line="300" w:lineRule="auto"/>
        <w:ind w:left="567" w:hanging="567"/>
        <w:jc w:val="both"/>
        <w:rPr>
          <w:sz w:val="22"/>
          <w:szCs w:val="22"/>
        </w:rPr>
      </w:pPr>
      <w:r>
        <w:rPr>
          <w:sz w:val="22"/>
          <w:szCs w:val="22"/>
        </w:rPr>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73577C0D" w14:textId="12036DB3" w:rsidR="00710F07" w:rsidRDefault="00710F07" w:rsidP="00710F07">
      <w:pPr>
        <w:pStyle w:val="PargrafodaLista"/>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PargrafodaLista"/>
        <w:rPr>
          <w:sz w:val="22"/>
          <w:szCs w:val="22"/>
        </w:rPr>
      </w:pPr>
    </w:p>
    <w:p w14:paraId="038C18EE" w14:textId="1CC4F943"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pelos Fiduciantes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450F3694"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74F951A" w:rsidR="00843037" w:rsidRDefault="00BE7FB1" w:rsidP="00843037">
      <w:pPr>
        <w:pStyle w:val="PargrafodaLista"/>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PargrafodaLista"/>
        <w:numPr>
          <w:ilvl w:val="1"/>
          <w:numId w:val="51"/>
        </w:numPr>
        <w:tabs>
          <w:tab w:val="left" w:pos="567"/>
        </w:tabs>
        <w:spacing w:line="300" w:lineRule="auto"/>
        <w:ind w:left="567" w:hanging="567"/>
        <w:jc w:val="both"/>
        <w:rPr>
          <w:sz w:val="22"/>
          <w:szCs w:val="22"/>
        </w:rPr>
      </w:pPr>
      <w:r>
        <w:rPr>
          <w:sz w:val="22"/>
          <w:szCs w:val="22"/>
        </w:rPr>
        <w:t>a</w:t>
      </w:r>
      <w:r w:rsidR="00245998" w:rsidRPr="005B63F5">
        <w:rPr>
          <w:sz w:val="22"/>
          <w:szCs w:val="22"/>
        </w:rPr>
        <w:t xml:space="preserve">lienação,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xml:space="preserve">, de ativos, inclusive </w:t>
      </w:r>
      <w:r w:rsidR="00245998" w:rsidRPr="005B63F5">
        <w:rPr>
          <w:sz w:val="22"/>
          <w:szCs w:val="22"/>
        </w:rPr>
        <w:lastRenderedPageBreak/>
        <w:t>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PargrafodaLista"/>
        <w:rPr>
          <w:sz w:val="22"/>
          <w:szCs w:val="22"/>
        </w:rPr>
      </w:pPr>
    </w:p>
    <w:p w14:paraId="3B6D48EB" w14:textId="44BC1449"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PargrafodaLista"/>
        <w:rPr>
          <w:sz w:val="22"/>
          <w:szCs w:val="22"/>
        </w:rPr>
      </w:pPr>
    </w:p>
    <w:p w14:paraId="7E622919" w14:textId="19802672" w:rsidR="00C73DF4" w:rsidRDefault="00C73DF4" w:rsidP="00C73DF4">
      <w:pPr>
        <w:pStyle w:val="PargrafodaLista"/>
        <w:numPr>
          <w:ilvl w:val="1"/>
          <w:numId w:val="51"/>
        </w:numPr>
        <w:tabs>
          <w:tab w:val="left" w:pos="567"/>
        </w:tabs>
        <w:spacing w:line="300" w:lineRule="auto"/>
        <w:ind w:left="567" w:hanging="567"/>
        <w:jc w:val="both"/>
        <w:rPr>
          <w:sz w:val="22"/>
          <w:szCs w:val="22"/>
        </w:rPr>
      </w:pPr>
      <w:r w:rsidRPr="00C73DF4">
        <w:rPr>
          <w:sz w:val="22"/>
          <w:szCs w:val="22"/>
        </w:rPr>
        <w:t>renúncia a direitos que causem um efeito adverso relevante, desistência de pretensões ou cancelamento de créditos e/ou de recebíveis;</w:t>
      </w:r>
    </w:p>
    <w:p w14:paraId="60224F0B" w14:textId="77777777" w:rsidR="00C73DF4" w:rsidRPr="00635A1F" w:rsidRDefault="00C73DF4" w:rsidP="00635A1F">
      <w:pPr>
        <w:pStyle w:val="PargrafodaLista"/>
        <w:tabs>
          <w:tab w:val="left" w:pos="567"/>
        </w:tabs>
        <w:spacing w:line="300" w:lineRule="auto"/>
        <w:ind w:left="567"/>
        <w:jc w:val="both"/>
        <w:rPr>
          <w:sz w:val="22"/>
          <w:szCs w:val="22"/>
        </w:rPr>
      </w:pPr>
    </w:p>
    <w:p w14:paraId="338F6286" w14:textId="77777777" w:rsidR="00C73DF4" w:rsidRPr="00C73DF4" w:rsidRDefault="00C73DF4" w:rsidP="00635A1F">
      <w:pPr>
        <w:pStyle w:val="PargrafodaLista"/>
        <w:numPr>
          <w:ilvl w:val="1"/>
          <w:numId w:val="51"/>
        </w:numPr>
        <w:tabs>
          <w:tab w:val="left" w:pos="567"/>
        </w:tabs>
        <w:spacing w:line="300" w:lineRule="auto"/>
        <w:ind w:left="567" w:hanging="567"/>
        <w:jc w:val="both"/>
        <w:rPr>
          <w:sz w:val="22"/>
          <w:szCs w:val="22"/>
        </w:rPr>
      </w:pPr>
      <w:r w:rsidRPr="00C73DF4">
        <w:rPr>
          <w:sz w:val="22"/>
          <w:szCs w:val="22"/>
        </w:rPr>
        <w:t>aquisição de controle de outras sociedades;</w:t>
      </w:r>
    </w:p>
    <w:p w14:paraId="1EC3702B" w14:textId="77777777" w:rsidR="00C73DF4" w:rsidRPr="00C73DF4" w:rsidRDefault="00C73DF4" w:rsidP="00635A1F">
      <w:pPr>
        <w:pStyle w:val="PargrafodaLista"/>
        <w:tabs>
          <w:tab w:val="left" w:pos="567"/>
        </w:tabs>
        <w:spacing w:line="300" w:lineRule="auto"/>
        <w:ind w:left="567"/>
        <w:jc w:val="both"/>
        <w:rPr>
          <w:sz w:val="22"/>
          <w:szCs w:val="22"/>
        </w:rPr>
      </w:pPr>
    </w:p>
    <w:p w14:paraId="7E631B3E" w14:textId="0F238CB3" w:rsidR="00C73DF4" w:rsidRPr="00C73DF4" w:rsidRDefault="004A3781" w:rsidP="00C73DF4">
      <w:pPr>
        <w:pStyle w:val="PargrafodaLista"/>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r w:rsidR="00C73DF4" w:rsidRPr="00C73DF4">
        <w:rPr>
          <w:sz w:val="22"/>
          <w:szCs w:val="22"/>
        </w:rPr>
        <w:t>qualquer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635A1F">
      <w:pPr>
        <w:pStyle w:val="PargrafodaLista"/>
        <w:numPr>
          <w:ilvl w:val="1"/>
          <w:numId w:val="51"/>
        </w:numPr>
        <w:tabs>
          <w:tab w:val="left" w:pos="567"/>
          <w:tab w:val="left" w:pos="993"/>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62D0854A" w:rsidR="00CC4BCE" w:rsidRDefault="005E4F87" w:rsidP="00635A1F">
      <w:pPr>
        <w:pStyle w:val="PargrafodaLista"/>
        <w:numPr>
          <w:ilvl w:val="1"/>
          <w:numId w:val="51"/>
        </w:numPr>
        <w:tabs>
          <w:tab w:val="left" w:pos="567"/>
          <w:tab w:val="left" w:pos="709"/>
          <w:tab w:val="left" w:pos="851"/>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CFBA4BC"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2CEB7559"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os </w:t>
      </w:r>
      <w:r w:rsidRPr="00760BB3">
        <w:rPr>
          <w:rFonts w:ascii="Times New Roman" w:hAnsi="Times New Roman"/>
          <w:b w:val="0"/>
          <w:sz w:val="22"/>
          <w:szCs w:val="22"/>
        </w:rPr>
        <w:t>Fiduciante</w:t>
      </w:r>
      <w:r w:rsidR="007441DF">
        <w:rPr>
          <w:rFonts w:ascii="Times New Roman" w:hAnsi="Times New Roman"/>
          <w:b w:val="0"/>
          <w:sz w:val="22"/>
          <w:szCs w:val="22"/>
        </w:rPr>
        <w:t>s</w:t>
      </w:r>
      <w:r w:rsidRPr="00760BB3">
        <w:rPr>
          <w:rFonts w:ascii="Times New Roman" w:hAnsi="Times New Roman"/>
          <w:b w:val="0"/>
          <w:sz w:val="22"/>
          <w:szCs w:val="22"/>
        </w:rPr>
        <w:t xml:space="preserv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6373F9E6"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Os </w:t>
      </w:r>
      <w:r w:rsidR="00033D16" w:rsidRPr="00760BB3">
        <w:rPr>
          <w:rFonts w:ascii="Times New Roman" w:hAnsi="Times New Roman"/>
          <w:b w:val="0"/>
          <w:sz w:val="22"/>
          <w:szCs w:val="22"/>
        </w:rPr>
        <w:t>Fiduciante</w:t>
      </w:r>
      <w:r w:rsidR="00EE223C">
        <w:rPr>
          <w:rFonts w:ascii="Times New Roman" w:hAnsi="Times New Roman"/>
          <w:b w:val="0"/>
          <w:sz w:val="22"/>
          <w:szCs w:val="22"/>
        </w:rPr>
        <w:t>s</w:t>
      </w:r>
      <w:r w:rsidR="00033D16" w:rsidRPr="00760BB3">
        <w:rPr>
          <w:rFonts w:ascii="Times New Roman" w:hAnsi="Times New Roman"/>
          <w:b w:val="0"/>
          <w:sz w:val="22"/>
          <w:szCs w:val="22"/>
        </w:rPr>
        <w:t xml:space="preserve"> se obriga</w:t>
      </w:r>
      <w:r w:rsidR="00EE223C">
        <w:rPr>
          <w:rFonts w:ascii="Times New Roman" w:hAnsi="Times New Roman"/>
          <w:b w:val="0"/>
          <w:sz w:val="22"/>
          <w:szCs w:val="22"/>
        </w:rPr>
        <w:t>m</w:t>
      </w:r>
      <w:r w:rsidR="00033D16" w:rsidRPr="00760BB3">
        <w:rPr>
          <w:rFonts w:ascii="Times New Roman" w:hAnsi="Times New Roman"/>
          <w:b w:val="0"/>
          <w:sz w:val="22"/>
          <w:szCs w:val="22"/>
        </w:rPr>
        <w:t xml:space="preserve">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7866594C"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w:t>
      </w:r>
      <w:r w:rsidRPr="00852057">
        <w:rPr>
          <w:rFonts w:ascii="Times New Roman" w:hAnsi="Times New Roman"/>
          <w:b w:val="0"/>
          <w:sz w:val="22"/>
          <w:szCs w:val="22"/>
        </w:rPr>
        <w:lastRenderedPageBreak/>
        <w:t xml:space="preserve">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s </w:t>
      </w:r>
      <w:r w:rsidRPr="00852057">
        <w:rPr>
          <w:rFonts w:ascii="Times New Roman" w:hAnsi="Times New Roman"/>
          <w:b w:val="0"/>
          <w:sz w:val="22"/>
          <w:szCs w:val="22"/>
        </w:rPr>
        <w:t xml:space="preserve">Fiduciantes não poderão,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667434" w:rsidRPr="00852057">
        <w:rPr>
          <w:rFonts w:ascii="Times New Roman" w:hAnsi="Times New Roman"/>
          <w:b w:val="0"/>
          <w:sz w:val="22"/>
          <w:szCs w:val="22"/>
        </w:rPr>
        <w:t>d</w:t>
      </w:r>
      <w:r w:rsidR="00667434">
        <w:rPr>
          <w:rFonts w:ascii="Times New Roman" w:hAnsi="Times New Roman"/>
          <w:b w:val="0"/>
          <w:sz w:val="22"/>
          <w:szCs w:val="22"/>
        </w:rPr>
        <w:t>a</w:t>
      </w:r>
      <w:r w:rsidR="00667434" w:rsidRPr="00852057">
        <w:rPr>
          <w:rFonts w:ascii="Times New Roman" w:hAnsi="Times New Roman"/>
          <w:b w:val="0"/>
          <w:sz w:val="22"/>
          <w:szCs w:val="22"/>
        </w:rPr>
        <w:t xml:space="preserve">s </w:t>
      </w:r>
      <w:r w:rsidR="00667434">
        <w:rPr>
          <w:rFonts w:ascii="Times New Roman" w:hAnsi="Times New Roman"/>
          <w:b w:val="0"/>
          <w:sz w:val="22"/>
          <w:szCs w:val="22"/>
        </w:rPr>
        <w:t>Notas Comerciais</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776749">
        <w:rPr>
          <w:rFonts w:ascii="Times New Roman" w:hAnsi="Times New Roman"/>
          <w:b w:val="0"/>
          <w:sz w:val="22"/>
          <w:szCs w:val="22"/>
        </w:rPr>
        <w:t>Instrumento de Emissão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052CA65C"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70B979F5" w:rsidR="006B2328" w:rsidRDefault="006B2328" w:rsidP="00112374">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Corpodetexto2"/>
        <w:spacing w:line="300" w:lineRule="auto"/>
        <w:rPr>
          <w:rFonts w:ascii="Times New Roman" w:hAnsi="Times New Roman"/>
          <w:b w:val="0"/>
          <w:sz w:val="22"/>
          <w:szCs w:val="22"/>
        </w:rPr>
      </w:pPr>
    </w:p>
    <w:p w14:paraId="36663B91" w14:textId="77777777" w:rsidR="003B4CB3" w:rsidRPr="00760BB3" w:rsidRDefault="00FF1842" w:rsidP="00112374">
      <w:pPr>
        <w:pStyle w:val="Ttulo5"/>
        <w:spacing w:line="300" w:lineRule="auto"/>
        <w:ind w:left="0"/>
        <w:jc w:val="both"/>
        <w:rPr>
          <w:rFonts w:ascii="Times New Roman" w:hAnsi="Times New Roman"/>
          <w:sz w:val="22"/>
          <w:szCs w:val="22"/>
          <w:lang w:val="pt-BR"/>
        </w:rPr>
      </w:pPr>
      <w:bookmarkStart w:id="19"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2532B7FF"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aos</w:t>
      </w:r>
      <w:r w:rsidR="00276F75" w:rsidRPr="001443FC">
        <w:rPr>
          <w:bCs/>
          <w:sz w:val="22"/>
          <w:szCs w:val="22"/>
        </w:rPr>
        <w:t xml:space="preserve"> </w:t>
      </w:r>
      <w:r w:rsidR="00432AE5" w:rsidRPr="001443FC">
        <w:rPr>
          <w:bCs/>
          <w:sz w:val="22"/>
          <w:szCs w:val="22"/>
        </w:rPr>
        <w:t>Fiduciante</w:t>
      </w:r>
      <w:r w:rsidR="00276F75">
        <w:rPr>
          <w:bCs/>
          <w:sz w:val="22"/>
          <w:szCs w:val="22"/>
        </w:rPr>
        <w:t>s</w:t>
      </w:r>
      <w:r w:rsidR="00432AE5" w:rsidRPr="001443FC">
        <w:rPr>
          <w:bCs/>
          <w:sz w:val="22"/>
          <w:szCs w:val="22"/>
        </w:rPr>
        <w:t xml:space="preserve">, se houver, o saldo </w:t>
      </w:r>
      <w:r w:rsidR="00432AE5" w:rsidRPr="001443FC">
        <w:rPr>
          <w:bCs/>
          <w:sz w:val="22"/>
          <w:szCs w:val="22"/>
        </w:rPr>
        <w:lastRenderedPageBreak/>
        <w:t>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18085AFE"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aos</w:t>
      </w:r>
      <w:r w:rsidR="00276F75" w:rsidRPr="0031579E">
        <w:rPr>
          <w:bCs/>
          <w:sz w:val="22"/>
          <w:szCs w:val="22"/>
        </w:rPr>
        <w:t xml:space="preserve"> </w:t>
      </w:r>
      <w:r w:rsidR="00195E21" w:rsidRPr="0031579E">
        <w:rPr>
          <w:bCs/>
          <w:sz w:val="22"/>
          <w:szCs w:val="22"/>
        </w:rPr>
        <w:t xml:space="preserve">Fiduciantes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os</w:t>
      </w:r>
      <w:r w:rsidR="00933807" w:rsidRPr="0031579E">
        <w:rPr>
          <w:bCs/>
          <w:sz w:val="22"/>
          <w:szCs w:val="22"/>
        </w:rPr>
        <w:t xml:space="preserve"> </w:t>
      </w:r>
      <w:r w:rsidR="00195E21" w:rsidRPr="0031579E">
        <w:rPr>
          <w:bCs/>
          <w:sz w:val="22"/>
          <w:szCs w:val="22"/>
        </w:rPr>
        <w:t>Fiduciantes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277DA1EE"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os</w:t>
      </w:r>
      <w:r w:rsidR="00933807" w:rsidRPr="00760BB3">
        <w:rPr>
          <w:sz w:val="22"/>
          <w:szCs w:val="22"/>
        </w:rPr>
        <w:t xml:space="preserve"> </w:t>
      </w:r>
      <w:r w:rsidR="005D45F1" w:rsidRPr="00760BB3">
        <w:rPr>
          <w:sz w:val="22"/>
          <w:szCs w:val="22"/>
        </w:rPr>
        <w:t>Fiduciante</w:t>
      </w:r>
      <w:r w:rsidR="00933807">
        <w:rPr>
          <w:sz w:val="22"/>
          <w:szCs w:val="22"/>
        </w:rPr>
        <w:t>s</w:t>
      </w:r>
      <w:r w:rsidR="005D45F1" w:rsidRPr="00760BB3">
        <w:rPr>
          <w:sz w:val="22"/>
          <w:szCs w:val="22"/>
        </w:rPr>
        <w:t>,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03710E7D"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os</w:t>
      </w:r>
      <w:r w:rsidR="00933807" w:rsidRPr="00760BB3">
        <w:rPr>
          <w:sz w:val="22"/>
          <w:szCs w:val="22"/>
        </w:rPr>
        <w:t xml:space="preserve"> </w:t>
      </w:r>
      <w:r w:rsidR="00893866" w:rsidRPr="00760BB3">
        <w:rPr>
          <w:sz w:val="22"/>
          <w:szCs w:val="22"/>
        </w:rPr>
        <w:t>Fiduciante</w:t>
      </w:r>
      <w:r w:rsidR="00933807">
        <w:rPr>
          <w:sz w:val="22"/>
          <w:szCs w:val="22"/>
        </w:rPr>
        <w:t>s</w:t>
      </w:r>
      <w:r w:rsidR="00893866" w:rsidRPr="00760BB3">
        <w:rPr>
          <w:sz w:val="22"/>
          <w:szCs w:val="22"/>
        </w:rPr>
        <w:t xml:space="preserve"> </w:t>
      </w:r>
      <w:r w:rsidR="00F108EA" w:rsidRPr="00760BB3">
        <w:rPr>
          <w:sz w:val="22"/>
          <w:szCs w:val="22"/>
        </w:rPr>
        <w:t>confere</w:t>
      </w:r>
      <w:r w:rsidR="00F108EA">
        <w:rPr>
          <w:sz w:val="22"/>
          <w:szCs w:val="22"/>
        </w:rPr>
        <w:t>m</w:t>
      </w:r>
      <w:r w:rsidR="00F108EA" w:rsidRPr="00760BB3">
        <w:rPr>
          <w:sz w:val="22"/>
          <w:szCs w:val="22"/>
        </w:rPr>
        <w:t xml:space="preserv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os Fiduciantes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os Fiduciantes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os</w:t>
      </w:r>
      <w:r w:rsidR="00B67926" w:rsidRPr="00760BB3">
        <w:rPr>
          <w:sz w:val="22"/>
          <w:szCs w:val="22"/>
        </w:rPr>
        <w:t xml:space="preserve"> </w:t>
      </w:r>
      <w:r w:rsidR="00893866" w:rsidRPr="00760BB3">
        <w:rPr>
          <w:sz w:val="22"/>
          <w:szCs w:val="22"/>
        </w:rPr>
        <w:t>Fiduciante</w:t>
      </w:r>
      <w:r w:rsidR="001D5B88">
        <w:rPr>
          <w:sz w:val="22"/>
          <w:szCs w:val="22"/>
        </w:rPr>
        <w:t>s</w:t>
      </w:r>
      <w:r w:rsidR="00893866" w:rsidRPr="00760BB3">
        <w:rPr>
          <w:sz w:val="22"/>
          <w:szCs w:val="22"/>
        </w:rPr>
        <w:t xml:space="preserve"> firma</w:t>
      </w:r>
      <w:r w:rsidR="001D5B88">
        <w:rPr>
          <w:sz w:val="22"/>
          <w:szCs w:val="22"/>
        </w:rPr>
        <w:t>m</w:t>
      </w:r>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42F470D8"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a Sociedade e cada um dos Fiduciantes</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2F2ABE12"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r w:rsidR="00951DBC">
        <w:rPr>
          <w:bCs/>
          <w:sz w:val="22"/>
          <w:szCs w:val="22"/>
        </w:rPr>
        <w:t>[</w:t>
      </w:r>
      <w:r w:rsidR="00951DBC" w:rsidRPr="00635A1F">
        <w:rPr>
          <w:b/>
          <w:sz w:val="22"/>
          <w:szCs w:val="22"/>
          <w:highlight w:val="yellow"/>
        </w:rPr>
        <w:t xml:space="preserve">Nota DC: se formos seguir com 2 contratos, importante ficar claro que a excussão de 1 AF </w:t>
      </w:r>
      <w:r w:rsidR="00951DBC" w:rsidRPr="00635A1F">
        <w:rPr>
          <w:b/>
          <w:sz w:val="22"/>
          <w:szCs w:val="22"/>
          <w:highlight w:val="yellow"/>
        </w:rPr>
        <w:lastRenderedPageBreak/>
        <w:t xml:space="preserve">não quita a integralidade das obrigações garantidas, de modo que caso haja a excussão de uma das </w:t>
      </w:r>
      <w:proofErr w:type="spellStart"/>
      <w:r w:rsidR="00951DBC" w:rsidRPr="00635A1F">
        <w:rPr>
          <w:b/>
          <w:sz w:val="22"/>
          <w:szCs w:val="22"/>
          <w:highlight w:val="yellow"/>
        </w:rPr>
        <w:t>AFs</w:t>
      </w:r>
      <w:proofErr w:type="spellEnd"/>
      <w:r w:rsidR="00951DBC" w:rsidRPr="00635A1F">
        <w:rPr>
          <w:b/>
          <w:sz w:val="22"/>
          <w:szCs w:val="22"/>
          <w:highlight w:val="yellow"/>
        </w:rPr>
        <w:t xml:space="preserve"> e não haja quitação integral das OG, as devedoras/fiadores continuarão obrigados e as demais garantias válidas</w:t>
      </w:r>
      <w:r w:rsidR="00951DBC">
        <w:rPr>
          <w:bCs/>
          <w:sz w:val="22"/>
          <w:szCs w:val="22"/>
        </w:rPr>
        <w:t>]</w:t>
      </w:r>
      <w:r w:rsidR="00C02FBC">
        <w:rPr>
          <w:bCs/>
          <w:sz w:val="22"/>
          <w:szCs w:val="22"/>
        </w:rPr>
        <w:t>[</w:t>
      </w:r>
      <w:r w:rsidR="00C02FBC" w:rsidRPr="00635A1F">
        <w:rPr>
          <w:b/>
          <w:sz w:val="22"/>
          <w:szCs w:val="22"/>
          <w:highlight w:val="yellow"/>
        </w:rPr>
        <w:t>Nota Coelho Advogados: Previsão constante da cláusula 6.6 abaixo</w:t>
      </w:r>
      <w:r w:rsidR="00C02FBC">
        <w:rPr>
          <w:bCs/>
          <w:sz w:val="22"/>
          <w:szCs w:val="22"/>
        </w:rPr>
        <w:t>]</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7FC8CCE6"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Pr="00CE0315">
        <w:rPr>
          <w:sz w:val="22"/>
          <w:szCs w:val="22"/>
        </w:rPr>
        <w:t>s Fiduciantes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0F3B04D1"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s </w:t>
      </w:r>
      <w:r w:rsidRPr="00CE0315">
        <w:rPr>
          <w:sz w:val="22"/>
          <w:szCs w:val="22"/>
        </w:rPr>
        <w:t xml:space="preserve">Fiduciantes, ou por terceiros em nome </w:t>
      </w:r>
      <w:r w:rsidR="00DC4E69" w:rsidRPr="00CE0315">
        <w:rPr>
          <w:sz w:val="22"/>
          <w:szCs w:val="22"/>
        </w:rPr>
        <w:t>d</w:t>
      </w:r>
      <w:r w:rsidR="00DC4E69">
        <w:rPr>
          <w:sz w:val="22"/>
          <w:szCs w:val="22"/>
        </w:rPr>
        <w:t>o</w:t>
      </w:r>
      <w:r w:rsidR="00DC4E69" w:rsidRPr="00CE0315">
        <w:rPr>
          <w:sz w:val="22"/>
          <w:szCs w:val="22"/>
        </w:rPr>
        <w:t xml:space="preserve">s </w:t>
      </w:r>
      <w:r w:rsidRPr="00CE0315">
        <w:rPr>
          <w:sz w:val="22"/>
          <w:szCs w:val="22"/>
        </w:rPr>
        <w:t>Fiduciantes, observadas as disposições do Contrato de Cessão 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07FC8B89" w:rsidR="00EB3134" w:rsidRPr="005B63F5" w:rsidRDefault="00EB3134" w:rsidP="005B63F5">
      <w:pPr>
        <w:spacing w:line="300" w:lineRule="auto"/>
        <w:jc w:val="both"/>
        <w:rPr>
          <w:sz w:val="22"/>
          <w:szCs w:val="22"/>
        </w:rPr>
      </w:pPr>
      <w:bookmarkStart w:id="20"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as Fiduciantes ficarão obrigadas a, mediante aviso ou notificação da Fiduciária, reforçá-la ou substituí-la, total ou parcialmente, por bens adicionais, sem qualquer ônus, no prazo de até 15 (quinze) Dias Úteis, </w:t>
      </w:r>
      <w:bookmarkStart w:id="21" w:name="_Hlk31933237"/>
      <w:r w:rsidRPr="005B63F5">
        <w:rPr>
          <w:sz w:val="22"/>
          <w:szCs w:val="22"/>
        </w:rPr>
        <w:t xml:space="preserve">os quais serão submetidos à deliberação </w:t>
      </w:r>
      <w:bookmarkEnd w:id="21"/>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20"/>
      <w:r w:rsidR="00D266E9">
        <w:rPr>
          <w:sz w:val="22"/>
          <w:szCs w:val="22"/>
        </w:rPr>
        <w:t>[</w:t>
      </w:r>
      <w:r w:rsidR="00D266E9" w:rsidRPr="00635A1F">
        <w:rPr>
          <w:b/>
          <w:bCs/>
          <w:sz w:val="22"/>
          <w:szCs w:val="22"/>
          <w:highlight w:val="yellow"/>
        </w:rPr>
        <w:t>Nota Virgo:</w:t>
      </w:r>
      <w:r w:rsidR="00504E07" w:rsidRPr="00635A1F">
        <w:rPr>
          <w:b/>
          <w:bCs/>
          <w:sz w:val="22"/>
          <w:szCs w:val="22"/>
          <w:highlight w:val="yellow"/>
        </w:rPr>
        <w:t xml:space="preserve"> Que tipo de bens poderão entrar em substituição? Que diligência será feita?] [Nota Coelho Advogados: eventuais bens apresentados serão objeto de deliberação e aprovação em assembleia</w:t>
      </w:r>
      <w:r w:rsidR="00E46DEE" w:rsidRPr="00635A1F">
        <w:rPr>
          <w:b/>
          <w:bCs/>
          <w:sz w:val="22"/>
          <w:szCs w:val="22"/>
          <w:highlight w:val="yellow"/>
        </w:rPr>
        <w:t>, inclusive no que diz respeito à diligência que deverá ser realizada</w:t>
      </w:r>
      <w:r w:rsidR="00E46DEE">
        <w:rPr>
          <w:sz w:val="22"/>
          <w:szCs w:val="22"/>
        </w:rPr>
        <w:t>]</w:t>
      </w:r>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xml:space="preserve">) desapropriação, confisco ou qualquer outra forma de perda do domínio dos bens objeto da </w:t>
      </w:r>
      <w:r w:rsidRPr="005B63F5">
        <w:rPr>
          <w:sz w:val="22"/>
          <w:szCs w:val="22"/>
        </w:rPr>
        <w:lastRenderedPageBreak/>
        <w:t>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33A4E454"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Sem prejuízo do disposto acima, no caso de qualquer evento de Reforço e Complementação, as Fiduciantes, obrigam-se a prontamente comunicar a Fiduciária de tal ocorrência e, em até 3 (três) Dias 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40469089" w14:textId="77777777" w:rsidR="00EB3134" w:rsidRDefault="00EB3134" w:rsidP="00EB3134">
      <w:pPr>
        <w:spacing w:line="300" w:lineRule="auto"/>
        <w:jc w:val="both"/>
        <w:rPr>
          <w:sz w:val="22"/>
          <w:szCs w:val="22"/>
        </w:rPr>
      </w:pP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5B63F5">
      <w:pPr>
        <w:pStyle w:val="Recuonormal"/>
        <w:pageBreakBefore/>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lastRenderedPageBreak/>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35159A5A"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 xml:space="preserve">estão previstas nos Instrumentos de Emissão e </w:t>
      </w:r>
      <w:r w:rsidR="003B1D63" w:rsidRPr="00760BB3">
        <w:rPr>
          <w:rFonts w:ascii="Times New Roman" w:hAnsi="Times New Roman"/>
          <w:b w:val="0"/>
          <w:sz w:val="22"/>
          <w:szCs w:val="22"/>
          <w:lang w:val="pt-BR"/>
        </w:rPr>
        <w:t xml:space="preserve"> serão aplicadas ao presente instrumento como se estivessem aqui transcritas, </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47AB515D"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Pr>
          <w:rFonts w:ascii="Times New Roman" w:hAnsi="Times New Roman"/>
          <w:sz w:val="22"/>
          <w:szCs w:val="22"/>
          <w:lang w:val="pt-BR"/>
        </w:rPr>
        <w:t>s</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s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w:t>
      </w:r>
      <w:r w:rsidR="00A412FE">
        <w:rPr>
          <w:rFonts w:ascii="Times New Roman" w:hAnsi="Times New Roman"/>
          <w:sz w:val="22"/>
          <w:szCs w:val="22"/>
          <w:lang w:val="pt-BR"/>
        </w:rPr>
        <w:t>m</w:t>
      </w:r>
      <w:r w:rsidR="007A68AD" w:rsidRPr="00760BB3">
        <w:rPr>
          <w:rFonts w:ascii="Times New Roman" w:hAnsi="Times New Roman"/>
          <w:sz w:val="22"/>
          <w:szCs w:val="22"/>
          <w:lang w:val="pt-BR"/>
        </w:rPr>
        <w:t xml:space="preserv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os </w:t>
      </w:r>
      <w:r w:rsidR="001360D0" w:rsidRPr="00760BB3">
        <w:rPr>
          <w:rFonts w:ascii="Times New Roman" w:hAnsi="Times New Roman"/>
          <w:sz w:val="22"/>
          <w:szCs w:val="22"/>
          <w:lang w:val="pt-BR"/>
        </w:rPr>
        <w:t>Fiduciante</w:t>
      </w:r>
      <w:r w:rsidR="00A412FE">
        <w:rPr>
          <w:rFonts w:ascii="Times New Roman" w:hAnsi="Times New Roman"/>
          <w:sz w:val="22"/>
          <w:szCs w:val="22"/>
          <w:lang w:val="pt-BR"/>
        </w:rPr>
        <w:t>s</w:t>
      </w:r>
      <w:r w:rsidR="001360D0" w:rsidRPr="00760BB3">
        <w:rPr>
          <w:rFonts w:ascii="Times New Roman" w:hAnsi="Times New Roman"/>
          <w:sz w:val="22"/>
          <w:szCs w:val="22"/>
          <w:lang w:val="pt-BR"/>
        </w:rPr>
        <w:t xml:space="preserv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3CED7163"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os</w:t>
      </w:r>
      <w:r w:rsidR="000401C8" w:rsidRPr="00760BB3">
        <w:rPr>
          <w:sz w:val="22"/>
          <w:szCs w:val="22"/>
        </w:rPr>
        <w:t xml:space="preserve"> </w:t>
      </w:r>
      <w:r w:rsidR="00851C5A" w:rsidRPr="00760BB3">
        <w:rPr>
          <w:sz w:val="22"/>
          <w:szCs w:val="22"/>
        </w:rPr>
        <w:t>Fiduciante</w:t>
      </w:r>
      <w:r w:rsidR="00762112">
        <w:rPr>
          <w:sz w:val="22"/>
          <w:szCs w:val="22"/>
        </w:rPr>
        <w:t>s</w:t>
      </w:r>
      <w:r w:rsidR="00851C5A" w:rsidRPr="00760BB3">
        <w:rPr>
          <w:sz w:val="22"/>
          <w:szCs w:val="22"/>
        </w:rPr>
        <w:t xml:space="preserve"> </w:t>
      </w:r>
      <w:r w:rsidR="007A68AD" w:rsidRPr="00760BB3">
        <w:rPr>
          <w:sz w:val="22"/>
          <w:szCs w:val="22"/>
        </w:rPr>
        <w:t>descumprir</w:t>
      </w:r>
      <w:r w:rsidR="00762112">
        <w:rPr>
          <w:sz w:val="22"/>
          <w:szCs w:val="22"/>
        </w:rPr>
        <w:t>em</w:t>
      </w:r>
      <w:r w:rsidR="007A68AD" w:rsidRPr="00760BB3">
        <w:rPr>
          <w:sz w:val="22"/>
          <w:szCs w:val="22"/>
        </w:rPr>
        <w:t xml:space="preserve">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os</w:t>
      </w:r>
      <w:r w:rsidR="00073B75" w:rsidRPr="00760BB3">
        <w:rPr>
          <w:sz w:val="22"/>
          <w:szCs w:val="22"/>
        </w:rPr>
        <w:t xml:space="preserve"> </w:t>
      </w:r>
      <w:r w:rsidR="00851C5A" w:rsidRPr="00760BB3">
        <w:rPr>
          <w:sz w:val="22"/>
          <w:szCs w:val="22"/>
        </w:rPr>
        <w:t>Fiduciante</w:t>
      </w:r>
      <w:r w:rsidR="00233430">
        <w:rPr>
          <w:sz w:val="22"/>
          <w:szCs w:val="22"/>
        </w:rPr>
        <w:t>s</w:t>
      </w:r>
      <w:r w:rsidR="007A68AD" w:rsidRPr="00760BB3">
        <w:rPr>
          <w:sz w:val="22"/>
          <w:szCs w:val="22"/>
        </w:rPr>
        <w:t xml:space="preserve"> </w:t>
      </w:r>
      <w:r w:rsidR="00233430" w:rsidRPr="00760BB3">
        <w:rPr>
          <w:sz w:val="22"/>
          <w:szCs w:val="22"/>
        </w:rPr>
        <w:t>ficar</w:t>
      </w:r>
      <w:r w:rsidR="00233430">
        <w:rPr>
          <w:sz w:val="22"/>
          <w:szCs w:val="22"/>
        </w:rPr>
        <w:t>ão</w:t>
      </w:r>
      <w:r w:rsidR="00233430" w:rsidRPr="00760BB3">
        <w:rPr>
          <w:sz w:val="22"/>
          <w:szCs w:val="22"/>
        </w:rPr>
        <w:t xml:space="preserve"> </w:t>
      </w:r>
      <w:r w:rsidR="007F46B2" w:rsidRPr="00760BB3">
        <w:rPr>
          <w:sz w:val="22"/>
          <w:szCs w:val="22"/>
        </w:rPr>
        <w:t>obrigad</w:t>
      </w:r>
      <w:r w:rsidR="007F46B2">
        <w:rPr>
          <w:sz w:val="22"/>
          <w:szCs w:val="22"/>
        </w:rPr>
        <w:t>a</w:t>
      </w:r>
      <w:r w:rsidR="00233430">
        <w:rPr>
          <w:sz w:val="22"/>
          <w:szCs w:val="22"/>
        </w:rPr>
        <w:t>s</w:t>
      </w:r>
      <w:r w:rsidR="007F46B2"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483871C8"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os</w:t>
      </w:r>
      <w:r w:rsidRPr="00760BB3">
        <w:rPr>
          <w:rFonts w:ascii="Times New Roman" w:hAnsi="Times New Roman"/>
          <w:b w:val="0"/>
          <w:sz w:val="22"/>
          <w:szCs w:val="22"/>
        </w:rPr>
        <w:t xml:space="preserve"> </w:t>
      </w:r>
      <w:r w:rsidR="00EF0E8F" w:rsidRPr="00760BB3">
        <w:rPr>
          <w:rFonts w:ascii="Times New Roman" w:hAnsi="Times New Roman"/>
          <w:b w:val="0"/>
          <w:sz w:val="22"/>
          <w:szCs w:val="22"/>
        </w:rPr>
        <w:t>Fiduciante</w:t>
      </w:r>
      <w:r w:rsidR="00233430">
        <w:rPr>
          <w:rFonts w:ascii="Times New Roman" w:hAnsi="Times New Roman"/>
          <w:b w:val="0"/>
          <w:sz w:val="22"/>
          <w:szCs w:val="22"/>
        </w:rPr>
        <w:t>s</w:t>
      </w:r>
      <w:r w:rsidR="00EF0E8F" w:rsidRPr="00760BB3">
        <w:rPr>
          <w:rFonts w:ascii="Times New Roman" w:hAnsi="Times New Roman"/>
          <w:b w:val="0"/>
          <w:sz w:val="22"/>
          <w:szCs w:val="22"/>
        </w:rPr>
        <w:t xml:space="preserve"> </w:t>
      </w:r>
      <w:r>
        <w:rPr>
          <w:rFonts w:ascii="Times New Roman" w:hAnsi="Times New Roman"/>
          <w:b w:val="0"/>
          <w:sz w:val="22"/>
          <w:szCs w:val="22"/>
        </w:rPr>
        <w:t>a</w:t>
      </w:r>
      <w:r w:rsidR="001954A6">
        <w:rPr>
          <w:rFonts w:ascii="Times New Roman" w:hAnsi="Times New Roman"/>
          <w:b w:val="0"/>
          <w:sz w:val="22"/>
          <w:szCs w:val="22"/>
        </w:rPr>
        <w:t>a 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w:t>
      </w:r>
      <w:r w:rsidR="00894523" w:rsidRPr="00760BB3">
        <w:rPr>
          <w:sz w:val="22"/>
          <w:szCs w:val="22"/>
        </w:rPr>
        <w:lastRenderedPageBreak/>
        <w:t xml:space="preserve">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22"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Cumari</w:t>
      </w:r>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bookmarkEnd w:id="22"/>
    <w:p w14:paraId="00D6F86F" w14:textId="77777777" w:rsidR="0079406F" w:rsidRDefault="0079406F" w:rsidP="00760BB3">
      <w:pPr>
        <w:widowControl w:val="0"/>
        <w:spacing w:line="300" w:lineRule="auto"/>
        <w:ind w:left="567"/>
        <w:jc w:val="both"/>
        <w:rPr>
          <w:i/>
          <w:sz w:val="22"/>
          <w:szCs w:val="22"/>
          <w:u w:val="single"/>
        </w:rPr>
      </w:pPr>
    </w:p>
    <w:p w14:paraId="58E2E011" w14:textId="7DC63E04"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r w:rsidRPr="00760BB3">
        <w:rPr>
          <w:i/>
          <w:sz w:val="22"/>
          <w:szCs w:val="22"/>
          <w:u w:val="single"/>
        </w:rPr>
        <w:t>Fiduciante</w:t>
      </w:r>
      <w:bookmarkStart w:id="23" w:name="_DV_M248"/>
      <w:bookmarkEnd w:id="23"/>
      <w:r w:rsidR="00355680">
        <w:rPr>
          <w:sz w:val="22"/>
          <w:szCs w:val="22"/>
        </w:rPr>
        <w:fldChar w:fldCharType="begin"/>
      </w:r>
      <w:r w:rsidR="00355680">
        <w:rPr>
          <w:sz w:val="22"/>
          <w:szCs w:val="22"/>
        </w:rPr>
        <w:instrText xml:space="preserve"> HYPERLINK "mailto:" </w:instrText>
      </w:r>
      <w:r w:rsidR="00125C8F">
        <w:rPr>
          <w:sz w:val="22"/>
          <w:szCs w:val="22"/>
        </w:rPr>
        <w:fldChar w:fldCharType="separate"/>
      </w:r>
      <w:r w:rsidR="00355680">
        <w:rPr>
          <w:sz w:val="22"/>
          <w:szCs w:val="22"/>
        </w:rPr>
        <w:fldChar w:fldCharType="end"/>
      </w:r>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0FB65A17"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os</w:t>
      </w:r>
      <w:r w:rsidRPr="00760BB3">
        <w:rPr>
          <w:sz w:val="22"/>
          <w:szCs w:val="22"/>
        </w:rPr>
        <w:t xml:space="preserve"> </w:t>
      </w:r>
      <w:r w:rsidR="000A5778" w:rsidRPr="00760BB3">
        <w:rPr>
          <w:sz w:val="22"/>
          <w:szCs w:val="22"/>
        </w:rPr>
        <w:t>Fiduciante</w:t>
      </w:r>
      <w:r>
        <w:rPr>
          <w:sz w:val="22"/>
          <w:szCs w:val="22"/>
        </w:rPr>
        <w:t>s</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lastRenderedPageBreak/>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7626115C" w14:textId="77777777" w:rsidR="003B4CB3" w:rsidRPr="00760BB3" w:rsidRDefault="003B4CB3" w:rsidP="00760BB3">
      <w:pPr>
        <w:spacing w:line="300" w:lineRule="auto"/>
        <w:jc w:val="both"/>
        <w:rPr>
          <w:sz w:val="22"/>
          <w:szCs w:val="22"/>
        </w:rPr>
      </w:pP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16B90792"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Os</w:t>
      </w:r>
      <w:r w:rsidRPr="00760BB3">
        <w:rPr>
          <w:sz w:val="22"/>
          <w:szCs w:val="22"/>
        </w:rPr>
        <w:t xml:space="preserve"> </w:t>
      </w:r>
      <w:r w:rsidR="00347346" w:rsidRPr="00760BB3">
        <w:rPr>
          <w:sz w:val="22"/>
          <w:szCs w:val="22"/>
        </w:rPr>
        <w:t>Fiduciante</w:t>
      </w:r>
      <w:r>
        <w:rPr>
          <w:sz w:val="22"/>
          <w:szCs w:val="22"/>
        </w:rPr>
        <w:t>s</w:t>
      </w:r>
      <w:r w:rsidR="00216A4F" w:rsidRPr="00760BB3">
        <w:rPr>
          <w:sz w:val="22"/>
          <w:szCs w:val="22"/>
        </w:rPr>
        <w:t xml:space="preserve"> responde</w:t>
      </w:r>
      <w:r>
        <w:rPr>
          <w:sz w:val="22"/>
          <w:szCs w:val="22"/>
        </w:rPr>
        <w:t>m</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lastRenderedPageBreak/>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479E8648" w14:textId="2D80776B" w:rsidR="003E03B5" w:rsidRDefault="00822C5B" w:rsidP="00760BB3">
      <w:pPr>
        <w:spacing w:line="300" w:lineRule="auto"/>
        <w:jc w:val="both"/>
        <w:rPr>
          <w:sz w:val="22"/>
          <w:szCs w:val="22"/>
        </w:rPr>
      </w:pPr>
      <w:r w:rsidRPr="00760BB3">
        <w:rPr>
          <w:b/>
          <w:sz w:val="22"/>
          <w:szCs w:val="22"/>
        </w:rPr>
        <w:t>1</w:t>
      </w:r>
      <w:r>
        <w:rPr>
          <w:b/>
          <w:sz w:val="22"/>
          <w:szCs w:val="22"/>
        </w:rPr>
        <w:t>0</w:t>
      </w:r>
      <w:r w:rsidR="003E03B5" w:rsidRPr="00760BB3">
        <w:rPr>
          <w:b/>
          <w:sz w:val="22"/>
          <w:szCs w:val="22"/>
        </w:rPr>
        <w:t>.1</w:t>
      </w:r>
      <w:r w:rsidR="005E1BA7" w:rsidRPr="00760BB3">
        <w:rPr>
          <w:b/>
          <w:sz w:val="22"/>
          <w:szCs w:val="22"/>
        </w:rPr>
        <w:t>2</w:t>
      </w:r>
      <w:r w:rsidR="003E03B5" w:rsidRPr="00760BB3">
        <w:rPr>
          <w:b/>
          <w:sz w:val="22"/>
          <w:szCs w:val="22"/>
        </w:rPr>
        <w:t>.</w:t>
      </w:r>
      <w:r w:rsidR="003E03B5" w:rsidRPr="00760BB3">
        <w:rPr>
          <w:sz w:val="22"/>
          <w:szCs w:val="22"/>
        </w:rPr>
        <w:t xml:space="preserve"> </w:t>
      </w:r>
      <w:r w:rsidR="003E03B5" w:rsidRPr="00760BB3">
        <w:rPr>
          <w:sz w:val="22"/>
          <w:szCs w:val="22"/>
        </w:rPr>
        <w:tab/>
      </w:r>
      <w:r>
        <w:rPr>
          <w:sz w:val="22"/>
          <w:szCs w:val="22"/>
        </w:rPr>
        <w:t>Os</w:t>
      </w:r>
      <w:r w:rsidRPr="00760BB3">
        <w:rPr>
          <w:sz w:val="22"/>
          <w:szCs w:val="22"/>
        </w:rPr>
        <w:t xml:space="preserve"> </w:t>
      </w:r>
      <w:r w:rsidR="003E03B5" w:rsidRPr="00760BB3">
        <w:rPr>
          <w:sz w:val="22"/>
          <w:szCs w:val="22"/>
        </w:rPr>
        <w:t>Fiduciante</w:t>
      </w:r>
      <w:r>
        <w:rPr>
          <w:sz w:val="22"/>
          <w:szCs w:val="22"/>
        </w:rPr>
        <w:t>s</w:t>
      </w:r>
      <w:r w:rsidR="003E03B5" w:rsidRPr="00760BB3">
        <w:rPr>
          <w:sz w:val="22"/>
          <w:szCs w:val="22"/>
        </w:rPr>
        <w:t xml:space="preserve"> se obriga</w:t>
      </w:r>
      <w:r>
        <w:rPr>
          <w:sz w:val="22"/>
          <w:szCs w:val="22"/>
        </w:rPr>
        <w:t>m</w:t>
      </w:r>
      <w:r w:rsidR="003E03B5" w:rsidRPr="00760BB3">
        <w:rPr>
          <w:sz w:val="22"/>
          <w:szCs w:val="22"/>
        </w:rPr>
        <w:t xml:space="preserve"> solidariamente pelo cumprimento de suas respectivas obrigações nos termos deste Contrato.</w:t>
      </w:r>
    </w:p>
    <w:p w14:paraId="5E909AAA" w14:textId="05A415CC" w:rsidR="0039440C" w:rsidRDefault="0039440C" w:rsidP="00760BB3">
      <w:pPr>
        <w:spacing w:line="300" w:lineRule="auto"/>
        <w:jc w:val="both"/>
        <w:rPr>
          <w:sz w:val="22"/>
          <w:szCs w:val="22"/>
        </w:rPr>
      </w:pPr>
    </w:p>
    <w:p w14:paraId="08475DF7" w14:textId="34720882"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.13.</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15BD2564"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9A77E8">
        <w:rPr>
          <w:b/>
          <w:bCs/>
          <w:sz w:val="22"/>
          <w:szCs w:val="22"/>
        </w:rPr>
        <w:t>4</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19"/>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24" w:name="_DV_M242"/>
      <w:bookmarkStart w:id="25" w:name="_DV_M243"/>
      <w:bookmarkStart w:id="26" w:name="_DV_M244"/>
      <w:bookmarkStart w:id="27" w:name="_DV_M245"/>
      <w:bookmarkStart w:id="28" w:name="_DV_M246"/>
      <w:bookmarkStart w:id="29" w:name="_DV_M247"/>
      <w:bookmarkStart w:id="30" w:name="_DV_M249"/>
      <w:bookmarkStart w:id="31" w:name="_DV_M252"/>
      <w:bookmarkStart w:id="32" w:name="_DV_M253"/>
      <w:bookmarkStart w:id="33" w:name="_DV_M254"/>
      <w:bookmarkStart w:id="34" w:name="_DV_M255"/>
      <w:bookmarkStart w:id="35" w:name="_DV_M256"/>
      <w:bookmarkStart w:id="36" w:name="_DV_M257"/>
      <w:bookmarkStart w:id="37" w:name="_DV_M258"/>
      <w:bookmarkStart w:id="38" w:name="_DV_M259"/>
      <w:bookmarkStart w:id="39" w:name="_DV_M260"/>
      <w:bookmarkStart w:id="40" w:name="_DV_M261"/>
      <w:bookmarkStart w:id="41" w:name="_DV_M262"/>
      <w:bookmarkStart w:id="42" w:name="_DV_M263"/>
      <w:bookmarkStart w:id="43" w:name="_DV_M265"/>
      <w:bookmarkStart w:id="44" w:name="_DV_M266"/>
      <w:bookmarkStart w:id="45" w:name="_DV_M267"/>
      <w:bookmarkStart w:id="46" w:name="_DV_M268"/>
      <w:bookmarkStart w:id="47" w:name="_DV_M272"/>
      <w:bookmarkStart w:id="48" w:name="_DV_M27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D35F1ED"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0A2A18">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398EDE20"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(Página 1</w:t>
      </w:r>
      <w:r w:rsidR="003E4FC5" w:rsidRPr="00760BB3">
        <w:rPr>
          <w:i/>
          <w:sz w:val="22"/>
          <w:szCs w:val="22"/>
        </w:rPr>
        <w:t>/</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77777777" w:rsidR="000F2AFA" w:rsidRDefault="000F2AFA" w:rsidP="00760BB3">
      <w:pPr>
        <w:spacing w:line="300" w:lineRule="auto"/>
        <w:jc w:val="center"/>
        <w:rPr>
          <w:sz w:val="22"/>
          <w:szCs w:val="22"/>
        </w:rPr>
      </w:pPr>
    </w:p>
    <w:p w14:paraId="5F53FED7" w14:textId="77777777" w:rsidR="000F2AFA" w:rsidRPr="00760BB3" w:rsidRDefault="000F2AFA" w:rsidP="00760BB3">
      <w:pPr>
        <w:spacing w:line="300" w:lineRule="auto"/>
        <w:jc w:val="center"/>
        <w:rPr>
          <w:sz w:val="22"/>
          <w:szCs w:val="22"/>
        </w:rPr>
      </w:pPr>
    </w:p>
    <w:p w14:paraId="1DFC4DA9" w14:textId="66DD574B" w:rsidR="003B43F1" w:rsidRDefault="0035249C" w:rsidP="0035249C">
      <w:pPr>
        <w:widowControl w:val="0"/>
        <w:tabs>
          <w:tab w:val="left" w:pos="2214"/>
        </w:tabs>
        <w:autoSpaceDE w:val="0"/>
        <w:autoSpaceDN w:val="0"/>
        <w:adjustRightInd w:val="0"/>
        <w:spacing w:line="312" w:lineRule="auto"/>
        <w:rPr>
          <w:rFonts w:eastAsia="MS Mincho"/>
          <w:b/>
          <w:bCs/>
          <w:color w:val="000000"/>
          <w:sz w:val="22"/>
          <w:szCs w:val="22"/>
          <w:lang w:eastAsia="en-US"/>
        </w:rPr>
      </w:pPr>
      <w:r>
        <w:rPr>
          <w:rFonts w:eastAsia="MS Mincho"/>
          <w:b/>
          <w:bCs/>
          <w:color w:val="000000"/>
          <w:sz w:val="22"/>
          <w:szCs w:val="22"/>
          <w:lang w:eastAsia="en-US"/>
        </w:rPr>
        <w:tab/>
      </w:r>
    </w:p>
    <w:tbl>
      <w:tblPr>
        <w:tblW w:w="8505" w:type="dxa"/>
        <w:jc w:val="center"/>
        <w:tblLook w:val="01E0" w:firstRow="1" w:lastRow="1" w:firstColumn="1" w:lastColumn="1" w:noHBand="0" w:noVBand="0"/>
      </w:tblPr>
      <w:tblGrid>
        <w:gridCol w:w="4111"/>
        <w:gridCol w:w="425"/>
        <w:gridCol w:w="3969"/>
      </w:tblGrid>
      <w:tr w:rsidR="000F2AFA" w:rsidRPr="0035249C" w14:paraId="2A82109E" w14:textId="4AD46CC5" w:rsidTr="00635A1F">
        <w:trPr>
          <w:jc w:val="center"/>
        </w:trPr>
        <w:tc>
          <w:tcPr>
            <w:tcW w:w="4111" w:type="dxa"/>
            <w:tcBorders>
              <w:top w:val="single" w:sz="4" w:space="0" w:color="auto"/>
            </w:tcBorders>
          </w:tcPr>
          <w:p w14:paraId="3A9CC017" w14:textId="3D5DD144" w:rsidR="000F2AFA" w:rsidRPr="0035249C" w:rsidRDefault="00547DB2" w:rsidP="0048619D">
            <w:pPr>
              <w:widowControl w:val="0"/>
              <w:autoSpaceDE w:val="0"/>
              <w:autoSpaceDN w:val="0"/>
              <w:adjustRightInd w:val="0"/>
              <w:spacing w:line="312" w:lineRule="auto"/>
              <w:ind w:left="37"/>
              <w:jc w:val="both"/>
              <w:rPr>
                <w:rFonts w:eastAsia="MS Mincho"/>
                <w:color w:val="000000"/>
                <w:lang w:eastAsia="en-US"/>
              </w:rPr>
            </w:pPr>
            <w:r>
              <w:rPr>
                <w:b/>
              </w:rPr>
              <w:tab/>
            </w:r>
            <w:r w:rsidR="00396F6B">
              <w:rPr>
                <w:sz w:val="22"/>
                <w:szCs w:val="22"/>
              </w:rPr>
              <w:t>[</w:t>
            </w:r>
            <w:r w:rsidR="00396F6B" w:rsidRPr="000B608E">
              <w:rPr>
                <w:sz w:val="22"/>
                <w:szCs w:val="22"/>
                <w:highlight w:val="yellow"/>
              </w:rPr>
              <w:t>completar</w:t>
            </w:r>
            <w:r w:rsidR="00396F6B">
              <w:rPr>
                <w:sz w:val="22"/>
                <w:szCs w:val="22"/>
              </w:rPr>
              <w:t>]</w:t>
            </w:r>
          </w:p>
        </w:tc>
        <w:tc>
          <w:tcPr>
            <w:tcW w:w="425" w:type="dxa"/>
          </w:tcPr>
          <w:p w14:paraId="179AE21B" w14:textId="77777777" w:rsidR="000F2AFA" w:rsidRPr="0035249C" w:rsidRDefault="000F2AFA" w:rsidP="009B62F9">
            <w:pPr>
              <w:widowControl w:val="0"/>
              <w:autoSpaceDE w:val="0"/>
              <w:autoSpaceDN w:val="0"/>
              <w:adjustRightInd w:val="0"/>
              <w:spacing w:line="312" w:lineRule="auto"/>
              <w:ind w:left="2582"/>
              <w:rPr>
                <w:b/>
              </w:rPr>
            </w:pPr>
          </w:p>
        </w:tc>
        <w:tc>
          <w:tcPr>
            <w:tcW w:w="3969" w:type="dxa"/>
            <w:tcBorders>
              <w:top w:val="single" w:sz="4" w:space="0" w:color="auto"/>
              <w:left w:val="nil"/>
            </w:tcBorders>
          </w:tcPr>
          <w:p w14:paraId="525DA5AB" w14:textId="22A8FB4C" w:rsidR="000F2AFA" w:rsidRPr="0035249C" w:rsidRDefault="00396F6B" w:rsidP="0048619D">
            <w:pPr>
              <w:ind w:firstLine="709"/>
            </w:pPr>
            <w:r>
              <w:rPr>
                <w:sz w:val="22"/>
                <w:szCs w:val="22"/>
              </w:rPr>
              <w:t>[</w:t>
            </w:r>
            <w:r w:rsidRPr="000B608E">
              <w:rPr>
                <w:sz w:val="22"/>
                <w:szCs w:val="22"/>
                <w:highlight w:val="yellow"/>
              </w:rPr>
              <w:t>completar</w:t>
            </w:r>
            <w:r>
              <w:rPr>
                <w:sz w:val="22"/>
                <w:szCs w:val="22"/>
              </w:rPr>
              <w:t xml:space="preserve">] </w:t>
            </w:r>
          </w:p>
        </w:tc>
      </w:tr>
    </w:tbl>
    <w:p w14:paraId="5AC44434" w14:textId="77777777" w:rsidR="003B43F1" w:rsidRDefault="003B43F1" w:rsidP="003B43F1">
      <w:pPr>
        <w:widowControl w:val="0"/>
        <w:autoSpaceDE w:val="0"/>
        <w:autoSpaceDN w:val="0"/>
        <w:adjustRightInd w:val="0"/>
        <w:spacing w:line="312" w:lineRule="auto"/>
        <w:jc w:val="center"/>
        <w:rPr>
          <w:rFonts w:eastAsia="MS Mincho"/>
          <w:b/>
          <w:bCs/>
          <w:color w:val="000000"/>
          <w:sz w:val="22"/>
          <w:szCs w:val="22"/>
          <w:lang w:eastAsia="en-US"/>
        </w:rPr>
      </w:pPr>
    </w:p>
    <w:p w14:paraId="56AAFB6C"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1C173049"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2F677717"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3AABF331" w14:textId="77777777" w:rsidR="00E663F0" w:rsidRDefault="00E663F0">
      <w:pPr>
        <w:spacing w:line="300" w:lineRule="auto"/>
        <w:jc w:val="center"/>
        <w:rPr>
          <w:sz w:val="22"/>
          <w:szCs w:val="22"/>
        </w:rPr>
      </w:pPr>
    </w:p>
    <w:p w14:paraId="0745A865"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0BABD839" w14:textId="7B11B188" w:rsidR="00CC47DC" w:rsidRPr="00ED346E" w:rsidRDefault="00CC47DC" w:rsidP="00760BB3">
      <w:pPr>
        <w:spacing w:line="300" w:lineRule="auto"/>
        <w:jc w:val="center"/>
        <w:rPr>
          <w:i/>
          <w:iCs/>
          <w:sz w:val="22"/>
          <w:szCs w:val="22"/>
        </w:rPr>
      </w:pPr>
    </w:p>
    <w:p w14:paraId="49611AE0" w14:textId="2D50E0E3" w:rsidR="00CC47DC" w:rsidRPr="00760BB3" w:rsidRDefault="00CC47DC" w:rsidP="00760BB3">
      <w:pPr>
        <w:spacing w:line="300" w:lineRule="auto"/>
        <w:jc w:val="center"/>
        <w:rPr>
          <w:sz w:val="22"/>
          <w:szCs w:val="22"/>
        </w:rPr>
      </w:pPr>
    </w:p>
    <w:p w14:paraId="12C80132" w14:textId="1DE2A2B9" w:rsidR="00CC47DC" w:rsidRPr="00760BB3" w:rsidRDefault="00CC47DC" w:rsidP="00760BB3">
      <w:pPr>
        <w:spacing w:line="300" w:lineRule="auto"/>
        <w:rPr>
          <w:sz w:val="22"/>
          <w:szCs w:val="22"/>
        </w:rPr>
      </w:pPr>
    </w:p>
    <w:p w14:paraId="1A895898" w14:textId="22187A57" w:rsidR="00CC47DC" w:rsidRPr="00760BB3" w:rsidRDefault="00CC47DC" w:rsidP="00760BB3">
      <w:pPr>
        <w:spacing w:line="300" w:lineRule="auto"/>
        <w:rPr>
          <w:sz w:val="22"/>
          <w:szCs w:val="22"/>
        </w:rPr>
      </w:pPr>
    </w:p>
    <w:p w14:paraId="54C9D4D5" w14:textId="5DF6D7E7" w:rsidR="00CC47DC" w:rsidRPr="00760BB3" w:rsidRDefault="00CC47DC" w:rsidP="00760BB3">
      <w:pPr>
        <w:spacing w:line="300" w:lineRule="auto"/>
        <w:rPr>
          <w:sz w:val="22"/>
          <w:szCs w:val="22"/>
        </w:rPr>
      </w:pPr>
    </w:p>
    <w:p w14:paraId="61C5A1AA" w14:textId="75D7F469" w:rsidR="00CC47DC" w:rsidRPr="00760BB3" w:rsidRDefault="00CC47DC" w:rsidP="00760BB3">
      <w:pPr>
        <w:spacing w:line="300" w:lineRule="auto"/>
        <w:rPr>
          <w:sz w:val="22"/>
          <w:szCs w:val="22"/>
        </w:rPr>
      </w:pPr>
    </w:p>
    <w:p w14:paraId="78C8516F" w14:textId="37E901BE" w:rsidR="00CC47DC" w:rsidRPr="00760BB3" w:rsidRDefault="00CC47DC" w:rsidP="00760BB3">
      <w:pPr>
        <w:spacing w:line="300" w:lineRule="auto"/>
        <w:rPr>
          <w:sz w:val="22"/>
          <w:szCs w:val="22"/>
        </w:rPr>
      </w:pPr>
    </w:p>
    <w:p w14:paraId="00F49797" w14:textId="42682CDC" w:rsidR="00CC47DC" w:rsidRPr="00760BB3" w:rsidRDefault="00CC47DC" w:rsidP="00760BB3">
      <w:pPr>
        <w:spacing w:line="300" w:lineRule="auto"/>
        <w:rPr>
          <w:sz w:val="22"/>
          <w:szCs w:val="22"/>
        </w:rPr>
      </w:pPr>
      <w:r w:rsidRPr="00760BB3">
        <w:rPr>
          <w:sz w:val="22"/>
          <w:szCs w:val="22"/>
        </w:rPr>
        <w:br w:type="page"/>
      </w:r>
    </w:p>
    <w:p w14:paraId="318DC5D2" w14:textId="77777777" w:rsidR="00CC47DC" w:rsidRPr="00760BB3" w:rsidRDefault="00CC47DC" w:rsidP="00760BB3">
      <w:pPr>
        <w:spacing w:line="300" w:lineRule="auto"/>
        <w:rPr>
          <w:sz w:val="22"/>
          <w:szCs w:val="22"/>
        </w:rPr>
      </w:pPr>
    </w:p>
    <w:p w14:paraId="68299E18" w14:textId="7C20CAA2" w:rsidR="00E627A0" w:rsidRPr="00760BB3" w:rsidRDefault="00E627A0"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2/</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Quotas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7D5F90">
        <w:rPr>
          <w:i/>
          <w:sz w:val="22"/>
          <w:szCs w:val="22"/>
        </w:rPr>
        <w:t xml:space="preserve">de </w:t>
      </w:r>
      <w:r w:rsidR="00062564">
        <w:rPr>
          <w:i/>
          <w:sz w:val="22"/>
          <w:szCs w:val="22"/>
        </w:rPr>
        <w:t>2022</w:t>
      </w:r>
      <w:r w:rsidRPr="00760BB3">
        <w:rPr>
          <w:i/>
          <w:sz w:val="22"/>
          <w:szCs w:val="22"/>
        </w:rPr>
        <w:t>)</w:t>
      </w:r>
    </w:p>
    <w:p w14:paraId="744A2B35" w14:textId="77777777" w:rsidR="003E4FC5" w:rsidRPr="00760BB3" w:rsidRDefault="003E4FC5" w:rsidP="00760BB3">
      <w:pPr>
        <w:spacing w:line="300" w:lineRule="auto"/>
        <w:jc w:val="center"/>
        <w:rPr>
          <w:sz w:val="22"/>
          <w:szCs w:val="22"/>
        </w:rPr>
      </w:pPr>
    </w:p>
    <w:p w14:paraId="1AE4C714"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5B600D0" w14:textId="77777777" w:rsidR="00A67907" w:rsidRPr="005C399B" w:rsidRDefault="00A67907" w:rsidP="00A67907">
      <w:pPr>
        <w:spacing w:line="312" w:lineRule="auto"/>
        <w:jc w:val="both"/>
        <w:rPr>
          <w:rFonts w:eastAsia="MS Mincho"/>
          <w:i/>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F429D40" w14:textId="69978BD8" w:rsidR="00781DE7" w:rsidRDefault="00781DE7" w:rsidP="00760BB3">
      <w:pPr>
        <w:spacing w:line="300" w:lineRule="auto"/>
        <w:contextualSpacing/>
        <w:jc w:val="center"/>
        <w:rPr>
          <w:sz w:val="22"/>
          <w:szCs w:val="22"/>
        </w:rPr>
      </w:pPr>
    </w:p>
    <w:p w14:paraId="75DCD760" w14:textId="343F6C05" w:rsidR="00781DE7" w:rsidRDefault="00781DE7"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D57CC97"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5FC33EA8" w14:textId="62E518E8"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c>
          <w:tcPr>
            <w:tcW w:w="4111" w:type="dxa"/>
          </w:tcPr>
          <w:p w14:paraId="6047AA8A" w14:textId="09F95B38"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4B4F97AA" w14:textId="57AB3957"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EC3ABC6"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A7774B" w:rsidRPr="00760BB3">
        <w:rPr>
          <w:b/>
          <w:sz w:val="22"/>
          <w:szCs w:val="22"/>
        </w:rPr>
        <w:t>PEL</w:t>
      </w:r>
      <w:r w:rsidR="00A7774B">
        <w:rPr>
          <w:b/>
          <w:sz w:val="22"/>
          <w:szCs w:val="22"/>
        </w:rPr>
        <w:t>O</w:t>
      </w:r>
      <w:r w:rsidR="00A7774B" w:rsidRPr="00760BB3">
        <w:rPr>
          <w:b/>
          <w:sz w:val="22"/>
          <w:szCs w:val="22"/>
        </w:rPr>
        <w:t xml:space="preserve"> </w:t>
      </w:r>
      <w:r w:rsidR="004D3EAE">
        <w:rPr>
          <w:b/>
          <w:sz w:val="22"/>
          <w:szCs w:val="22"/>
        </w:rPr>
        <w:t>[</w:t>
      </w:r>
      <w:r w:rsidR="004D3EAE" w:rsidRPr="000A2A18">
        <w:rPr>
          <w:b/>
          <w:sz w:val="22"/>
          <w:szCs w:val="22"/>
          <w:highlight w:val="yellow"/>
        </w:rPr>
        <w:t>completar</w:t>
      </w:r>
      <w:r w:rsidR="004D3EAE">
        <w:rPr>
          <w:b/>
          <w:sz w:val="22"/>
          <w:szCs w:val="22"/>
        </w:rPr>
        <w:t>]</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7DA370A4" w:rsidR="00D22D4B" w:rsidRPr="00760BB3" w:rsidRDefault="004D3EAE" w:rsidP="00760BB3">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49"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49"/>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734F434F" w14:textId="5DBB0AEB" w:rsidR="00320E81" w:rsidRPr="00760BB3" w:rsidRDefault="00EF0E3D" w:rsidP="00760BB3">
      <w:pPr>
        <w:spacing w:line="300" w:lineRule="auto"/>
        <w:rPr>
          <w:b/>
          <w:sz w:val="22"/>
          <w:szCs w:val="22"/>
        </w:rPr>
      </w:pPr>
      <w:r>
        <w:rPr>
          <w:bCs/>
          <w:sz w:val="22"/>
          <w:szCs w:val="22"/>
        </w:rPr>
        <w:t>[</w:t>
      </w:r>
      <w:r w:rsidRPr="000B608E">
        <w:rPr>
          <w:bCs/>
          <w:sz w:val="22"/>
          <w:szCs w:val="22"/>
          <w:highlight w:val="yellow"/>
        </w:rPr>
        <w:t>completar</w:t>
      </w:r>
      <w:r>
        <w:rPr>
          <w:bCs/>
          <w:sz w:val="22"/>
          <w:szCs w:val="22"/>
        </w:rPr>
        <w:t>]</w:t>
      </w:r>
      <w:r w:rsidR="00320E81" w:rsidRPr="00760BB3">
        <w:rPr>
          <w:b/>
          <w:sz w:val="22"/>
          <w:szCs w:val="22"/>
        </w:rPr>
        <w:br w:type="page"/>
      </w: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C763" w14:textId="77777777" w:rsidR="00125C8F" w:rsidRDefault="00125C8F">
      <w:r>
        <w:separator/>
      </w:r>
    </w:p>
  </w:endnote>
  <w:endnote w:type="continuationSeparator" w:id="0">
    <w:p w14:paraId="32FEDEC4" w14:textId="77777777" w:rsidR="00125C8F" w:rsidRDefault="00125C8F">
      <w:r>
        <w:continuationSeparator/>
      </w:r>
    </w:p>
  </w:endnote>
  <w:endnote w:type="continuationNotice" w:id="1">
    <w:p w14:paraId="131CE356" w14:textId="77777777" w:rsidR="00125C8F" w:rsidRDefault="00125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Rodap"/>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3500" w14:textId="77777777" w:rsidR="00125C8F" w:rsidRDefault="00125C8F">
      <w:r>
        <w:separator/>
      </w:r>
    </w:p>
  </w:footnote>
  <w:footnote w:type="continuationSeparator" w:id="0">
    <w:p w14:paraId="4E388B3D" w14:textId="77777777" w:rsidR="00125C8F" w:rsidRDefault="00125C8F">
      <w:r>
        <w:continuationSeparator/>
      </w:r>
    </w:p>
  </w:footnote>
  <w:footnote w:type="continuationNotice" w:id="1">
    <w:p w14:paraId="1620BF63" w14:textId="77777777" w:rsidR="00125C8F" w:rsidRDefault="00125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4293556">
    <w:abstractNumId w:val="0"/>
  </w:num>
  <w:num w:numId="2" w16cid:durableId="485633636">
    <w:abstractNumId w:val="6"/>
  </w:num>
  <w:num w:numId="3" w16cid:durableId="16796917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199686">
    <w:abstractNumId w:val="26"/>
  </w:num>
  <w:num w:numId="5" w16cid:durableId="2071881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9082916">
    <w:abstractNumId w:val="19"/>
  </w:num>
  <w:num w:numId="7" w16cid:durableId="1007441082">
    <w:abstractNumId w:val="6"/>
  </w:num>
  <w:num w:numId="8" w16cid:durableId="20664926">
    <w:abstractNumId w:val="34"/>
  </w:num>
  <w:num w:numId="9" w16cid:durableId="79569303">
    <w:abstractNumId w:val="10"/>
  </w:num>
  <w:num w:numId="10" w16cid:durableId="713626283">
    <w:abstractNumId w:val="30"/>
  </w:num>
  <w:num w:numId="11" w16cid:durableId="417989885">
    <w:abstractNumId w:val="9"/>
  </w:num>
  <w:num w:numId="12" w16cid:durableId="1975017466">
    <w:abstractNumId w:val="2"/>
  </w:num>
  <w:num w:numId="13" w16cid:durableId="338777050">
    <w:abstractNumId w:val="26"/>
  </w:num>
  <w:num w:numId="14" w16cid:durableId="1297679056">
    <w:abstractNumId w:val="38"/>
  </w:num>
  <w:num w:numId="15" w16cid:durableId="1186595755">
    <w:abstractNumId w:val="48"/>
  </w:num>
  <w:num w:numId="16" w16cid:durableId="807013007">
    <w:abstractNumId w:val="8"/>
  </w:num>
  <w:num w:numId="17" w16cid:durableId="1568759138">
    <w:abstractNumId w:val="36"/>
  </w:num>
  <w:num w:numId="18" w16cid:durableId="2102021439">
    <w:abstractNumId w:val="17"/>
  </w:num>
  <w:num w:numId="19" w16cid:durableId="1667440388">
    <w:abstractNumId w:val="28"/>
  </w:num>
  <w:num w:numId="20" w16cid:durableId="1738018552">
    <w:abstractNumId w:val="40"/>
  </w:num>
  <w:num w:numId="21" w16cid:durableId="308360755">
    <w:abstractNumId w:val="27"/>
  </w:num>
  <w:num w:numId="22" w16cid:durableId="647326061">
    <w:abstractNumId w:val="1"/>
  </w:num>
  <w:num w:numId="23" w16cid:durableId="1830633324">
    <w:abstractNumId w:val="4"/>
  </w:num>
  <w:num w:numId="24" w16cid:durableId="304359597">
    <w:abstractNumId w:val="3"/>
  </w:num>
  <w:num w:numId="25" w16cid:durableId="1190292532">
    <w:abstractNumId w:val="7"/>
  </w:num>
  <w:num w:numId="26" w16cid:durableId="1038312536">
    <w:abstractNumId w:val="18"/>
  </w:num>
  <w:num w:numId="27" w16cid:durableId="724766833">
    <w:abstractNumId w:val="35"/>
  </w:num>
  <w:num w:numId="28" w16cid:durableId="14033312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9866249">
    <w:abstractNumId w:val="16"/>
  </w:num>
  <w:num w:numId="30" w16cid:durableId="1730420008">
    <w:abstractNumId w:val="15"/>
  </w:num>
  <w:num w:numId="31" w16cid:durableId="1572345236">
    <w:abstractNumId w:val="45"/>
  </w:num>
  <w:num w:numId="32" w16cid:durableId="1194422539">
    <w:abstractNumId w:val="41"/>
  </w:num>
  <w:num w:numId="33" w16cid:durableId="1243250202">
    <w:abstractNumId w:val="32"/>
  </w:num>
  <w:num w:numId="34" w16cid:durableId="1939219103">
    <w:abstractNumId w:val="33"/>
  </w:num>
  <w:num w:numId="35" w16cid:durableId="1858233900">
    <w:abstractNumId w:val="42"/>
  </w:num>
  <w:num w:numId="36" w16cid:durableId="742920051">
    <w:abstractNumId w:val="5"/>
  </w:num>
  <w:num w:numId="37" w16cid:durableId="634332304">
    <w:abstractNumId w:val="25"/>
  </w:num>
  <w:num w:numId="38" w16cid:durableId="332801385">
    <w:abstractNumId w:val="22"/>
  </w:num>
  <w:num w:numId="39" w16cid:durableId="999963526">
    <w:abstractNumId w:val="49"/>
  </w:num>
  <w:num w:numId="40" w16cid:durableId="28459306">
    <w:abstractNumId w:val="12"/>
  </w:num>
  <w:num w:numId="41" w16cid:durableId="191653896">
    <w:abstractNumId w:val="21"/>
  </w:num>
  <w:num w:numId="42" w16cid:durableId="2063823006">
    <w:abstractNumId w:val="29"/>
  </w:num>
  <w:num w:numId="43" w16cid:durableId="100879771">
    <w:abstractNumId w:val="14"/>
  </w:num>
  <w:num w:numId="44" w16cid:durableId="1997151387">
    <w:abstractNumId w:val="46"/>
  </w:num>
  <w:num w:numId="45" w16cid:durableId="1884444646">
    <w:abstractNumId w:val="13"/>
  </w:num>
  <w:num w:numId="46" w16cid:durableId="948701289">
    <w:abstractNumId w:val="23"/>
  </w:num>
  <w:num w:numId="47" w16cid:durableId="300162212">
    <w:abstractNumId w:val="24"/>
  </w:num>
  <w:num w:numId="48" w16cid:durableId="1082407512">
    <w:abstractNumId w:val="20"/>
  </w:num>
  <w:num w:numId="49" w16cid:durableId="1833136926">
    <w:abstractNumId w:val="39"/>
  </w:num>
  <w:num w:numId="50" w16cid:durableId="597297686">
    <w:abstractNumId w:val="43"/>
  </w:num>
  <w:num w:numId="51" w16cid:durableId="1591506872">
    <w:abstractNumId w:val="44"/>
  </w:num>
  <w:num w:numId="52" w16cid:durableId="1998990492">
    <w:abstractNumId w:val="47"/>
  </w:num>
  <w:num w:numId="53" w16cid:durableId="210017754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AA"/>
    <w:rsid w:val="000118DF"/>
    <w:rsid w:val="00011EB3"/>
    <w:rsid w:val="00012059"/>
    <w:rsid w:val="000125E6"/>
    <w:rsid w:val="00012B72"/>
    <w:rsid w:val="00012C2E"/>
    <w:rsid w:val="00012D7C"/>
    <w:rsid w:val="00013634"/>
    <w:rsid w:val="0001375C"/>
    <w:rsid w:val="00013D31"/>
    <w:rsid w:val="00014027"/>
    <w:rsid w:val="0001482C"/>
    <w:rsid w:val="00014895"/>
    <w:rsid w:val="00014DDD"/>
    <w:rsid w:val="0001530B"/>
    <w:rsid w:val="00015331"/>
    <w:rsid w:val="00015362"/>
    <w:rsid w:val="000155C2"/>
    <w:rsid w:val="000157AC"/>
    <w:rsid w:val="0001782F"/>
    <w:rsid w:val="00020A47"/>
    <w:rsid w:val="0002127F"/>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E78"/>
    <w:rsid w:val="002C614E"/>
    <w:rsid w:val="002C66EF"/>
    <w:rsid w:val="002C6D34"/>
    <w:rsid w:val="002C7196"/>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606A"/>
    <w:rsid w:val="003C6273"/>
    <w:rsid w:val="003C6550"/>
    <w:rsid w:val="003C66EC"/>
    <w:rsid w:val="003C67C2"/>
    <w:rsid w:val="003C6914"/>
    <w:rsid w:val="003C6D1F"/>
    <w:rsid w:val="003C7255"/>
    <w:rsid w:val="003C7456"/>
    <w:rsid w:val="003C7649"/>
    <w:rsid w:val="003C7F47"/>
    <w:rsid w:val="003D0831"/>
    <w:rsid w:val="003D11CD"/>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2037"/>
    <w:rsid w:val="004425A2"/>
    <w:rsid w:val="0044276D"/>
    <w:rsid w:val="00442A7F"/>
    <w:rsid w:val="00443036"/>
    <w:rsid w:val="0044350F"/>
    <w:rsid w:val="004437FB"/>
    <w:rsid w:val="0044390A"/>
    <w:rsid w:val="00443D5A"/>
    <w:rsid w:val="00444836"/>
    <w:rsid w:val="00444854"/>
    <w:rsid w:val="004465E9"/>
    <w:rsid w:val="0044671F"/>
    <w:rsid w:val="00447E3E"/>
    <w:rsid w:val="004501B4"/>
    <w:rsid w:val="00450526"/>
    <w:rsid w:val="0045148C"/>
    <w:rsid w:val="004514CA"/>
    <w:rsid w:val="00451BED"/>
    <w:rsid w:val="0045223A"/>
    <w:rsid w:val="00452B8E"/>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F17"/>
    <w:rsid w:val="004A27DF"/>
    <w:rsid w:val="004A2876"/>
    <w:rsid w:val="004A2A25"/>
    <w:rsid w:val="004A303C"/>
    <w:rsid w:val="004A32DC"/>
    <w:rsid w:val="004A3406"/>
    <w:rsid w:val="004A3781"/>
    <w:rsid w:val="004A3B87"/>
    <w:rsid w:val="004A4EDF"/>
    <w:rsid w:val="004A5A6C"/>
    <w:rsid w:val="004A63D6"/>
    <w:rsid w:val="004A6FFB"/>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F46"/>
    <w:rsid w:val="006D68ED"/>
    <w:rsid w:val="006D6FC5"/>
    <w:rsid w:val="006D7086"/>
    <w:rsid w:val="006D766C"/>
    <w:rsid w:val="006D7683"/>
    <w:rsid w:val="006D7700"/>
    <w:rsid w:val="006D7737"/>
    <w:rsid w:val="006E1CC2"/>
    <w:rsid w:val="006E2758"/>
    <w:rsid w:val="006E3511"/>
    <w:rsid w:val="006E40AA"/>
    <w:rsid w:val="006E40BC"/>
    <w:rsid w:val="006E4147"/>
    <w:rsid w:val="006E4385"/>
    <w:rsid w:val="006E463D"/>
    <w:rsid w:val="006E49A7"/>
    <w:rsid w:val="006E4EC5"/>
    <w:rsid w:val="006E501C"/>
    <w:rsid w:val="006E51CC"/>
    <w:rsid w:val="006E58B2"/>
    <w:rsid w:val="006E5D9A"/>
    <w:rsid w:val="006E603B"/>
    <w:rsid w:val="006E66C8"/>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30B3"/>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55A7"/>
    <w:rsid w:val="0085713D"/>
    <w:rsid w:val="00857A3D"/>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13F0"/>
    <w:rsid w:val="00882C0E"/>
    <w:rsid w:val="00882EC0"/>
    <w:rsid w:val="00883F32"/>
    <w:rsid w:val="008853B6"/>
    <w:rsid w:val="00885692"/>
    <w:rsid w:val="00885BF2"/>
    <w:rsid w:val="00885D49"/>
    <w:rsid w:val="00885FCE"/>
    <w:rsid w:val="00886540"/>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F3C"/>
    <w:rsid w:val="009D1419"/>
    <w:rsid w:val="009D1694"/>
    <w:rsid w:val="009D21EC"/>
    <w:rsid w:val="009D33F6"/>
    <w:rsid w:val="009D39C5"/>
    <w:rsid w:val="009D3A71"/>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362"/>
    <w:rsid w:val="00A6279A"/>
    <w:rsid w:val="00A627A6"/>
    <w:rsid w:val="00A627AD"/>
    <w:rsid w:val="00A63646"/>
    <w:rsid w:val="00A63B3D"/>
    <w:rsid w:val="00A63CCC"/>
    <w:rsid w:val="00A667DA"/>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F89"/>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DF4"/>
    <w:rsid w:val="00C76474"/>
    <w:rsid w:val="00C76AF7"/>
    <w:rsid w:val="00C77CCF"/>
    <w:rsid w:val="00C8030F"/>
    <w:rsid w:val="00C805B1"/>
    <w:rsid w:val="00C8073C"/>
    <w:rsid w:val="00C80830"/>
    <w:rsid w:val="00C80B49"/>
    <w:rsid w:val="00C81B85"/>
    <w:rsid w:val="00C81EBA"/>
    <w:rsid w:val="00C81FC2"/>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E95"/>
    <w:rsid w:val="00D271A5"/>
    <w:rsid w:val="00D2762A"/>
    <w:rsid w:val="00D277C2"/>
    <w:rsid w:val="00D27E7F"/>
    <w:rsid w:val="00D30898"/>
    <w:rsid w:val="00D30DB0"/>
    <w:rsid w:val="00D3120A"/>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6069"/>
    <w:rsid w:val="00E2632A"/>
    <w:rsid w:val="00E275A4"/>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A65"/>
    <w:rsid w:val="00FC51F7"/>
    <w:rsid w:val="00FC57AC"/>
    <w:rsid w:val="00FC57D9"/>
    <w:rsid w:val="00FC5D41"/>
    <w:rsid w:val="00FC5D5F"/>
    <w:rsid w:val="00FC6793"/>
    <w:rsid w:val="00FC6ABE"/>
    <w:rsid w:val="00FC71CA"/>
    <w:rsid w:val="00FC7252"/>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6EA0"/>
    <w:rsid w:val="00FD7443"/>
    <w:rsid w:val="00FD755C"/>
    <w:rsid w:val="00FE0290"/>
    <w:rsid w:val="00FE075D"/>
    <w:rsid w:val="00FE24BE"/>
    <w:rsid w:val="00FE26F2"/>
    <w:rsid w:val="00FE28BC"/>
    <w:rsid w:val="00FE2F1D"/>
    <w:rsid w:val="00FE3167"/>
    <w:rsid w:val="00FE333E"/>
    <w:rsid w:val="00FE34CD"/>
    <w:rsid w:val="00FE3BAD"/>
    <w:rsid w:val="00FE47B8"/>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styleId="MenoPendente">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customXml/itemProps3.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5.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6.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7.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9008</Words>
  <Characters>48645</Characters>
  <Application>Microsoft Office Word</Application>
  <DocSecurity>0</DocSecurity>
  <Lines>405</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Cotas</vt:lpstr>
      <vt:lpstr>AF de Cotas</vt:lpstr>
    </vt:vector>
  </TitlesOfParts>
  <Company>Cascione Pulino</Company>
  <LinksUpToDate>false</LinksUpToDate>
  <CharactersWithSpaces>57538</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Bianca Portella Crochiquia | Coelho Advogados</cp:lastModifiedBy>
  <cp:revision>3</cp:revision>
  <cp:lastPrinted>2020-04-03T21:34:00Z</cp:lastPrinted>
  <dcterms:created xsi:type="dcterms:W3CDTF">2022-06-14T21:13:00Z</dcterms:created>
  <dcterms:modified xsi:type="dcterms:W3CDTF">2022-06-14T21:14:00Z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