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52CC72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02C5CAD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 xml:space="preserve">constituída como garantia ao cumprimento integral das Obrigações Garantidas </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7903A21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 xml:space="preserve">constituída como garantia ao cumprimento integral das Obrigações Garantidas </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International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como garantia ao cumprimento integral das Obrigações Garantidas </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6C9F6E6"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Bernoulli”</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Ouvidor”</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44AD02A8"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w:t>
            </w:r>
            <w:r w:rsidRPr="006637ED">
              <w:rPr>
                <w:rFonts w:ascii="Times New Roman" w:hAnsi="Times New Roman"/>
                <w:b/>
                <w:bCs/>
                <w:sz w:val="22"/>
                <w:szCs w:val="22"/>
                <w:highlight w:val="yellow"/>
              </w:rPr>
              <w:t xml:space="preserve">Nota Virgo: prazo conforme </w:t>
            </w:r>
            <w:proofErr w:type="spellStart"/>
            <w:r w:rsidRPr="006637ED">
              <w:rPr>
                <w:rFonts w:ascii="Times New Roman" w:hAnsi="Times New Roman"/>
                <w:b/>
                <w:bCs/>
                <w:sz w:val="22"/>
                <w:szCs w:val="22"/>
                <w:highlight w:val="yellow"/>
              </w:rPr>
              <w:t>NCs</w:t>
            </w:r>
            <w:proofErr w:type="spellEnd"/>
            <w:r>
              <w:rPr>
                <w:rFonts w:ascii="Times New Roman" w:hAnsi="Times New Roman"/>
                <w:sz w:val="22"/>
                <w:szCs w:val="22"/>
              </w:rPr>
              <w:t>]</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3C4BB302"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5" w:name="_Hlk65664902"/>
            <w:r w:rsidRPr="00FB1C1A">
              <w:rPr>
                <w:rFonts w:ascii="Times New Roman" w:hAnsi="Times New Roman"/>
                <w:sz w:val="22"/>
                <w:szCs w:val="22"/>
              </w:rPr>
              <w:t xml:space="preserve">A Resolução </w:t>
            </w:r>
            <w:bookmarkEnd w:id="15"/>
            <w:r w:rsidRPr="00FB1C1A">
              <w:rPr>
                <w:rFonts w:ascii="Times New Roman" w:hAnsi="Times New Roman"/>
                <w:sz w:val="22"/>
                <w:szCs w:val="22"/>
              </w:rPr>
              <w:t xml:space="preserve">da CVM nº </w:t>
            </w:r>
            <w:bookmarkStart w:id="16" w:name="_Hlk65664913"/>
            <w:r w:rsidRPr="00FB1C1A">
              <w:rPr>
                <w:rFonts w:ascii="Times New Roman" w:hAnsi="Times New Roman"/>
                <w:sz w:val="22"/>
                <w:szCs w:val="22"/>
              </w:rPr>
              <w:t>17, de 9 de fevereiro de 2021</w:t>
            </w:r>
            <w:bookmarkEnd w:id="16"/>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xml:space="preserve">, brasileiro, empresário casado, </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17" w:name="_Toc110076261"/>
      <w:bookmarkStart w:id="18" w:name="_Toc163380699"/>
      <w:bookmarkStart w:id="19" w:name="_Toc180553615"/>
      <w:bookmarkStart w:id="20"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7"/>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18"/>
      <w:bookmarkEnd w:id="19"/>
      <w:bookmarkEnd w:id="20"/>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1"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1"/>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35CCEDC3" w:rsidR="00A22613" w:rsidRDefault="00331C56" w:rsidP="00FB1C1A">
      <w:pPr>
        <w:pStyle w:val="Level2"/>
        <w:spacing w:after="0" w:line="300" w:lineRule="auto"/>
        <w:rPr>
          <w:rFonts w:ascii="Times New Roman" w:hAnsi="Times New Roman"/>
          <w:sz w:val="22"/>
          <w:szCs w:val="22"/>
        </w:rPr>
      </w:pPr>
      <w:bookmarkStart w:id="22" w:name="_DV_C74"/>
      <w:bookmarkStart w:id="23" w:name="_Ref80331815"/>
      <w:bookmarkStart w:id="24" w:name="_Toc110076262"/>
      <w:bookmarkStart w:id="25" w:name="_Toc163380700"/>
      <w:bookmarkStart w:id="26" w:name="_Toc180553616"/>
      <w:bookmarkStart w:id="27"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 xml:space="preserve">(vinte e quatro) meses anteriores à data de encerramento da Oferta Restrita, diretamente atinentes à aquisição, construção e/ou reforma do </w:t>
      </w:r>
      <w:r w:rsidR="00B94539" w:rsidRPr="00FB1C1A">
        <w:rPr>
          <w:rFonts w:ascii="Times New Roman" w:hAnsi="Times New Roman"/>
          <w:sz w:val="22"/>
          <w:szCs w:val="22"/>
        </w:rPr>
        <w:t>Empreendimento Imobiliário</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2"/>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3"/>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11CA3187" w:rsidR="00A22613" w:rsidRDefault="00A22613" w:rsidP="00DB470A">
      <w:pPr>
        <w:pStyle w:val="Level3"/>
        <w:spacing w:after="0" w:line="300" w:lineRule="auto"/>
        <w:rPr>
          <w:rFonts w:ascii="Times New Roman" w:hAnsi="Times New Roman"/>
          <w:sz w:val="22"/>
          <w:szCs w:val="22"/>
        </w:rPr>
      </w:pPr>
      <w:bookmarkStart w:id="28"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28"/>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29"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29"/>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05C7384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deverá alocar, na forma disposta na Cláusula acima, a totalidade dos recursos líquidos obtidos por meio da integralização das Notas Comerciais até a Data de Vencimento dos CRI (conforme definido no Termo de Securitização).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 xml:space="preserve">Instrumento de Emissão, a </w:t>
      </w:r>
      <w:r>
        <w:rPr>
          <w:rFonts w:ascii="Times New Roman" w:hAnsi="Times New Roman"/>
          <w:sz w:val="22"/>
          <w:szCs w:val="22"/>
        </w:rPr>
        <w:t>Devedora</w:t>
      </w:r>
      <w:r w:rsidRPr="005C5EAC">
        <w:rPr>
          <w:rFonts w:ascii="Times New Roman" w:hAnsi="Times New Roman"/>
          <w:sz w:val="22"/>
          <w:szCs w:val="22"/>
        </w:rPr>
        <w:t xml:space="preserve"> permanecerá obrigada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BDC6E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aquisição, construção e reforma do Empreendimento Imobiliário,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xml:space="preserve">, sendo certo que, havendo a possibilidade de resgate ou vencimento antecipado, as obrigações da </w:t>
      </w:r>
      <w:r>
        <w:rPr>
          <w:rFonts w:ascii="Times New Roman" w:hAnsi="Times New Roman"/>
          <w:sz w:val="22"/>
          <w:szCs w:val="22"/>
        </w:rPr>
        <w:t>Devedora</w:t>
      </w:r>
      <w:r w:rsidRPr="005C5EAC">
        <w:rPr>
          <w:rFonts w:ascii="Times New Roman" w:hAnsi="Times New Roman"/>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5A6655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desde que aprovado em assembleia geral por titulares de CRI que representem 50% (cinquenta por cento) mais um dos titulares de CRI em circulação, em primeira convocação ou 50% (cinquenta por cento) mais um dos titulares de CRI presentes em segunda convocação.</w:t>
      </w:r>
    </w:p>
    <w:p w14:paraId="0C6C04A5"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26FAE624" w14:textId="65742F0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 </w:t>
      </w:r>
      <w:r>
        <w:rPr>
          <w:rFonts w:ascii="Times New Roman" w:hAnsi="Times New Roman"/>
          <w:sz w:val="22"/>
          <w:szCs w:val="22"/>
        </w:rPr>
        <w:t>Devedora</w:t>
      </w:r>
      <w:r w:rsidRPr="005C5EAC">
        <w:rPr>
          <w:rFonts w:ascii="Times New Roman" w:hAnsi="Times New Roman"/>
          <w:sz w:val="22"/>
          <w:szCs w:val="22"/>
        </w:rPr>
        <w:t xml:space="preserve"> estima, nesta data, que a destinação ocorrerá conforme cronograma estabelecido, de forma indicativa e não vinculante, no Anexo </w:t>
      </w:r>
      <w:r w:rsidR="00DC285D">
        <w:rPr>
          <w:rFonts w:ascii="Times New Roman" w:hAnsi="Times New Roman"/>
          <w:sz w:val="22"/>
          <w:szCs w:val="22"/>
        </w:rPr>
        <w:t>XI</w:t>
      </w:r>
      <w:r>
        <w:rPr>
          <w:rFonts w:ascii="Times New Roman" w:hAnsi="Times New Roman"/>
          <w:sz w:val="22"/>
          <w:szCs w:val="22"/>
        </w:rPr>
        <w:t xml:space="preserve"> do presente Termo de Securitização </w:t>
      </w:r>
      <w:r w:rsidRPr="005C5EAC">
        <w:rPr>
          <w:rFonts w:ascii="Times New Roman" w:hAnsi="Times New Roman"/>
          <w:sz w:val="22"/>
          <w:szCs w:val="22"/>
        </w:rPr>
        <w:t xml:space="preserve">(“Cronograma Indicativo”), sendo que, caso necessário, a </w:t>
      </w:r>
      <w:r>
        <w:rPr>
          <w:rFonts w:ascii="Times New Roman" w:hAnsi="Times New Roman"/>
          <w:sz w:val="22"/>
          <w:szCs w:val="22"/>
        </w:rPr>
        <w:t>Devedora</w:t>
      </w:r>
      <w:r w:rsidRPr="005C5EAC">
        <w:rPr>
          <w:rFonts w:ascii="Times New Roman" w:hAnsi="Times New Roman"/>
          <w:sz w:val="22"/>
          <w:szCs w:val="22"/>
        </w:rPr>
        <w:t xml:space="preserve"> poderá destinar os recursos provenientes d</w:t>
      </w:r>
      <w:r w:rsidR="004926C5">
        <w:rPr>
          <w:rFonts w:ascii="Times New Roman" w:hAnsi="Times New Roman"/>
          <w:sz w:val="22"/>
          <w:szCs w:val="22"/>
        </w:rPr>
        <w:t>o</w:t>
      </w:r>
      <w:r w:rsidRPr="005C5EAC">
        <w:rPr>
          <w:rFonts w:ascii="Times New Roman" w:hAnsi="Times New Roman"/>
          <w:sz w:val="22"/>
          <w:szCs w:val="22"/>
        </w:rPr>
        <w:t xml:space="preserve"> Instrumento de Emissão em datas diversas das previstas no Cronograma Indicativo, observada a obrigação da </w:t>
      </w:r>
      <w:r>
        <w:rPr>
          <w:rFonts w:ascii="Times New Roman" w:hAnsi="Times New Roman"/>
          <w:sz w:val="22"/>
          <w:szCs w:val="22"/>
        </w:rPr>
        <w:t>Devedora</w:t>
      </w:r>
      <w:r w:rsidRPr="005C5EAC">
        <w:rPr>
          <w:rFonts w:ascii="Times New Roman" w:hAnsi="Times New Roman"/>
          <w:sz w:val="22"/>
          <w:szCs w:val="22"/>
        </w:rPr>
        <w:t xml:space="preserve"> de realizar a integral destinação de recursos até a Data de Vencimento dos CRI ou até que a </w:t>
      </w:r>
      <w:r>
        <w:rPr>
          <w:rFonts w:ascii="Times New Roman" w:hAnsi="Times New Roman"/>
          <w:sz w:val="22"/>
          <w:szCs w:val="22"/>
        </w:rPr>
        <w:t>Devedora</w:t>
      </w:r>
      <w:r w:rsidRPr="005C5EAC">
        <w:rPr>
          <w:rFonts w:ascii="Times New Roman" w:hAnsi="Times New Roman"/>
          <w:sz w:val="22"/>
          <w:szCs w:val="22"/>
        </w:rPr>
        <w:t xml:space="preserve">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(conforme abaixo definido),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xml:space="preserve">) não será configurada qualquer hipótese de vencimento antecipado </w:t>
      </w:r>
      <w:r w:rsidR="00FD5346">
        <w:rPr>
          <w:rFonts w:ascii="Times New Roman" w:hAnsi="Times New Roman"/>
          <w:sz w:val="22"/>
          <w:szCs w:val="22"/>
        </w:rPr>
        <w:t xml:space="preserve">do </w:t>
      </w:r>
      <w:r w:rsidRPr="005C5EAC">
        <w:rPr>
          <w:rFonts w:ascii="Times New Roman" w:hAnsi="Times New Roman"/>
          <w:sz w:val="22"/>
          <w:szCs w:val="22"/>
        </w:rPr>
        <w:t xml:space="preserve">Instrumento de Emissão e nem dos CRI, desde que a </w:t>
      </w:r>
      <w:r>
        <w:rPr>
          <w:rFonts w:ascii="Times New Roman" w:hAnsi="Times New Roman"/>
          <w:sz w:val="22"/>
          <w:szCs w:val="22"/>
        </w:rPr>
        <w:t>Devedora</w:t>
      </w:r>
      <w:r w:rsidRPr="005C5EAC">
        <w:rPr>
          <w:rFonts w:ascii="Times New Roman" w:hAnsi="Times New Roman"/>
          <w:sz w:val="22"/>
          <w:szCs w:val="22"/>
        </w:rPr>
        <w:t xml:space="preserve"> comprove a integral destinação de recursos até a Data de Vencimento dos CRI.</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353E41F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xml:space="preserve">”), acompanhado do Relatório de Evolução da Obra (abaixo definido) elaborado pelo técnico responsável pelo Empreendimento Imobiliário, das respectivas Notas Fiscais e do cronograma físico financeiro de avanço de obras do Empreendimento Imobiliário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35BB5EC1"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 xml:space="preserve">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 </w:t>
      </w:r>
      <w:r>
        <w:rPr>
          <w:rFonts w:ascii="Times New Roman" w:hAnsi="Times New Roman"/>
          <w:sz w:val="22"/>
          <w:szCs w:val="22"/>
        </w:rPr>
        <w:t>Devedora</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02ED579"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Caberá à </w:t>
      </w:r>
      <w:r>
        <w:rPr>
          <w:rFonts w:ascii="Times New Roman" w:hAnsi="Times New Roman"/>
          <w:sz w:val="22"/>
          <w:szCs w:val="22"/>
        </w:rPr>
        <w:t>Devedora</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16D2D37A"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do Empreendimento Imobiliário, estando tal fiscalização restrita ao envio, pela </w:t>
      </w:r>
      <w:r>
        <w:rPr>
          <w:rFonts w:ascii="Times New Roman" w:hAnsi="Times New Roman"/>
          <w:sz w:val="22"/>
          <w:szCs w:val="22"/>
        </w:rPr>
        <w:t>Devedora</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3107B54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 obriga,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7EC0176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pagamento da indenização a que se refere a Cláusula acima será realizado pela </w:t>
      </w:r>
      <w:r>
        <w:rPr>
          <w:rFonts w:ascii="Times New Roman" w:hAnsi="Times New Roman"/>
          <w:sz w:val="22"/>
          <w:szCs w:val="22"/>
        </w:rPr>
        <w:t>Devedora</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0ED91466"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w:t>
      </w:r>
      <w:r>
        <w:rPr>
          <w:rFonts w:ascii="Times New Roman" w:hAnsi="Times New Roman"/>
          <w:sz w:val="22"/>
          <w:szCs w:val="22"/>
        </w:rPr>
        <w:t>Devedora</w:t>
      </w:r>
      <w:r w:rsidRPr="005C5EAC">
        <w:rPr>
          <w:rFonts w:ascii="Times New Roman" w:hAnsi="Times New Roman"/>
          <w:sz w:val="22"/>
          <w:szCs w:val="22"/>
        </w:rPr>
        <w:t xml:space="preserve"> se obriga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4"/>
      <w:bookmarkEnd w:id="25"/>
      <w:bookmarkEnd w:id="26"/>
      <w:bookmarkEnd w:id="27"/>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798AEA26"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Os CRI somente poderão ser negociados entre Investidores Profissionais nos termos do Parágrafo 4º do artigo 37 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004317E9" w:rsidRPr="00FB1C1A">
        <w:rPr>
          <w:rFonts w:ascii="Times New Roman" w:hAnsi="Times New Roman"/>
          <w:sz w:val="22"/>
          <w:szCs w:val="22"/>
        </w:rPr>
        <w:t>ii</w:t>
      </w:r>
      <w:proofErr w:type="spellEnd"/>
      <w:r w:rsidR="004317E9"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004317E9" w:rsidRPr="00FB1C1A">
        <w:rPr>
          <w:rFonts w:ascii="Times New Roman" w:hAnsi="Times New Roman"/>
          <w:sz w:val="22"/>
          <w:szCs w:val="22"/>
        </w:rPr>
        <w:t>iii</w:t>
      </w:r>
      <w:proofErr w:type="spellEnd"/>
      <w:r w:rsidR="004317E9"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3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2F59267"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r w:rsidR="004951C8" w:rsidRPr="00CA14B3">
        <w:rPr>
          <w:rFonts w:ascii="Times New Roman" w:eastAsia="Arial Unicode MS" w:hAnsi="Times New Roman" w:cs="Times New Roman"/>
          <w:caps w:val="0"/>
          <w:color w:val="auto"/>
          <w:sz w:val="22"/>
          <w:szCs w:val="22"/>
          <w:highlight w:val="yellow"/>
          <w:lang w:bidi="th-TH"/>
        </w:rPr>
        <w:t>Nota Coelho Advogados: Virgo sugere alteração de Data de Aniversário para Data de Pagamento. XP Favor confirmar</w:t>
      </w:r>
      <w:r w:rsidR="004951C8">
        <w:rPr>
          <w:rFonts w:ascii="Times New Roman" w:eastAsia="Arial Unicode MS" w:hAnsi="Times New Roman" w:cs="Times New Roman"/>
          <w:b w:val="0"/>
          <w:bCs w:val="0"/>
          <w:caps w:val="0"/>
          <w:color w:val="auto"/>
          <w:sz w:val="22"/>
          <w:szCs w:val="22"/>
          <w:lang w:bidi="th-TH"/>
        </w:rPr>
        <w:t>]</w:t>
      </w:r>
      <w:r w:rsidR="00B100E3">
        <w:rPr>
          <w:rFonts w:ascii="Times New Roman" w:eastAsia="Arial Unicode MS" w:hAnsi="Times New Roman" w:cs="Times New Roman"/>
          <w:b w:val="0"/>
          <w:bCs w:val="0"/>
          <w:caps w:val="0"/>
          <w:color w:val="auto"/>
          <w:sz w:val="22"/>
          <w:szCs w:val="22"/>
          <w:lang w:bidi="th-TH"/>
        </w:rPr>
        <w:t xml:space="preserve"> </w:t>
      </w:r>
      <w:r w:rsidR="00B100E3" w:rsidRPr="005D3CC0">
        <w:rPr>
          <w:rFonts w:ascii="Times New Roman" w:eastAsia="Arial Unicode MS" w:hAnsi="Times New Roman" w:cs="Times New Roman"/>
          <w:b w:val="0"/>
          <w:bCs w:val="0"/>
          <w:caps w:val="0"/>
          <w:color w:val="auto"/>
          <w:sz w:val="22"/>
          <w:szCs w:val="22"/>
          <w:highlight w:val="cyan"/>
          <w:lang w:bidi="th-TH"/>
        </w:rPr>
        <w:t>[</w:t>
      </w:r>
      <w:r w:rsidR="00EF3DB2" w:rsidRPr="00EF3DB2">
        <w:rPr>
          <w:rFonts w:ascii="Times New Roman" w:eastAsia="Arial Unicode MS" w:hAnsi="Times New Roman" w:cs="Times New Roman"/>
          <w:caps w:val="0"/>
          <w:color w:val="auto"/>
          <w:sz w:val="22"/>
          <w:szCs w:val="22"/>
          <w:highlight w:val="yellow"/>
          <w:lang w:bidi="th-TH"/>
        </w:rPr>
        <w:t xml:space="preserve"> </w:t>
      </w:r>
      <w:r w:rsidR="00EF3DB2" w:rsidRPr="007568CC">
        <w:rPr>
          <w:rFonts w:ascii="Times New Roman" w:eastAsia="Arial Unicode MS" w:hAnsi="Times New Roman" w:cs="Times New Roman"/>
          <w:caps w:val="0"/>
          <w:color w:val="auto"/>
          <w:sz w:val="22"/>
          <w:szCs w:val="22"/>
          <w:highlight w:val="yellow"/>
          <w:lang w:bidi="th-TH"/>
        </w:rPr>
        <w:t>Nota Coelho Advogados: ajustado</w:t>
      </w:r>
      <w:r w:rsidR="00EF3DB2">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6BABAB5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referente ao mês anterior à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33D9892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78B0E4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5EBDFF"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data de pagamento</w:t>
      </w:r>
      <w:r w:rsidR="00AD775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31"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31"/>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3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32"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24A5F274"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a Emissora e os Fiadores, de forma solidária, deverão recompor tal fundo ao Valor Inicial do Fundo de Despesas, em até 5 (cinco) Dias Úteis</w:t>
      </w:r>
      <w:r w:rsidR="00C52066">
        <w:rPr>
          <w:rFonts w:ascii="Times New Roman" w:hAnsi="Times New Roman"/>
          <w:sz w:val="22"/>
          <w:szCs w:val="22"/>
        </w:rPr>
        <w:t>, sob pena de Vencimento Antecipado Automático</w:t>
      </w:r>
      <w:r w:rsidRPr="002F33CA">
        <w:rPr>
          <w:rFonts w:ascii="Times New Roman" w:hAnsi="Times New Roman"/>
          <w:sz w:val="22"/>
          <w:szCs w:val="22"/>
        </w:rPr>
        <w:t xml:space="preserve">. </w:t>
      </w:r>
      <w:r w:rsidR="00605756">
        <w:rPr>
          <w:rFonts w:ascii="Times New Roman" w:hAnsi="Times New Roman"/>
          <w:sz w:val="22"/>
          <w:szCs w:val="22"/>
        </w:rPr>
        <w:t>[</w:t>
      </w:r>
      <w:r w:rsidR="00605756" w:rsidRPr="00CA14B3">
        <w:rPr>
          <w:rFonts w:ascii="Times New Roman" w:hAnsi="Times New Roman"/>
          <w:b/>
          <w:bCs/>
          <w:sz w:val="22"/>
          <w:szCs w:val="22"/>
          <w:highlight w:val="yellow"/>
        </w:rPr>
        <w:t>Nota Jurídico XP: Entendo que, findo o prazo de 5 dias após a notificação, deve estar prevista hipótese de vencimento antecipado nesse sentido]</w:t>
      </w:r>
      <w:r w:rsidR="00C52066" w:rsidRPr="00CA14B3">
        <w:rPr>
          <w:rFonts w:ascii="Times New Roman" w:hAnsi="Times New Roman"/>
          <w:b/>
          <w:bCs/>
          <w:sz w:val="22"/>
          <w:szCs w:val="22"/>
          <w:highlight w:val="yellow"/>
        </w:rPr>
        <w:t xml:space="preserve">[Nota Coelho Advogados: </w:t>
      </w:r>
      <w:r w:rsidR="00BA1FCA" w:rsidRPr="00CA14B3">
        <w:rPr>
          <w:rFonts w:ascii="Times New Roman" w:hAnsi="Times New Roman"/>
          <w:b/>
          <w:bCs/>
          <w:sz w:val="22"/>
          <w:szCs w:val="22"/>
          <w:highlight w:val="yellow"/>
        </w:rPr>
        <w:t>hipótese contemplada pelo descumprimento de obrigação pecuniária</w:t>
      </w:r>
      <w:r w:rsidR="00C52066">
        <w:rPr>
          <w:rFonts w:ascii="Times New Roman" w:hAnsi="Times New Roman"/>
          <w:sz w:val="22"/>
          <w:szCs w:val="22"/>
        </w:rPr>
        <w:t>]</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4D2D02D9"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D5637E">
        <w:rPr>
          <w:rFonts w:ascii="Times New Roman" w:hAnsi="Times New Roman"/>
          <w:sz w:val="22"/>
          <w:szCs w:val="32"/>
        </w:rPr>
        <w:t>e/</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64C774C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0ADAA9F6"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072ABEB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EC5899D"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r w:rsidR="00FF2F18">
        <w:rPr>
          <w:rFonts w:ascii="Times New Roman" w:hAnsi="Times New Roman"/>
          <w:sz w:val="22"/>
          <w:szCs w:val="22"/>
        </w:rPr>
        <w:t>[</w:t>
      </w:r>
      <w:r w:rsidR="00FF2F18" w:rsidRPr="00CA14B3">
        <w:rPr>
          <w:rFonts w:ascii="Times New Roman" w:hAnsi="Times New Roman"/>
          <w:b/>
          <w:bCs/>
          <w:sz w:val="22"/>
          <w:szCs w:val="22"/>
          <w:highlight w:val="yellow"/>
        </w:rPr>
        <w:t>Nota Jurídico XP: Entendo que, findo o prazo de 5 dias após a notificação, deve estar prevista hipótese de vencimento antecipado nesse sentido</w:t>
      </w:r>
      <w:r w:rsidR="00FF2F18">
        <w:rPr>
          <w:rFonts w:ascii="Times New Roman" w:hAnsi="Times New Roman"/>
          <w:sz w:val="22"/>
          <w:szCs w:val="22"/>
        </w:rPr>
        <w:t>]</w:t>
      </w:r>
      <w:r w:rsidR="00FF2F18" w:rsidRPr="00FF2F18">
        <w:rPr>
          <w:rFonts w:ascii="Times New Roman" w:hAnsi="Times New Roman"/>
          <w:b/>
          <w:bCs/>
          <w:sz w:val="22"/>
          <w:szCs w:val="22"/>
          <w:highlight w:val="yellow"/>
        </w:rPr>
        <w:t xml:space="preserve"> </w:t>
      </w:r>
      <w:r w:rsidR="00FF2F18" w:rsidRPr="009E653C">
        <w:rPr>
          <w:rFonts w:ascii="Times New Roman" w:hAnsi="Times New Roman"/>
          <w:b/>
          <w:bCs/>
          <w:sz w:val="22"/>
          <w:szCs w:val="22"/>
          <w:highlight w:val="yellow"/>
        </w:rPr>
        <w:t>[Nota Coelho Advogados: hipótese contemplada pelo descumprimento de obrigação pecuniária</w:t>
      </w:r>
      <w:r w:rsidR="00FF2F18">
        <w:rPr>
          <w:rFonts w:ascii="Times New Roman" w:hAnsi="Times New Roman"/>
          <w:sz w:val="22"/>
          <w:szCs w:val="22"/>
        </w:rPr>
        <w:t>]</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3CC21C96" w14:textId="76CA7809" w:rsidR="000C5E19" w:rsidRDefault="00922C1B" w:rsidP="000C5E19">
      <w:pPr>
        <w:pStyle w:val="Level3"/>
        <w:spacing w:after="0"/>
        <w:ind w:left="425"/>
        <w:rPr>
          <w:rFonts w:ascii="Times New Roman" w:hAnsi="Times New Roman"/>
          <w:sz w:val="22"/>
          <w:szCs w:val="22"/>
        </w:rPr>
      </w:pPr>
      <w:r w:rsidRPr="002F33CA">
        <w:rPr>
          <w:rFonts w:ascii="Times New Roman" w:hAnsi="Times New Roman"/>
          <w:sz w:val="22"/>
          <w:szCs w:val="22"/>
        </w:rPr>
        <w:t xml:space="preserve">Os pagamentos dos serviços e materiais a serem adquiridos com os recursos dos adiantamentos serão realizados </w:t>
      </w:r>
      <w:r w:rsidR="00A8796B">
        <w:rPr>
          <w:rFonts w:ascii="Times New Roman" w:hAnsi="Times New Roman"/>
          <w:sz w:val="22"/>
          <w:szCs w:val="22"/>
        </w:rPr>
        <w:t xml:space="preserve">pela Securitizadora </w:t>
      </w:r>
      <w:r w:rsidR="00363BFF">
        <w:rPr>
          <w:rFonts w:ascii="Times New Roman" w:hAnsi="Times New Roman"/>
          <w:sz w:val="22"/>
          <w:szCs w:val="22"/>
        </w:rPr>
        <w:t xml:space="preserve">por conta e ordem das Devedoras, com os recursos depositados na </w:t>
      </w:r>
      <w:r w:rsidR="00201FD5">
        <w:rPr>
          <w:rFonts w:ascii="Times New Roman" w:hAnsi="Times New Roman"/>
          <w:sz w:val="22"/>
          <w:szCs w:val="22"/>
        </w:rPr>
        <w:t>conta a ser exclusivamente aberta para esse fim</w:t>
      </w:r>
      <w:r w:rsidRPr="002F33CA">
        <w:rPr>
          <w:rFonts w:ascii="Times New Roman" w:hAnsi="Times New Roman"/>
          <w:sz w:val="22"/>
          <w:szCs w:val="22"/>
        </w:rPr>
        <w:t xml:space="preserve"> </w:t>
      </w:r>
      <w:r w:rsidR="00201FD5">
        <w:rPr>
          <w:rFonts w:ascii="Times New Roman" w:hAnsi="Times New Roman"/>
          <w:sz w:val="22"/>
          <w:szCs w:val="22"/>
        </w:rPr>
        <w:t>junto ao Banco XP [</w:t>
      </w:r>
      <w:r w:rsidR="00201FD5" w:rsidRPr="00CA14B3">
        <w:rPr>
          <w:rFonts w:ascii="Times New Roman" w:hAnsi="Times New Roman"/>
          <w:sz w:val="22"/>
          <w:szCs w:val="22"/>
          <w:highlight w:val="yellow"/>
        </w:rPr>
        <w:t>qualificar]</w:t>
      </w:r>
      <w:r w:rsidR="00201FD5">
        <w:rPr>
          <w:rFonts w:ascii="Times New Roman" w:hAnsi="Times New Roman"/>
          <w:sz w:val="22"/>
          <w:szCs w:val="22"/>
        </w:rPr>
        <w:t xml:space="preserve"> </w:t>
      </w:r>
      <w:r w:rsidR="009B11E2">
        <w:rPr>
          <w:rFonts w:ascii="Times New Roman" w:hAnsi="Times New Roman"/>
          <w:sz w:val="22"/>
          <w:szCs w:val="22"/>
        </w:rPr>
        <w:t>mediante a apresentação do</w:t>
      </w:r>
      <w:r w:rsidRPr="002F33CA">
        <w:rPr>
          <w:rFonts w:ascii="Times New Roman" w:hAnsi="Times New Roman"/>
          <w:sz w:val="22"/>
          <w:szCs w:val="22"/>
        </w:rPr>
        <w:t xml:space="preserve">s respectivos comprovantes </w:t>
      </w:r>
      <w:r w:rsidR="009B11E2">
        <w:rPr>
          <w:rFonts w:ascii="Times New Roman" w:hAnsi="Times New Roman"/>
          <w:sz w:val="22"/>
          <w:szCs w:val="22"/>
        </w:rPr>
        <w:t xml:space="preserve">que </w:t>
      </w:r>
      <w:r w:rsidRPr="002F33CA">
        <w:rPr>
          <w:rFonts w:ascii="Times New Roman" w:hAnsi="Times New Roman"/>
          <w:sz w:val="22"/>
          <w:szCs w:val="22"/>
        </w:rPr>
        <w:t xml:space="preserve">deverão ser entregues à Empresa de Engenharia Independente, dentro de </w:t>
      </w:r>
      <w:r w:rsidR="000C5E19">
        <w:rPr>
          <w:rFonts w:ascii="Times New Roman" w:hAnsi="Times New Roman"/>
          <w:sz w:val="22"/>
          <w:szCs w:val="22"/>
        </w:rPr>
        <w:t>2</w:t>
      </w:r>
      <w:r w:rsidR="000C5E19" w:rsidRPr="002F33CA">
        <w:rPr>
          <w:rFonts w:ascii="Times New Roman" w:hAnsi="Times New Roman"/>
          <w:sz w:val="22"/>
          <w:szCs w:val="22"/>
        </w:rPr>
        <w:t xml:space="preserve"> (</w:t>
      </w:r>
      <w:r w:rsidR="000C5E19">
        <w:rPr>
          <w:rFonts w:ascii="Times New Roman" w:hAnsi="Times New Roman"/>
          <w:sz w:val="22"/>
          <w:szCs w:val="22"/>
        </w:rPr>
        <w:t>dois</w:t>
      </w:r>
      <w:r w:rsidR="000C5E19" w:rsidRPr="002F33CA">
        <w:rPr>
          <w:rFonts w:ascii="Times New Roman" w:hAnsi="Times New Roman"/>
          <w:sz w:val="22"/>
          <w:szCs w:val="22"/>
        </w:rPr>
        <w:t>) Dias Úteis contados da data em que tais pagamentos tiverem sido realizados.</w:t>
      </w:r>
      <w:r w:rsidR="000C5E19" w:rsidRPr="00CA14B3">
        <w:rPr>
          <w:rFonts w:ascii="Times New Roman" w:hAnsi="Times New Roman"/>
          <w:sz w:val="22"/>
          <w:szCs w:val="22"/>
        </w:rPr>
        <w:t xml:space="preserve"> </w:t>
      </w:r>
      <w:r w:rsidR="000C5E19" w:rsidRPr="00CA14B3">
        <w:rPr>
          <w:rFonts w:ascii="Times New Roman" w:hAnsi="Times New Roman"/>
          <w:sz w:val="22"/>
          <w:szCs w:val="22"/>
          <w:highlight w:val="yellow"/>
        </w:rPr>
        <w:t xml:space="preserve">[Nota DC: aqui o operacional será desembolsar os recursos na conta </w:t>
      </w:r>
      <w:proofErr w:type="spellStart"/>
      <w:r w:rsidR="000C5E19" w:rsidRPr="00CA14B3">
        <w:rPr>
          <w:rFonts w:ascii="Times New Roman" w:hAnsi="Times New Roman"/>
          <w:sz w:val="22"/>
          <w:szCs w:val="22"/>
          <w:highlight w:val="yellow"/>
        </w:rPr>
        <w:t>xp</w:t>
      </w:r>
      <w:proofErr w:type="spellEnd"/>
      <w:r w:rsidR="000C5E19" w:rsidRPr="00CA14B3">
        <w:rPr>
          <w:rFonts w:ascii="Times New Roman" w:hAnsi="Times New Roman"/>
          <w:sz w:val="22"/>
          <w:szCs w:val="22"/>
          <w:highlight w:val="yellow"/>
        </w:rPr>
        <w:t xml:space="preserve"> das devedoras, que abriremos, e lá faremos o pagamento para o terceiro direto. Favor ajustar nesse sentido]</w:t>
      </w:r>
      <w:r w:rsidR="00304A71">
        <w:rPr>
          <w:rFonts w:ascii="Times New Roman" w:hAnsi="Times New Roman"/>
          <w:sz w:val="22"/>
          <w:szCs w:val="22"/>
        </w:rPr>
        <w:t xml:space="preserve"> [</w:t>
      </w:r>
      <w:r w:rsidR="00304A71" w:rsidRPr="00CA14B3">
        <w:rPr>
          <w:rFonts w:ascii="Times New Roman" w:hAnsi="Times New Roman"/>
          <w:b/>
          <w:bCs/>
          <w:sz w:val="22"/>
          <w:szCs w:val="22"/>
          <w:highlight w:val="yellow"/>
        </w:rPr>
        <w:t>Nota Coelho Advogados: Ajuste efetuado</w:t>
      </w:r>
      <w:r w:rsidR="00304A71">
        <w:rPr>
          <w:rFonts w:ascii="Times New Roman" w:hAnsi="Times New Roman"/>
          <w:sz w:val="22"/>
          <w:szCs w:val="22"/>
        </w:rPr>
        <w:t>]</w:t>
      </w:r>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506BDF30"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r w:rsidR="00304A71">
        <w:rPr>
          <w:rFonts w:ascii="Times New Roman" w:hAnsi="Times New Roman"/>
          <w:sz w:val="22"/>
          <w:szCs w:val="22"/>
        </w:rPr>
        <w:t xml:space="preserve">a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17086C6E"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332636D2"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371659">
        <w:rPr>
          <w:rFonts w:ascii="Times New Roman" w:hAnsi="Times New Roman"/>
          <w:sz w:val="22"/>
          <w:szCs w:val="22"/>
        </w:rPr>
        <w:t>, sob pena de Vencimento Antecipado Automático</w:t>
      </w:r>
      <w:r w:rsidRPr="007B7B2E">
        <w:rPr>
          <w:rFonts w:ascii="Times New Roman" w:hAnsi="Times New Roman"/>
          <w:sz w:val="22"/>
          <w:szCs w:val="22"/>
        </w:rPr>
        <w:t>.</w:t>
      </w:r>
      <w:r w:rsidR="001C4FA5" w:rsidRPr="001C4FA5">
        <w:rPr>
          <w:rFonts w:ascii="Times New Roman" w:hAnsi="Times New Roman"/>
          <w:sz w:val="22"/>
          <w:szCs w:val="22"/>
        </w:rPr>
        <w:t xml:space="preserve"> </w:t>
      </w:r>
      <w:r w:rsidR="001C4FA5">
        <w:rPr>
          <w:rFonts w:ascii="Times New Roman" w:hAnsi="Times New Roman"/>
          <w:sz w:val="22"/>
          <w:szCs w:val="22"/>
        </w:rPr>
        <w:t>[</w:t>
      </w:r>
      <w:r w:rsidR="001C4FA5" w:rsidRPr="00CA14B3">
        <w:rPr>
          <w:rFonts w:ascii="Times New Roman" w:hAnsi="Times New Roman"/>
          <w:b/>
          <w:bCs/>
          <w:sz w:val="22"/>
          <w:szCs w:val="22"/>
          <w:highlight w:val="yellow"/>
        </w:rPr>
        <w:t>Nota Jurídico XP: Mesmo comentário acima</w:t>
      </w:r>
      <w:r w:rsidR="001C4FA5">
        <w:rPr>
          <w:rFonts w:ascii="Times New Roman" w:hAnsi="Times New Roman"/>
          <w:sz w:val="22"/>
          <w:szCs w:val="22"/>
        </w:rPr>
        <w:t>]</w:t>
      </w:r>
      <w:r w:rsidR="001C4FA5" w:rsidRPr="001C4FA5">
        <w:rPr>
          <w:rFonts w:ascii="Times New Roman" w:hAnsi="Times New Roman"/>
          <w:b/>
          <w:bCs/>
          <w:sz w:val="22"/>
          <w:szCs w:val="22"/>
          <w:highlight w:val="yellow"/>
        </w:rPr>
        <w:t xml:space="preserve"> </w:t>
      </w:r>
      <w:r w:rsidR="001C4FA5" w:rsidRPr="009E653C">
        <w:rPr>
          <w:rFonts w:ascii="Times New Roman" w:hAnsi="Times New Roman"/>
          <w:b/>
          <w:bCs/>
          <w:sz w:val="22"/>
          <w:szCs w:val="22"/>
          <w:highlight w:val="yellow"/>
        </w:rPr>
        <w:t>[Nota Coelho Advogados: hipótese contemplada pelo descumprimento de obrigação pecuniária</w:t>
      </w:r>
      <w:r w:rsidR="001C4FA5">
        <w:rPr>
          <w:rFonts w:ascii="Times New Roman" w:hAnsi="Times New Roman"/>
          <w:sz w:val="22"/>
          <w:szCs w:val="22"/>
        </w:rPr>
        <w:t>]</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4FF34266"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r w:rsidR="00243198">
        <w:rPr>
          <w:rFonts w:ascii="Times New Roman" w:hAnsi="Times New Roman"/>
          <w:sz w:val="22"/>
          <w:szCs w:val="22"/>
        </w:rPr>
        <w:t>[</w:t>
      </w:r>
      <w:r w:rsidR="00243198" w:rsidRPr="00CA14B3">
        <w:rPr>
          <w:rFonts w:ascii="Times New Roman" w:hAnsi="Times New Roman"/>
          <w:b/>
          <w:bCs/>
          <w:sz w:val="22"/>
          <w:szCs w:val="22"/>
          <w:highlight w:val="yellow"/>
        </w:rPr>
        <w:t>Nota FB: incluir definição de Credora</w:t>
      </w:r>
      <w:r w:rsidR="00243198">
        <w:rPr>
          <w:rFonts w:ascii="Times New Roman" w:hAnsi="Times New Roman"/>
          <w:sz w:val="22"/>
          <w:szCs w:val="22"/>
        </w:rPr>
        <w:t>][</w:t>
      </w:r>
      <w:r w:rsidR="00243198" w:rsidRPr="00CA14B3">
        <w:rPr>
          <w:rFonts w:ascii="Times New Roman" w:hAnsi="Times New Roman"/>
          <w:b/>
          <w:bCs/>
          <w:sz w:val="22"/>
          <w:szCs w:val="22"/>
          <w:highlight w:val="yellow"/>
        </w:rPr>
        <w:t>Nota Coelho Advogados: Ajuste efetuado</w:t>
      </w:r>
      <w:r w:rsidR="00243198">
        <w:rPr>
          <w:rFonts w:ascii="Times New Roman" w:hAnsi="Times New Roman"/>
          <w:sz w:val="22"/>
          <w:szCs w:val="22"/>
        </w:rPr>
        <w:t>]</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5D3CC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326DF4AE"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0769EF" w:rsidRPr="00090D66">
        <w:rPr>
          <w:rFonts w:ascii="Times New Roman" w:eastAsia="Arial Unicode MS" w:hAnsi="Times New Roman"/>
          <w:bCs/>
          <w:kern w:val="32"/>
          <w:sz w:val="22"/>
          <w:szCs w:val="22"/>
          <w:lang w:bidi="th-TH"/>
        </w:rPr>
        <w:t>Após transcorrido o período de 12 (doze) meses a contar da Data de Emissão</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(inclusive)</w:t>
      </w:r>
      <w:r w:rsidR="00C65592" w:rsidRPr="00C65592">
        <w:rPr>
          <w:rFonts w:ascii="Times New Roman" w:hAnsi="Times New Roman"/>
          <w:bCs/>
          <w:sz w:val="22"/>
          <w:szCs w:val="22"/>
        </w:rPr>
        <w:t xml:space="preserve"> </w:t>
      </w:r>
      <w:r w:rsidR="00C65592">
        <w:rPr>
          <w:rFonts w:ascii="Times New Roman" w:hAnsi="Times New Roman"/>
          <w:bCs/>
          <w:sz w:val="22"/>
          <w:szCs w:val="22"/>
        </w:rPr>
        <w:t>e, cumulativamente,</w:t>
      </w:r>
      <w:r w:rsidR="000769EF" w:rsidRPr="00090D66">
        <w:rPr>
          <w:rFonts w:ascii="Times New Roman" w:hAnsi="Times New Roman"/>
          <w:bCs/>
          <w:sz w:val="22"/>
          <w:szCs w:val="22"/>
        </w:rPr>
        <w:t xml:space="preserv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a hipótese de verificação de conclusão das obras e de que o Empreendimento Imobiliário está performado</w:t>
      </w:r>
      <w:r w:rsidR="00A943D7">
        <w:rPr>
          <w:rFonts w:ascii="Times New Roman" w:eastAsia="Arial Unicode MS" w:hAnsi="Times New Roman"/>
          <w:kern w:val="32"/>
          <w:sz w:val="22"/>
          <w:szCs w:val="22"/>
          <w:lang w:bidi="th-TH"/>
        </w:rPr>
        <w:t xml:space="preserve"> </w:t>
      </w:r>
      <w:r w:rsidR="002477B9">
        <w:rPr>
          <w:rFonts w:ascii="Times New Roman" w:eastAsia="Arial Unicode MS" w:hAnsi="Times New Roman"/>
          <w:kern w:val="32"/>
          <w:sz w:val="22"/>
          <w:szCs w:val="22"/>
          <w:lang w:bidi="th-TH"/>
        </w:rPr>
        <w:t>com a Central Geradora de Energia Elétrica em</w:t>
      </w:r>
      <w:r w:rsidR="00A943D7">
        <w:rPr>
          <w:rFonts w:ascii="Times New Roman" w:eastAsia="Arial Unicode MS" w:hAnsi="Times New Roman"/>
          <w:kern w:val="32"/>
          <w:sz w:val="22"/>
          <w:szCs w:val="22"/>
          <w:lang w:bidi="th-TH"/>
        </w:rPr>
        <w:t xml:space="preserve"> funcionamento</w:t>
      </w:r>
      <w:r w:rsidR="000769EF" w:rsidRPr="00090D66">
        <w:rPr>
          <w:rFonts w:ascii="Times New Roman" w:eastAsia="Arial Unicode MS" w:hAnsi="Times New Roman"/>
          <w:kern w:val="32"/>
          <w:sz w:val="22"/>
          <w:szCs w:val="22"/>
          <w:lang w:bidi="th-TH"/>
        </w:rPr>
        <w:t xml:space="preserve">, mediante apresentação de Relatório de Evolução de Obras, a Remuneração </w:t>
      </w:r>
      <w:r w:rsidR="00B3616B">
        <w:rPr>
          <w:rFonts w:ascii="Times New Roman" w:eastAsia="Arial Unicode MS" w:hAnsi="Times New Roman"/>
          <w:kern w:val="32"/>
          <w:sz w:val="22"/>
          <w:szCs w:val="22"/>
          <w:lang w:bidi="th-TH"/>
        </w:rPr>
        <w:t>nos termos da cláusula 6.2</w:t>
      </w:r>
      <w:r w:rsidR="00F02396">
        <w:rPr>
          <w:rFonts w:ascii="Times New Roman" w:eastAsia="Arial Unicode MS" w:hAnsi="Times New Roman"/>
          <w:kern w:val="32"/>
          <w:sz w:val="22"/>
          <w:szCs w:val="22"/>
          <w:lang w:bidi="th-TH"/>
        </w:rPr>
        <w:t xml:space="preserve"> </w:t>
      </w:r>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r w:rsidR="00B3616B" w:rsidRPr="00090D66">
        <w:rPr>
          <w:rFonts w:ascii="Times New Roman" w:eastAsia="Arial Unicode MS" w:hAnsi="Times New Roman"/>
          <w:sz w:val="22"/>
          <w:szCs w:val="22"/>
          <w:lang w:bidi="th-TH"/>
        </w:rPr>
        <w:t>Dias Úteis</w:t>
      </w:r>
      <w:r w:rsidR="000769EF" w:rsidRPr="00090D66">
        <w:rPr>
          <w:rFonts w:ascii="Times New Roman" w:eastAsia="Arial Unicode MS" w:hAnsi="Times New Roman"/>
          <w:kern w:val="32"/>
          <w:sz w:val="22"/>
          <w:szCs w:val="22"/>
          <w:lang w:bidi="th-TH"/>
        </w:rPr>
        <w:t>.</w:t>
      </w:r>
      <w:r w:rsidR="00A943D7">
        <w:rPr>
          <w:rFonts w:ascii="Times New Roman" w:eastAsia="Arial Unicode MS" w:hAnsi="Times New Roman"/>
          <w:kern w:val="32"/>
          <w:sz w:val="22"/>
          <w:szCs w:val="22"/>
          <w:lang w:bidi="th-TH"/>
        </w:rPr>
        <w:t>[</w:t>
      </w:r>
      <w:r w:rsidR="00A943D7" w:rsidRPr="00CA14B3">
        <w:rPr>
          <w:rFonts w:ascii="Times New Roman" w:eastAsia="Arial Unicode MS" w:hAnsi="Times New Roman"/>
          <w:b/>
          <w:bCs/>
          <w:kern w:val="32"/>
          <w:sz w:val="22"/>
          <w:szCs w:val="22"/>
          <w:highlight w:val="yellow"/>
          <w:lang w:bidi="th-TH"/>
        </w:rPr>
        <w:t>Nota Simplific Pavarini: Favor deixar mais claro ou excluir]</w:t>
      </w:r>
      <w:r w:rsidR="002477B9" w:rsidRPr="00CA14B3">
        <w:rPr>
          <w:rFonts w:ascii="Times New Roman" w:eastAsia="Arial Unicode MS" w:hAnsi="Times New Roman"/>
          <w:b/>
          <w:bCs/>
          <w:kern w:val="32"/>
          <w:sz w:val="22"/>
          <w:szCs w:val="22"/>
          <w:highlight w:val="yellow"/>
          <w:lang w:bidi="th-TH"/>
        </w:rPr>
        <w:t xml:space="preserve"> [Nota Coelho Advogados: Ajuste efetuado</w:t>
      </w:r>
      <w:r w:rsidR="002477B9">
        <w:rPr>
          <w:rFonts w:ascii="Times New Roman" w:eastAsia="Arial Unicode MS" w:hAnsi="Times New Roman"/>
          <w:kern w:val="32"/>
          <w:sz w:val="22"/>
          <w:szCs w:val="22"/>
          <w:lang w:bidi="th-TH"/>
        </w:rPr>
        <w:t>]</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32"/>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33" w:name="_Ref80364694"/>
      <w:bookmarkStart w:id="34" w:name="_Ref1759089"/>
      <w:bookmarkStart w:id="35"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33"/>
      <w:bookmarkEnd w:id="3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206C853"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36"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e/ou dos Fiadores</w:t>
      </w:r>
      <w:bookmarkEnd w:id="36"/>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3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3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45B648F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r w:rsidR="005C1527">
        <w:rPr>
          <w:rFonts w:ascii="Times New Roman" w:hAnsi="Times New Roman"/>
          <w:sz w:val="22"/>
          <w:szCs w:val="22"/>
        </w:rPr>
        <w:t>[</w:t>
      </w:r>
      <w:r w:rsidR="005C1527" w:rsidRPr="00CA14B3">
        <w:rPr>
          <w:rFonts w:ascii="Times New Roman" w:hAnsi="Times New Roman"/>
          <w:b/>
          <w:bCs/>
          <w:sz w:val="22"/>
          <w:szCs w:val="22"/>
          <w:highlight w:val="yellow"/>
        </w:rPr>
        <w:t>Nota Jurídico XP: Me parece repetido com o item “</w:t>
      </w:r>
      <w:proofErr w:type="spellStart"/>
      <w:r w:rsidR="005C1527" w:rsidRPr="00CA14B3">
        <w:rPr>
          <w:rFonts w:ascii="Times New Roman" w:hAnsi="Times New Roman"/>
          <w:b/>
          <w:bCs/>
          <w:sz w:val="22"/>
          <w:szCs w:val="22"/>
          <w:highlight w:val="yellow"/>
        </w:rPr>
        <w:t>xii</w:t>
      </w:r>
      <w:proofErr w:type="spellEnd"/>
      <w:r w:rsidR="005C1527" w:rsidRPr="00CA14B3">
        <w:rPr>
          <w:rFonts w:ascii="Times New Roman" w:hAnsi="Times New Roman"/>
          <w:b/>
          <w:bCs/>
          <w:sz w:val="22"/>
          <w:szCs w:val="22"/>
          <w:highlight w:val="yellow"/>
        </w:rPr>
        <w:t>” acima. Favor avaliar e, em sendo o caso, consolidar] [Nota Coelho Advogados: Ajuste efetuado</w:t>
      </w:r>
      <w:r w:rsidR="009560C2">
        <w:rPr>
          <w:rFonts w:ascii="Times New Roman" w:hAnsi="Times New Roman"/>
          <w:b/>
          <w:bCs/>
          <w:sz w:val="22"/>
          <w:szCs w:val="22"/>
          <w:highlight w:val="yellow"/>
        </w:rPr>
        <w:t xml:space="preserve"> – item em duplicidade excluído</w:t>
      </w:r>
      <w:r w:rsidR="005C1527" w:rsidRPr="00CA14B3">
        <w:rPr>
          <w:rFonts w:ascii="Times New Roman" w:hAnsi="Times New Roman"/>
          <w:b/>
          <w:bCs/>
          <w:sz w:val="22"/>
          <w:szCs w:val="22"/>
          <w:highlight w:val="yellow"/>
        </w:rPr>
        <w:t>]</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77EC862" w14:textId="5B93C986" w:rsidR="00EF0A45" w:rsidRPr="00EF0A45" w:rsidRDefault="00CF4BB7" w:rsidP="00090D66">
      <w:pPr>
        <w:pStyle w:val="PargrafodaLista"/>
        <w:spacing w:after="0" w:line="312" w:lineRule="auto"/>
        <w:ind w:left="1276" w:hanging="11"/>
        <w:rPr>
          <w:rFonts w:ascii="Times New Roman" w:hAnsi="Times New Roman"/>
          <w:sz w:val="22"/>
          <w:szCs w:val="22"/>
        </w:rPr>
      </w:pPr>
      <w:r w:rsidRPr="004A7940">
        <w:rPr>
          <w:rFonts w:ascii="Times New Roman" w:hAnsi="Times New Roman"/>
          <w:sz w:val="22"/>
          <w:szCs w:val="22"/>
        </w:rPr>
        <w:t>[</w:t>
      </w:r>
      <w:r w:rsidRPr="00CF4BB7">
        <w:rPr>
          <w:rFonts w:ascii="Times New Roman" w:hAnsi="Times New Roman"/>
          <w:b/>
          <w:bCs/>
          <w:sz w:val="22"/>
          <w:szCs w:val="22"/>
          <w:highlight w:val="yellow"/>
        </w:rPr>
        <w:t>Nota Jurídico XP: Me parece repetido com o item “</w:t>
      </w:r>
      <w:proofErr w:type="spellStart"/>
      <w:r w:rsidRPr="00CF4BB7">
        <w:rPr>
          <w:rFonts w:ascii="Times New Roman" w:hAnsi="Times New Roman"/>
          <w:b/>
          <w:bCs/>
          <w:sz w:val="22"/>
          <w:szCs w:val="22"/>
          <w:highlight w:val="yellow"/>
        </w:rPr>
        <w:t>xiii</w:t>
      </w:r>
      <w:proofErr w:type="spellEnd"/>
      <w:r w:rsidRPr="00CF4BB7">
        <w:rPr>
          <w:rFonts w:ascii="Times New Roman" w:hAnsi="Times New Roman"/>
          <w:b/>
          <w:bCs/>
          <w:sz w:val="22"/>
          <w:szCs w:val="22"/>
          <w:highlight w:val="yellow"/>
        </w:rPr>
        <w:t>” acima. Favor avaliar e, em sendo o caso, consolidar</w:t>
      </w:r>
      <w:r w:rsidRPr="004A7940">
        <w:rPr>
          <w:rFonts w:ascii="Times New Roman" w:hAnsi="Times New Roman"/>
          <w:sz w:val="22"/>
          <w:szCs w:val="22"/>
        </w:rPr>
        <w:t>]</w:t>
      </w:r>
      <w:r w:rsidRPr="00CF4BB7">
        <w:rPr>
          <w:rFonts w:ascii="Times New Roman" w:hAnsi="Times New Roman"/>
          <w:b/>
          <w:bCs/>
          <w:sz w:val="22"/>
          <w:szCs w:val="22"/>
          <w:highlight w:val="yellow"/>
        </w:rPr>
        <w:t xml:space="preserve"> </w:t>
      </w:r>
      <w:r w:rsidRPr="00CA14B3">
        <w:rPr>
          <w:rFonts w:ascii="Times New Roman" w:hAnsi="Times New Roman"/>
          <w:b/>
          <w:bCs/>
          <w:sz w:val="22"/>
          <w:szCs w:val="22"/>
          <w:highlight w:val="yellow"/>
        </w:rPr>
        <w:t>[Nota Coelho Advogados: Ajuste efetuado</w:t>
      </w:r>
      <w:r w:rsidR="009560C2">
        <w:rPr>
          <w:rFonts w:ascii="Times New Roman" w:hAnsi="Times New Roman"/>
          <w:b/>
          <w:bCs/>
          <w:sz w:val="22"/>
          <w:szCs w:val="22"/>
          <w:highlight w:val="yellow"/>
        </w:rPr>
        <w:t xml:space="preserve"> – item em duplicidade excluído</w:t>
      </w:r>
      <w:r w:rsidRPr="00CA14B3">
        <w:rPr>
          <w:rFonts w:ascii="Times New Roman" w:hAnsi="Times New Roman"/>
          <w:b/>
          <w:bCs/>
          <w:sz w:val="22"/>
          <w:szCs w:val="22"/>
          <w:highlight w:val="yellow"/>
        </w:rPr>
        <w:t>]</w:t>
      </w: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6569FB2E" w:rsidR="00FD3D67" w:rsidRPr="00FD3D67" w:rsidRDefault="00162E12" w:rsidP="002F33CA">
      <w:pPr>
        <w:pStyle w:val="PargrafodaLista"/>
        <w:numPr>
          <w:ilvl w:val="0"/>
          <w:numId w:val="108"/>
        </w:numPr>
        <w:spacing w:after="0" w:line="312" w:lineRule="auto"/>
        <w:ind w:left="1134" w:hanging="11"/>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alterarem ou tentar alterar a forma de pagamento dos Direitos Creditórios sem autorização dos titulares dos CRI</w:t>
      </w:r>
      <w:r w:rsidR="00FD3D67" w:rsidRPr="00FD3D67">
        <w:rPr>
          <w:rFonts w:ascii="Times New Roman" w:hAnsi="Times New Roman"/>
          <w:sz w:val="22"/>
          <w:szCs w:val="22"/>
        </w:rPr>
        <w:t>;</w:t>
      </w:r>
    </w:p>
    <w:p w14:paraId="639DA122" w14:textId="77777777" w:rsidR="00392554" w:rsidRPr="00FD3D67" w:rsidRDefault="00392554" w:rsidP="00CA14B3">
      <w:pPr>
        <w:pStyle w:val="PargrafodaLista"/>
        <w:spacing w:after="0" w:line="312" w:lineRule="auto"/>
        <w:ind w:left="1134"/>
        <w:rPr>
          <w:rFonts w:ascii="Times New Roman" w:hAnsi="Times New Roman"/>
          <w:sz w:val="22"/>
          <w:szCs w:val="22"/>
        </w:rPr>
      </w:pPr>
      <w:r>
        <w:rPr>
          <w:rFonts w:ascii="Times New Roman" w:hAnsi="Times New Roman"/>
          <w:sz w:val="22"/>
          <w:szCs w:val="22"/>
        </w:rPr>
        <w:t>[</w:t>
      </w:r>
      <w:r w:rsidRPr="00CA14B3">
        <w:rPr>
          <w:rFonts w:ascii="Times New Roman" w:hAnsi="Times New Roman"/>
          <w:sz w:val="22"/>
          <w:szCs w:val="22"/>
          <w:highlight w:val="yellow"/>
        </w:rPr>
        <w:t>Nota Jurídico XP: Favor incluir itens sobre a não composição do valor mínimo dos fundos de despesa, obra e reserva nos prazos descritos na cláusula 7 acima</w:t>
      </w:r>
      <w:r>
        <w:rPr>
          <w:rFonts w:ascii="Times New Roman" w:hAnsi="Times New Roman"/>
          <w:sz w:val="22"/>
          <w:szCs w:val="22"/>
        </w:rPr>
        <w:t>]</w:t>
      </w:r>
    </w:p>
    <w:p w14:paraId="773A30EC" w14:textId="39BE71B1" w:rsidR="00FD3D67" w:rsidRPr="00FD3D67" w:rsidRDefault="00392554" w:rsidP="002F33CA">
      <w:pPr>
        <w:pStyle w:val="PargrafodaLista"/>
        <w:spacing w:after="0" w:line="312" w:lineRule="auto"/>
        <w:ind w:left="1134"/>
        <w:rPr>
          <w:rFonts w:ascii="Times New Roman" w:hAnsi="Times New Roman"/>
          <w:sz w:val="22"/>
          <w:szCs w:val="22"/>
        </w:rPr>
      </w:pPr>
      <w:r>
        <w:rPr>
          <w:rFonts w:ascii="Times New Roman" w:hAnsi="Times New Roman"/>
          <w:sz w:val="22"/>
          <w:szCs w:val="22"/>
        </w:rPr>
        <w:t>[</w:t>
      </w:r>
      <w:r w:rsidRPr="00CA14B3">
        <w:rPr>
          <w:rFonts w:ascii="Times New Roman" w:hAnsi="Times New Roman"/>
          <w:sz w:val="22"/>
          <w:szCs w:val="22"/>
          <w:highlight w:val="yellow"/>
        </w:rPr>
        <w:t>Nota Coelho Advogados: Itens estão englobados na hipótese de descumprimento de obrigação pecuniária</w:t>
      </w:r>
      <w:r>
        <w:rPr>
          <w:rFonts w:ascii="Times New Roman" w:hAnsi="Times New Roman"/>
          <w:sz w:val="22"/>
          <w:szCs w:val="22"/>
        </w:rPr>
        <w:t>]</w:t>
      </w:r>
    </w:p>
    <w:p w14:paraId="74DB2BA1" w14:textId="77777777"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p>
    <w:p w14:paraId="52143CF9" w14:textId="77777777" w:rsidR="00DE7612" w:rsidRDefault="00DE7612" w:rsidP="00DE7612">
      <w:pPr>
        <w:pStyle w:val="PargrafodaLista"/>
        <w:spacing w:after="0" w:line="312" w:lineRule="auto"/>
        <w:ind w:left="1134"/>
        <w:rPr>
          <w:rFonts w:ascii="Times New Roman" w:hAnsi="Times New Roman"/>
          <w:sz w:val="22"/>
          <w:szCs w:val="22"/>
        </w:rPr>
      </w:pPr>
    </w:p>
    <w:p w14:paraId="0E73C2ED" w14:textId="59C60942" w:rsidR="00FD3D67" w:rsidRPr="00FD3D67" w:rsidRDefault="00FD3D67" w:rsidP="005D3CC0">
      <w:pPr>
        <w:pStyle w:val="PargrafodaLista"/>
        <w:spacing w:after="0" w:line="312" w:lineRule="auto"/>
        <w:ind w:left="1134"/>
        <w:rPr>
          <w:rFonts w:ascii="Times New Roman" w:hAnsi="Times New Roman"/>
          <w:sz w:val="22"/>
          <w:szCs w:val="22"/>
        </w:rPr>
      </w:pPr>
      <w:r w:rsidRPr="00FD3D67">
        <w:rPr>
          <w:rFonts w:ascii="Times New Roman" w:hAnsi="Times New Roman"/>
          <w:sz w:val="22"/>
          <w:szCs w:val="22"/>
        </w:rPr>
        <w:t>e</w:t>
      </w:r>
      <w:r w:rsidR="00B146A3">
        <w:rPr>
          <w:rFonts w:ascii="Times New Roman" w:hAnsi="Times New Roman"/>
          <w:sz w:val="22"/>
          <w:szCs w:val="22"/>
        </w:rPr>
        <w:t xml:space="preserve"> [</w:t>
      </w:r>
      <w:r w:rsidR="00B146A3" w:rsidRPr="00CA14B3">
        <w:rPr>
          <w:rFonts w:ascii="Times New Roman" w:hAnsi="Times New Roman"/>
          <w:b/>
          <w:bCs/>
          <w:sz w:val="22"/>
          <w:szCs w:val="22"/>
          <w:highlight w:val="yellow"/>
        </w:rPr>
        <w:t>Nota Coelho Advogados: Não aceitamos a inclusão pois os contratos de arrendamento estão celebrad</w:t>
      </w:r>
      <w:r w:rsidR="00EB7AB8" w:rsidRPr="00CA14B3">
        <w:rPr>
          <w:rFonts w:ascii="Times New Roman" w:hAnsi="Times New Roman"/>
          <w:b/>
          <w:bCs/>
          <w:sz w:val="22"/>
          <w:szCs w:val="22"/>
          <w:highlight w:val="yellow"/>
        </w:rPr>
        <w:t>os sem valor fixado e os recebíveis</w:t>
      </w:r>
      <w:r w:rsidR="00C76CC7" w:rsidRPr="00CA14B3">
        <w:rPr>
          <w:rFonts w:ascii="Times New Roman" w:hAnsi="Times New Roman"/>
          <w:b/>
          <w:bCs/>
          <w:sz w:val="22"/>
          <w:szCs w:val="22"/>
          <w:highlight w:val="yellow"/>
        </w:rPr>
        <w:t xml:space="preserve"> vinculados aos CRI são decorrentes dos Contratos de PPA</w:t>
      </w:r>
      <w:r w:rsidR="00C76CC7">
        <w:rPr>
          <w:rFonts w:ascii="Times New Roman" w:hAnsi="Times New Roman"/>
          <w:sz w:val="22"/>
          <w:szCs w:val="22"/>
        </w:rPr>
        <w:t>]</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F2E4297"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w:t>
      </w:r>
      <w:r w:rsidR="007C6C4C">
        <w:rPr>
          <w:rFonts w:ascii="Times New Roman" w:hAnsi="Times New Roman"/>
          <w:bCs/>
          <w:iCs/>
          <w:sz w:val="22"/>
          <w:szCs w:val="22"/>
        </w:rPr>
        <w:t xml:space="preserve">o Agente Fiduciário e/ou </w:t>
      </w:r>
      <w:r w:rsidRPr="00DB470A">
        <w:rPr>
          <w:rFonts w:ascii="Times New Roman" w:hAnsi="Times New Roman"/>
          <w:bCs/>
          <w:iCs/>
          <w:sz w:val="22"/>
          <w:szCs w:val="22"/>
        </w:rPr>
        <w:t xml:space="preserve">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77777777" w:rsidR="00B9101E" w:rsidRDefault="00B9101E" w:rsidP="00B9101E">
      <w:pPr>
        <w:pStyle w:val="Level1"/>
        <w:numPr>
          <w:ilvl w:val="0"/>
          <w:numId w:val="171"/>
        </w:numPr>
        <w:spacing w:after="0"/>
        <w:ind w:left="1276" w:firstLine="0"/>
        <w:rPr>
          <w:rFonts w:ascii="Times New Roman" w:hAnsi="Times New Roman"/>
          <w:sz w:val="22"/>
          <w:szCs w:val="22"/>
        </w:rPr>
      </w:pPr>
      <w:bookmarkStart w:id="38"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 xml:space="preserve">os Fiadores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38"/>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28CA40D2"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r>
        <w:rPr>
          <w:rFonts w:ascii="Times New Roman" w:hAnsi="Times New Roman"/>
          <w:sz w:val="22"/>
          <w:szCs w:val="22"/>
        </w:rPr>
        <w:t>[</w:t>
      </w:r>
      <w:r w:rsidRPr="001D09CE">
        <w:rPr>
          <w:rFonts w:ascii="Times New Roman" w:hAnsi="Times New Roman"/>
          <w:b/>
          <w:bCs/>
          <w:sz w:val="22"/>
          <w:szCs w:val="22"/>
          <w:highlight w:val="yellow"/>
        </w:rPr>
        <w:t>Nota Jurídico XP: Como estamos tratando de evento não automático, gostaria que qualquer paralisação total acima dos 30 dias fosse levada à assembleia</w:t>
      </w:r>
      <w:r>
        <w:rPr>
          <w:rFonts w:ascii="Times New Roman" w:hAnsi="Times New Roman"/>
          <w:sz w:val="22"/>
          <w:szCs w:val="22"/>
        </w:rPr>
        <w:t>]</w:t>
      </w:r>
      <w:r w:rsidR="000E3091" w:rsidRPr="00DB470A">
        <w:rPr>
          <w:rFonts w:ascii="Times New Roman" w:hAnsi="Times New Roman"/>
          <w:sz w:val="22"/>
          <w:szCs w:val="22"/>
        </w:rPr>
        <w:t xml:space="preserve">;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3C537454"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39" w:name="_Hlk107171359"/>
      <w:r w:rsidRPr="00DB470A">
        <w:rPr>
          <w:rFonts w:ascii="Times New Roman" w:hAnsi="Times New Roman"/>
          <w:sz w:val="22"/>
          <w:szCs w:val="22"/>
        </w:rPr>
        <w:t>;</w:t>
      </w:r>
      <w:r>
        <w:rPr>
          <w:rFonts w:ascii="Times New Roman" w:hAnsi="Times New Roman"/>
          <w:sz w:val="22"/>
          <w:szCs w:val="22"/>
        </w:rPr>
        <w:t xml:space="preserve"> [</w:t>
      </w:r>
      <w:r w:rsidRPr="00CA14B3">
        <w:rPr>
          <w:rFonts w:ascii="Times New Roman" w:hAnsi="Times New Roman"/>
          <w:b/>
          <w:bCs/>
          <w:sz w:val="22"/>
          <w:szCs w:val="22"/>
          <w:highlight w:val="yellow"/>
        </w:rPr>
        <w:t>Nota Jurídico XP: Mesmo racional acima</w:t>
      </w:r>
      <w:r>
        <w:rPr>
          <w:rFonts w:ascii="Times New Roman" w:hAnsi="Times New Roman"/>
          <w:sz w:val="22"/>
          <w:szCs w:val="22"/>
        </w:rPr>
        <w:t>]</w:t>
      </w:r>
    </w:p>
    <w:bookmarkEnd w:id="39"/>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F33CA">
        <w:rPr>
          <w:rFonts w:ascii="Times New Roman" w:hAnsi="Times New Roman"/>
          <w:sz w:val="22"/>
          <w:szCs w:val="22"/>
          <w:highlight w:val="yellow"/>
        </w:rPr>
        <w:t>desde que realizado de forma subordinada às Notas Comerciais</w:t>
      </w:r>
      <w:r w:rsidR="00D65928">
        <w:rPr>
          <w:rFonts w:ascii="Times New Roman" w:hAnsi="Times New Roman"/>
          <w:sz w:val="22"/>
          <w:szCs w:val="22"/>
        </w:rPr>
        <w:t>,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4F8AE4D" w:rsidR="00225BD8"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proofErr w:type="spellStart"/>
      <w:r w:rsidR="007F763F">
        <w:rPr>
          <w:rFonts w:ascii="Times New Roman" w:hAnsi="Times New Roman"/>
          <w:sz w:val="22"/>
          <w:szCs w:val="22"/>
        </w:rPr>
        <w:t>Devedoras</w:t>
      </w:r>
      <w:proofErr w:type="spellEnd"/>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no Empreendimento Imobiliário,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4FB53719" w14:textId="310E2B6E" w:rsidR="009A4852"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decorridos 2 (dois) meses após a conclusão da obra ter sido atestada pela Empresa de Engenharia, deixe de ser observado um Índice de Cobertura do Serviço da Dívida mensal, inferior a 120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xml:space="preserve">, sendo certo que somente serão considerados no cálculo os recebíveis dos </w:t>
      </w:r>
      <w:proofErr w:type="spellStart"/>
      <w:r w:rsidR="00B17153">
        <w:rPr>
          <w:rFonts w:ascii="Times New Roman" w:hAnsi="Times New Roman"/>
          <w:sz w:val="22"/>
          <w:szCs w:val="22"/>
          <w:lang w:val="pt-BR"/>
        </w:rPr>
        <w:t>PPAs</w:t>
      </w:r>
      <w:proofErr w:type="spellEnd"/>
      <w:r w:rsidR="00B17153">
        <w:rPr>
          <w:rFonts w:ascii="Times New Roman" w:hAnsi="Times New Roman"/>
          <w:sz w:val="22"/>
          <w:szCs w:val="22"/>
          <w:lang w:val="pt-BR"/>
        </w:rPr>
        <w:t xml:space="preserve"> que transitarem nas contas vinculadas e que tenham sido efetivamente pagos pelos Clientes</w:t>
      </w:r>
      <w:r w:rsidR="009A4852">
        <w:rPr>
          <w:rFonts w:ascii="Times New Roman" w:hAnsi="Times New Roman"/>
          <w:sz w:val="22"/>
          <w:szCs w:val="22"/>
          <w:lang w:val="pt-BR"/>
        </w:rPr>
        <w:t>;</w:t>
      </w:r>
    </w:p>
    <w:p w14:paraId="27824664" w14:textId="77777777" w:rsidR="00F84E57" w:rsidRDefault="00F84E57" w:rsidP="005D3CC0">
      <w:pPr>
        <w:pStyle w:val="PargrafodaLista"/>
        <w:rPr>
          <w:rFonts w:ascii="Times New Roman" w:hAnsi="Times New Roman"/>
          <w:sz w:val="22"/>
          <w:szCs w:val="22"/>
        </w:rPr>
      </w:pPr>
    </w:p>
    <w:p w14:paraId="0CF3062E" w14:textId="3B7A0CC7" w:rsidR="005A7F51" w:rsidRPr="007568CC" w:rsidRDefault="005A7F51" w:rsidP="005D3CC0">
      <w:pPr>
        <w:pStyle w:val="Recuonormal"/>
        <w:numPr>
          <w:ilvl w:val="0"/>
          <w:numId w:val="171"/>
        </w:numPr>
        <w:spacing w:after="0" w:line="300" w:lineRule="auto"/>
        <w:ind w:left="1276" w:firstLine="0"/>
        <w:rPr>
          <w:rFonts w:ascii="Times New Roman" w:hAnsi="Times New Roman"/>
          <w:sz w:val="22"/>
          <w:szCs w:val="22"/>
          <w:lang w:eastAsia="pt-BR"/>
        </w:rPr>
      </w:pPr>
      <w:r w:rsidRPr="007568CC">
        <w:rPr>
          <w:rFonts w:ascii="Times New Roman" w:hAnsi="Times New Roman"/>
          <w:sz w:val="22"/>
          <w:szCs w:val="22"/>
          <w:lang w:val="pt-BR"/>
        </w:rPr>
        <w:t xml:space="preserve">não observância, pela </w:t>
      </w:r>
      <w:bookmarkStart w:id="40" w:name="_Hlk106617608"/>
      <w:r>
        <w:rPr>
          <w:rFonts w:ascii="Times New Roman" w:hAnsi="Times New Roman"/>
          <w:sz w:val="22"/>
          <w:szCs w:val="22"/>
          <w:lang w:val="pt-BR"/>
        </w:rPr>
        <w:t>Welt</w:t>
      </w:r>
      <w:bookmarkEnd w:id="40"/>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sendo que a primeira apuração do índice financeiro será realizada com base nas demonstrações financeiras anuais consolidadas auditadas do exercício encerrado em 31 de dezembro de 2022:</w:t>
      </w:r>
    </w:p>
    <w:p w14:paraId="6240C55C" w14:textId="77777777" w:rsidR="005A7F51" w:rsidRDefault="005A7F51" w:rsidP="005A7F51">
      <w:pPr>
        <w:pStyle w:val="PargrafodaLista"/>
        <w:spacing w:line="312" w:lineRule="auto"/>
        <w:ind w:left="0"/>
        <w:rPr>
          <w:sz w:val="22"/>
          <w:szCs w:val="22"/>
        </w:rPr>
      </w:pPr>
    </w:p>
    <w:p w14:paraId="69E05288" w14:textId="77777777" w:rsidR="005A7F51" w:rsidRDefault="005A7F51" w:rsidP="005A7F51">
      <w:pPr>
        <w:pStyle w:val="PargrafodaLista"/>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PargrafodaLista"/>
        <w:spacing w:line="312" w:lineRule="auto"/>
        <w:rPr>
          <w:sz w:val="22"/>
          <w:szCs w:val="22"/>
        </w:rPr>
      </w:pPr>
    </w:p>
    <w:p w14:paraId="518F284E" w14:textId="3593C688" w:rsidR="005A7F51" w:rsidRPr="00F83363" w:rsidRDefault="005A7F51" w:rsidP="005A7F51">
      <w:pPr>
        <w:pStyle w:val="Recuonormal"/>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Pr>
          <w:sz w:val="22"/>
          <w:szCs w:val="22"/>
          <w:highlight w:val="yellow"/>
          <w:lang w:val="pt-BR"/>
        </w:rPr>
        <w:t>XP (</w:t>
      </w:r>
      <w:r w:rsidRPr="007568CC">
        <w:rPr>
          <w:sz w:val="22"/>
          <w:szCs w:val="22"/>
          <w:highlight w:val="yellow"/>
          <w:lang w:val="pt-BR"/>
        </w:rPr>
        <w:t>DC</w:t>
      </w:r>
      <w:r>
        <w:rPr>
          <w:sz w:val="22"/>
          <w:szCs w:val="22"/>
          <w:highlight w:val="yellow"/>
          <w:lang w:val="pt-BR"/>
        </w:rPr>
        <w:t>)</w:t>
      </w:r>
      <w:r w:rsidRPr="007568CC">
        <w:rPr>
          <w:sz w:val="22"/>
          <w:szCs w:val="22"/>
          <w:highlight w:val="yellow"/>
          <w:lang w:val="pt-BR"/>
        </w:rPr>
        <w:t>: pendente de confirmação</w:t>
      </w:r>
      <w:r w:rsidRPr="007568CC">
        <w:rPr>
          <w:sz w:val="22"/>
          <w:szCs w:val="22"/>
          <w:lang w:val="pt-BR"/>
        </w:rPr>
        <w:t>]</w:t>
      </w:r>
    </w:p>
    <w:p w14:paraId="7D9CF4A9" w14:textId="77777777" w:rsidR="00BB04F2" w:rsidRDefault="00BB04F2" w:rsidP="00A233DD">
      <w:pPr>
        <w:pStyle w:val="PargrafodaLista"/>
        <w:rPr>
          <w:rFonts w:ascii="Times New Roman" w:hAnsi="Times New Roman"/>
          <w:sz w:val="22"/>
          <w:szCs w:val="22"/>
        </w:rPr>
      </w:pPr>
    </w:p>
    <w:p w14:paraId="3FCAEA0F" w14:textId="77777777" w:rsidR="00BB04F2" w:rsidRPr="005D3CC0" w:rsidRDefault="00BB04F2" w:rsidP="005D3CC0">
      <w:pPr>
        <w:rPr>
          <w:rFonts w:ascii="Times New Roman" w:hAnsi="Times New Roman"/>
          <w:sz w:val="22"/>
          <w:szCs w:val="22"/>
        </w:rPr>
      </w:pPr>
    </w:p>
    <w:p w14:paraId="4FBACD3F" w14:textId="77777777" w:rsidR="00A233DD" w:rsidRPr="00BA75E8" w:rsidRDefault="00A233DD" w:rsidP="00A524D6">
      <w:pPr>
        <w:pStyle w:val="Recuonormal"/>
        <w:spacing w:after="0" w:line="300" w:lineRule="auto"/>
        <w:ind w:left="1276"/>
        <w:rPr>
          <w:rFonts w:ascii="Times New Roman" w:hAnsi="Times New Roman"/>
          <w:sz w:val="22"/>
          <w:szCs w:val="22"/>
          <w:lang w:val="pt-BR"/>
        </w:rPr>
      </w:pPr>
    </w:p>
    <w:p w14:paraId="1E92525F" w14:textId="63357265" w:rsidR="00A233DD" w:rsidRPr="00DB470A" w:rsidRDefault="00A233DD" w:rsidP="00A524D6">
      <w:pPr>
        <w:pStyle w:val="Level1"/>
        <w:numPr>
          <w:ilvl w:val="0"/>
          <w:numId w:val="0"/>
        </w:numPr>
        <w:tabs>
          <w:tab w:val="left" w:pos="1701"/>
        </w:tabs>
        <w:spacing w:after="0"/>
        <w:ind w:left="1636"/>
        <w:rPr>
          <w:rFonts w:ascii="Times New Roman" w:hAnsi="Times New Roman"/>
          <w:sz w:val="22"/>
          <w:szCs w:val="22"/>
        </w:rPr>
      </w:pPr>
      <w:r>
        <w:rPr>
          <w:rFonts w:ascii="Times New Roman" w:hAnsi="Times New Roman"/>
          <w:sz w:val="22"/>
          <w:szCs w:val="22"/>
        </w:rPr>
        <w:t>[[Nota DC: incluir escriturador também]</w:t>
      </w:r>
      <w:r w:rsidRPr="00CA14B3">
        <w:rPr>
          <w:rFonts w:ascii="Times New Roman" w:hAnsi="Times New Roman"/>
          <w:sz w:val="22"/>
          <w:szCs w:val="22"/>
          <w:highlight w:val="yellow"/>
        </w:rPr>
        <w:t>incluir falta de comprovação do pagamento do fornecedor, nos termos da cláusula 7.2.14 acim</w:t>
      </w:r>
      <w:r>
        <w:rPr>
          <w:rFonts w:ascii="Times New Roman" w:hAnsi="Times New Roman"/>
          <w:sz w:val="22"/>
          <w:szCs w:val="22"/>
        </w:rPr>
        <w:t>a]</w:t>
      </w:r>
      <w:r w:rsidR="00A524D6">
        <w:rPr>
          <w:rFonts w:ascii="Times New Roman" w:hAnsi="Times New Roman"/>
          <w:sz w:val="22"/>
          <w:szCs w:val="22"/>
        </w:rPr>
        <w:t xml:space="preserve"> [</w:t>
      </w:r>
      <w:r w:rsidR="00A524D6" w:rsidRPr="00CA14B3">
        <w:rPr>
          <w:rFonts w:ascii="Times New Roman" w:hAnsi="Times New Roman"/>
          <w:sz w:val="22"/>
          <w:szCs w:val="22"/>
          <w:highlight w:val="yellow"/>
        </w:rPr>
        <w:t xml:space="preserve">Nota Coelho Advogados: </w:t>
      </w:r>
      <w:r w:rsidR="002359C2">
        <w:rPr>
          <w:rFonts w:ascii="Times New Roman" w:hAnsi="Times New Roman"/>
          <w:sz w:val="22"/>
          <w:szCs w:val="22"/>
          <w:highlight w:val="yellow"/>
        </w:rPr>
        <w:t>itens previstos como descumprimento de obrigações pecuniárias e não pecuniárias, conforme o caso. Favor esclarecer necessidade de itens específicos, se for o caso</w:t>
      </w:r>
      <w:r w:rsidR="00934A0D" w:rsidRPr="00CA14B3">
        <w:rPr>
          <w:rFonts w:ascii="Times New Roman" w:hAnsi="Times New Roman"/>
          <w:sz w:val="22"/>
          <w:szCs w:val="22"/>
          <w:highlight w:val="yellow"/>
        </w:rPr>
        <w:t>]</w:t>
      </w:r>
      <w:r w:rsidR="00845469">
        <w:rPr>
          <w:rFonts w:ascii="Times New Roman" w:hAnsi="Times New Roman"/>
          <w:sz w:val="22"/>
          <w:szCs w:val="22"/>
        </w:rPr>
        <w:t xml:space="preserve"> </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722A1671" w:rsidR="00A22613" w:rsidRDefault="00A22613" w:rsidP="00FC45F2">
      <w:pPr>
        <w:pStyle w:val="Level2"/>
        <w:spacing w:after="0" w:line="300" w:lineRule="auto"/>
        <w:rPr>
          <w:rFonts w:ascii="Times New Roman" w:hAnsi="Times New Roman"/>
          <w:sz w:val="22"/>
          <w:szCs w:val="22"/>
        </w:rPr>
      </w:pPr>
      <w:bookmarkStart w:id="41" w:name="_Ref80365586"/>
      <w:bookmarkStart w:id="42" w:name="_Hlk11144825"/>
      <w:bookmarkEnd w:id="35"/>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4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42"/>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2E1750BC"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w:t>
      </w:r>
      <w:r w:rsidR="00BC135D" w:rsidRPr="00FB1C1A">
        <w:rPr>
          <w:rStyle w:val="DeltaViewInsertion"/>
          <w:rFonts w:ascii="Times New Roman" w:hAnsi="Times New Roman"/>
          <w:color w:val="auto"/>
          <w:sz w:val="22"/>
          <w:szCs w:val="22"/>
          <w:u w:val="none"/>
        </w:rPr>
        <w:t>d</w:t>
      </w:r>
      <w:r w:rsidR="00BC135D">
        <w:rPr>
          <w:rStyle w:val="DeltaViewInsertion"/>
          <w:rFonts w:ascii="Times New Roman" w:hAnsi="Times New Roman"/>
          <w:color w:val="auto"/>
          <w:sz w:val="22"/>
          <w:szCs w:val="22"/>
          <w:u w:val="none"/>
        </w:rPr>
        <w:t>os</w:t>
      </w:r>
      <w:r w:rsidR="00BC135D" w:rsidRPr="00FB1C1A">
        <w:rPr>
          <w:rStyle w:val="DeltaViewInsertion"/>
          <w:rFonts w:ascii="Times New Roman" w:hAnsi="Times New Roman"/>
          <w:color w:val="auto"/>
          <w:sz w:val="22"/>
          <w:szCs w:val="22"/>
          <w:u w:val="none"/>
        </w:rPr>
        <w:t xml:space="preserve">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w:t>
      </w:r>
      <w:r w:rsidR="00B2680A">
        <w:rPr>
          <w:rStyle w:val="DeltaViewInsertion"/>
          <w:rFonts w:ascii="Times New Roman" w:hAnsi="Times New Roman"/>
          <w:color w:val="auto"/>
          <w:sz w:val="22"/>
          <w:szCs w:val="22"/>
          <w:u w:val="none"/>
        </w:rPr>
        <w:t>haver quórum suficiente para deliberação</w:t>
      </w:r>
      <w:r w:rsidR="00B2680A" w:rsidRPr="00FB1C1A">
        <w:rPr>
          <w:rStyle w:val="DeltaViewInsertion"/>
          <w:rFonts w:ascii="Times New Roman" w:hAnsi="Times New Roman"/>
          <w:color w:val="auto"/>
          <w:sz w:val="22"/>
          <w:szCs w:val="22"/>
          <w:u w:val="none"/>
        </w:rPr>
        <w:t xml:space="preserve"> </w:t>
      </w:r>
      <w:r w:rsidR="00B2680A">
        <w:rPr>
          <w:rStyle w:val="DeltaViewInsertion"/>
          <w:rFonts w:ascii="Times New Roman" w:hAnsi="Times New Roman"/>
          <w:color w:val="auto"/>
          <w:sz w:val="22"/>
          <w:szCs w:val="22"/>
          <w:u w:val="none"/>
        </w:rPr>
        <w:t>n</w:t>
      </w:r>
      <w:r w:rsidR="00B2680A"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43" w:name="_Toc110076267"/>
      <w:bookmarkStart w:id="44" w:name="_Toc163380706"/>
      <w:bookmarkStart w:id="45" w:name="_Toc180553622"/>
      <w:bookmarkStart w:id="46"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43"/>
      <w:bookmarkEnd w:id="44"/>
      <w:bookmarkEnd w:id="45"/>
      <w:bookmarkEnd w:id="46"/>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47"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47"/>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48" w:name="_Toc110076265"/>
      <w:bookmarkStart w:id="49" w:name="_Toc163380704"/>
      <w:bookmarkStart w:id="50" w:name="_Toc180553620"/>
      <w:bookmarkStart w:id="51" w:name="_Toc205799095"/>
      <w:bookmarkStart w:id="52" w:name="_Toc110076268"/>
      <w:bookmarkStart w:id="53" w:name="_Toc163380707"/>
      <w:bookmarkStart w:id="54" w:name="_Toc180553623"/>
      <w:bookmarkStart w:id="55" w:name="_Toc205799098"/>
      <w:bookmarkStart w:id="56" w:name="_Toc110076270"/>
      <w:bookmarkStart w:id="57" w:name="_Toc163380709"/>
      <w:bookmarkStart w:id="58" w:name="_Toc180553625"/>
      <w:bookmarkStart w:id="59"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48"/>
      <w:bookmarkEnd w:id="49"/>
      <w:bookmarkEnd w:id="50"/>
      <w:bookmarkEnd w:id="51"/>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proofErr w:type="spellStart"/>
      <w:r w:rsidRPr="00FB1C1A">
        <w:rPr>
          <w:rFonts w:ascii="Times New Roman" w:hAnsi="Times New Roman"/>
          <w:sz w:val="22"/>
          <w:szCs w:val="22"/>
          <w:lang w:eastAsia="pt-BR"/>
        </w:rPr>
        <w:t>fornecer</w:t>
      </w:r>
      <w:proofErr w:type="spellEnd"/>
      <w:r w:rsidRPr="00FB1C1A">
        <w:rPr>
          <w:rFonts w:ascii="Times New Roman" w:hAnsi="Times New Roman"/>
          <w:sz w:val="22"/>
          <w:szCs w:val="22"/>
          <w:lang w:eastAsia="pt-BR"/>
        </w:rPr>
        <w:t xml:space="preserve">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60" w:name="_DV_M225"/>
      <w:bookmarkStart w:id="61" w:name="_DV_M227"/>
      <w:bookmarkEnd w:id="60"/>
      <w:bookmarkEnd w:id="61"/>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52"/>
      <w:bookmarkEnd w:id="53"/>
      <w:bookmarkEnd w:id="54"/>
      <w:bookmarkEnd w:id="55"/>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2" w:name="_DV_M318"/>
      <w:bookmarkEnd w:id="62"/>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3" w:name="_DV_M319"/>
      <w:bookmarkEnd w:id="63"/>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4" w:name="_DV_M320"/>
      <w:bookmarkEnd w:id="64"/>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5" w:name="_DV_M321"/>
      <w:bookmarkEnd w:id="65"/>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6" w:name="_DV_M322"/>
      <w:bookmarkEnd w:id="66"/>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7" w:name="_DV_M323"/>
      <w:bookmarkStart w:id="68" w:name="_DV_M324"/>
      <w:bookmarkEnd w:id="67"/>
      <w:bookmarkEnd w:id="68"/>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69" w:name="_DV_M325"/>
      <w:bookmarkEnd w:id="69"/>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70" w:name="_DV_M326"/>
      <w:bookmarkEnd w:id="70"/>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71" w:name="_DV_M327"/>
      <w:bookmarkEnd w:id="71"/>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w:t>
      </w:r>
      <w:proofErr w:type="spellStart"/>
      <w:r w:rsidRPr="00DB470A">
        <w:rPr>
          <w:rFonts w:ascii="Times New Roman" w:hAnsi="Times New Roman"/>
          <w:sz w:val="22"/>
          <w:szCs w:val="22"/>
        </w:rPr>
        <w:t>fornecer</w:t>
      </w:r>
      <w:proofErr w:type="spellEnd"/>
      <w:r w:rsidRPr="00DB470A">
        <w:rPr>
          <w:rFonts w:ascii="Times New Roman" w:hAnsi="Times New Roman"/>
          <w:sz w:val="22"/>
          <w:szCs w:val="22"/>
        </w:rPr>
        <w:t>,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 xml:space="preserve">Nota Simplific Pavarini: Informaremos após a finalização das validações das </w:t>
      </w:r>
      <w:proofErr w:type="spellStart"/>
      <w:r w:rsidR="009C6366" w:rsidRPr="00CA14B3">
        <w:rPr>
          <w:rFonts w:ascii="Times New Roman" w:hAnsi="Times New Roman"/>
          <w:sz w:val="22"/>
          <w:szCs w:val="22"/>
          <w:highlight w:val="yellow"/>
        </w:rPr>
        <w:t>NFs</w:t>
      </w:r>
      <w:proofErr w:type="spellEnd"/>
      <w:r w:rsidR="009C6366">
        <w:rPr>
          <w:rFonts w:ascii="Times New Roman" w:hAnsi="Times New Roman"/>
          <w:sz w:val="22"/>
          <w:szCs w:val="22"/>
        </w:rPr>
        <w:t>]</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72"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72"/>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761BC460" w:rsidR="00A22613" w:rsidRDefault="00A22613" w:rsidP="00FB1C1A">
      <w:pPr>
        <w:pStyle w:val="Level1"/>
        <w:keepNext/>
        <w:spacing w:after="0" w:line="300" w:lineRule="auto"/>
        <w:rPr>
          <w:rFonts w:ascii="Times New Roman" w:hAnsi="Times New Roman"/>
          <w:b/>
          <w:bCs/>
          <w:sz w:val="22"/>
          <w:szCs w:val="22"/>
        </w:rPr>
      </w:pPr>
      <w:bookmarkStart w:id="73"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73"/>
      <w:r w:rsidR="00FB1C1A">
        <w:rPr>
          <w:rFonts w:ascii="Times New Roman" w:hAnsi="Times New Roman"/>
          <w:b/>
          <w:bCs/>
          <w:sz w:val="22"/>
          <w:szCs w:val="22"/>
        </w:rPr>
        <w:t>ASSEMBLEIA ESPECIAL DE INVESTIDORES</w:t>
      </w:r>
      <w:r w:rsidR="007C4D9C">
        <w:rPr>
          <w:rFonts w:ascii="Times New Roman" w:hAnsi="Times New Roman"/>
          <w:b/>
          <w:bCs/>
          <w:sz w:val="22"/>
          <w:szCs w:val="22"/>
        </w:rPr>
        <w:t>[</w:t>
      </w:r>
      <w:r w:rsidR="007C4D9C" w:rsidRPr="00CA14B3">
        <w:rPr>
          <w:rFonts w:ascii="Times New Roman" w:hAnsi="Times New Roman"/>
          <w:b/>
          <w:bCs/>
          <w:sz w:val="22"/>
          <w:szCs w:val="22"/>
          <w:highlight w:val="yellow"/>
        </w:rPr>
        <w:t>Nota FB: não deveria ser assembleia geral de investidores? Se é que faz alguma diferença</w:t>
      </w:r>
      <w:r w:rsidR="007C4D9C">
        <w:rPr>
          <w:rFonts w:ascii="Times New Roman" w:hAnsi="Times New Roman"/>
          <w:b/>
          <w:bCs/>
          <w:sz w:val="22"/>
          <w:szCs w:val="22"/>
        </w:rPr>
        <w:t>][</w:t>
      </w:r>
      <w:r w:rsidR="007C4D9C" w:rsidRPr="00CA14B3">
        <w:rPr>
          <w:rFonts w:ascii="Times New Roman" w:hAnsi="Times New Roman"/>
          <w:b/>
          <w:bCs/>
          <w:sz w:val="22"/>
          <w:szCs w:val="22"/>
          <w:highlight w:val="yellow"/>
        </w:rPr>
        <w:t>Nota Coelho Advogados: Nomenclatura trazida pela Resolução CVM 60]</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74"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74"/>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75"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75"/>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21D86D95" w14:textId="77777777" w:rsidR="007B0D60" w:rsidRDefault="007B0D60" w:rsidP="00CA14B3">
      <w:pPr>
        <w:pStyle w:val="PargrafodaLista"/>
        <w:rPr>
          <w:rFonts w:ascii="Times New Roman" w:hAnsi="Times New Roman"/>
          <w:sz w:val="22"/>
          <w:szCs w:val="22"/>
        </w:rPr>
      </w:pP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CA14B3">
      <w:pPr>
        <w:pStyle w:val="Level3"/>
        <w:spacing w:after="0" w:line="300" w:lineRule="auto"/>
        <w:ind w:left="567"/>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76"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76"/>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77" w:name="_Ref67143715"/>
      <w:bookmarkStart w:id="78"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77"/>
      <w:bookmarkEnd w:id="78"/>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79"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79"/>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80" w:name="_Toc110076271"/>
      <w:bookmarkStart w:id="81" w:name="_Toc163380710"/>
      <w:bookmarkStart w:id="82" w:name="_Toc180553626"/>
      <w:bookmarkStart w:id="83"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84" w:name="_Ref80364632"/>
      <w:r w:rsidR="00CD574F" w:rsidRPr="00FB1C1A">
        <w:rPr>
          <w:rFonts w:ascii="Times New Roman" w:hAnsi="Times New Roman"/>
          <w:b/>
          <w:bCs/>
          <w:sz w:val="22"/>
          <w:szCs w:val="22"/>
        </w:rPr>
        <w:t>– DA LIQUIDAÇÃO DO PATRIMÔNIO SEPARADO</w:t>
      </w:r>
      <w:bookmarkEnd w:id="84"/>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85"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85"/>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86"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86"/>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80"/>
      <w:bookmarkEnd w:id="81"/>
      <w:bookmarkEnd w:id="82"/>
      <w:bookmarkEnd w:id="83"/>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87" w:name="_Ref80346778"/>
      <w:bookmarkStart w:id="88"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87"/>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89" w:name="_Ref80346340"/>
      <w:bookmarkStart w:id="90"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89"/>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91" w:name="_Ref80346729"/>
      <w:bookmarkStart w:id="92" w:name="_Ref67144122"/>
      <w:bookmarkEnd w:id="88"/>
      <w:bookmarkEnd w:id="90"/>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91"/>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93"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93"/>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94" w:name="_Ref67144166"/>
      <w:bookmarkEnd w:id="92"/>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94"/>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95"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95"/>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96"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96"/>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97"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97"/>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98"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98"/>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99"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9"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99"/>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00" w:name="_Toc241983077"/>
      <w:bookmarkStart w:id="101" w:name="_Toc205799102"/>
      <w:bookmarkStart w:id="102"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00"/>
      <w:bookmarkEnd w:id="101"/>
      <w:bookmarkEnd w:id="102"/>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103"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103"/>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104" w:name="_Hlk67144586"/>
      <w:r w:rsidRPr="00FB1C1A">
        <w:rPr>
          <w:rFonts w:ascii="Times New Roman" w:hAnsi="Times New Roman"/>
          <w:b/>
          <w:iCs/>
          <w:sz w:val="22"/>
          <w:szCs w:val="22"/>
        </w:rPr>
        <w:t>Imposto sobre a Renda (IR)</w:t>
      </w:r>
      <w:bookmarkStart w:id="105" w:name="_DV_M1274"/>
      <w:bookmarkEnd w:id="105"/>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106" w:name="_DV_M1276"/>
      <w:bookmarkStart w:id="107" w:name="_DV_M1278"/>
      <w:bookmarkStart w:id="108" w:name="_DV_M1279"/>
      <w:bookmarkStart w:id="109" w:name="_DV_M1281"/>
      <w:bookmarkStart w:id="110" w:name="_DV_M1282"/>
      <w:bookmarkEnd w:id="106"/>
      <w:bookmarkEnd w:id="107"/>
      <w:bookmarkEnd w:id="108"/>
      <w:bookmarkEnd w:id="109"/>
      <w:bookmarkEnd w:id="110"/>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111" w:name="_DV_M1283"/>
      <w:bookmarkEnd w:id="111"/>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112" w:name="_DV_M1284"/>
      <w:bookmarkStart w:id="113" w:name="_DV_M1285"/>
      <w:bookmarkStart w:id="114" w:name="_DV_M1286"/>
      <w:bookmarkStart w:id="115" w:name="_DV_M1287"/>
      <w:bookmarkStart w:id="116" w:name="_DV_M1288"/>
      <w:bookmarkEnd w:id="112"/>
      <w:bookmarkEnd w:id="113"/>
      <w:bookmarkEnd w:id="114"/>
      <w:bookmarkEnd w:id="115"/>
      <w:bookmarkEnd w:id="116"/>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117" w:name="_DV_M1290"/>
      <w:bookmarkEnd w:id="117"/>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18" w:name="_DV_M1291"/>
      <w:bookmarkEnd w:id="118"/>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119" w:name="_DV_M1292"/>
      <w:bookmarkEnd w:id="119"/>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120" w:name="_DV_M1293"/>
      <w:bookmarkEnd w:id="120"/>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121" w:name="_Toc110076273"/>
      <w:bookmarkStart w:id="122" w:name="_Toc163380712"/>
      <w:bookmarkStart w:id="123" w:name="_Toc180553628"/>
      <w:bookmarkStart w:id="124" w:name="_Toc205799104"/>
      <w:bookmarkEnd w:id="104"/>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121"/>
      <w:bookmarkEnd w:id="122"/>
      <w:bookmarkEnd w:id="123"/>
      <w:bookmarkEnd w:id="124"/>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125" w:name="_Toc205799106"/>
      <w:bookmarkStart w:id="126" w:name="_Toc180553630"/>
      <w:bookmarkStart w:id="127" w:name="_Toc163380714"/>
      <w:bookmarkStart w:id="128" w:name="_Toc163311030"/>
      <w:bookmarkStart w:id="129" w:name="_Toc163043039"/>
      <w:bookmarkStart w:id="130" w:name="_Toc162083622"/>
      <w:bookmarkStart w:id="131" w:name="_Toc162079649"/>
      <w:bookmarkStart w:id="132" w:name="_Ref80332769"/>
      <w:bookmarkStart w:id="133" w:name="_Toc162079650"/>
      <w:bookmarkStart w:id="134" w:name="_Toc162083623"/>
      <w:bookmarkStart w:id="135"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125"/>
      <w:bookmarkEnd w:id="126"/>
      <w:bookmarkEnd w:id="127"/>
      <w:bookmarkEnd w:id="128"/>
      <w:bookmarkEnd w:id="129"/>
      <w:bookmarkEnd w:id="130"/>
      <w:bookmarkEnd w:id="131"/>
      <w:bookmarkEnd w:id="132"/>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136" w:name="_DV_M243"/>
      <w:bookmarkStart w:id="137" w:name="_DV_M244"/>
      <w:bookmarkStart w:id="138" w:name="_DV_M245"/>
      <w:bookmarkStart w:id="139" w:name="_DV_M246"/>
      <w:bookmarkStart w:id="140" w:name="_DV_M247"/>
      <w:bookmarkStart w:id="141" w:name="_DV_M249"/>
      <w:bookmarkStart w:id="142" w:name="_DV_M252"/>
      <w:bookmarkStart w:id="143" w:name="_DV_M254"/>
      <w:bookmarkStart w:id="144" w:name="_DV_M265"/>
      <w:bookmarkStart w:id="145" w:name="_DV_M268"/>
      <w:bookmarkStart w:id="146" w:name="_DV_M272"/>
      <w:bookmarkStart w:id="147" w:name="_DV_M273"/>
      <w:bookmarkEnd w:id="136"/>
      <w:bookmarkEnd w:id="137"/>
      <w:bookmarkEnd w:id="138"/>
      <w:bookmarkEnd w:id="139"/>
      <w:bookmarkEnd w:id="140"/>
      <w:bookmarkEnd w:id="141"/>
      <w:bookmarkEnd w:id="142"/>
      <w:bookmarkEnd w:id="143"/>
      <w:bookmarkEnd w:id="144"/>
      <w:bookmarkEnd w:id="145"/>
      <w:bookmarkEnd w:id="146"/>
      <w:bookmarkEnd w:id="147"/>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148" w:name="_DV_M396"/>
      <w:bookmarkEnd w:id="148"/>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149" w:name="_DV_M397"/>
      <w:bookmarkEnd w:id="149"/>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150" w:name="_DV_M280"/>
      <w:bookmarkEnd w:id="133"/>
      <w:bookmarkEnd w:id="134"/>
      <w:bookmarkEnd w:id="135"/>
      <w:bookmarkEnd w:id="150"/>
      <w:r w:rsidRPr="00FB1C1A">
        <w:rPr>
          <w:rFonts w:ascii="Times New Roman" w:hAnsi="Times New Roman"/>
          <w:szCs w:val="22"/>
        </w:rPr>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151"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152" w:name="_Hlk80722573"/>
      <w:bookmarkEnd w:id="151"/>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proofErr w:type="spellStart"/>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proofErr w:type="spellEnd"/>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152"/>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0"/>
          <w:headerReference w:type="default" r:id="rId11"/>
          <w:footerReference w:type="even" r:id="rId12"/>
          <w:footerReference w:type="default" r:id="rId13"/>
          <w:headerReference w:type="first" r:id="rId14"/>
          <w:footerReference w:type="first" r:id="rId15"/>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CA14B3">
      <w:pPr>
        <w:pStyle w:val="PargrafodaLista"/>
        <w:rPr>
          <w:rFonts w:ascii="Times New Roman" w:eastAsia="Calibri" w:hAnsi="Times New Roman"/>
          <w:sz w:val="22"/>
          <w:szCs w:val="22"/>
        </w:rPr>
      </w:pPr>
    </w:p>
    <w:p w14:paraId="6782B684" w14:textId="0860C05B" w:rsidR="00DC0600" w:rsidRPr="00C54F2A" w:rsidRDefault="00772EB7" w:rsidP="00CA14B3">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e/ou 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99AD9F" w14:textId="305D5FEC" w:rsidR="006E6676" w:rsidRDefault="006E6676"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9B4119">
      <w:pPr>
        <w:pStyle w:val="roman3"/>
        <w:numPr>
          <w:ilvl w:val="0"/>
          <w:numId w:val="0"/>
        </w:numPr>
        <w:tabs>
          <w:tab w:val="left" w:pos="851"/>
          <w:tab w:val="left" w:pos="1134"/>
        </w:tabs>
        <w:spacing w:after="0" w:line="300" w:lineRule="auto"/>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138AF951" w14:textId="4C774173" w:rsidR="00223C94" w:rsidRPr="00223C94" w:rsidRDefault="00223C94" w:rsidP="00CA14B3">
      <w:pPr>
        <w:pStyle w:val="roman3"/>
        <w:numPr>
          <w:ilvl w:val="0"/>
          <w:numId w:val="0"/>
        </w:numPr>
        <w:rPr>
          <w:rFonts w:ascii="Times New Roman" w:hAnsi="Times New Roman"/>
          <w:sz w:val="22"/>
          <w:szCs w:val="22"/>
        </w:rPr>
      </w:pP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442266CE"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parágrafo 4º do artigo 37 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6E527675" w:rsidR="00B275B2" w:rsidRDefault="00573F06"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 xml:space="preserve"> </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6FA7D6AD" w14:textId="69A77C0B"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 xml:space="preserve">[Nota Jurídico XP: Favor incluir fatores de risco específicos sobre fiadores PF, tratando sobre eventual morte, regime de casamento que possa afetar a </w:t>
      </w:r>
      <w:proofErr w:type="gramStart"/>
      <w:r>
        <w:rPr>
          <w:rFonts w:ascii="Times New Roman" w:hAnsi="Times New Roman"/>
          <w:sz w:val="22"/>
          <w:szCs w:val="22"/>
        </w:rPr>
        <w:t xml:space="preserve">operação </w:t>
      </w:r>
      <w:proofErr w:type="spellStart"/>
      <w:r>
        <w:rPr>
          <w:rFonts w:ascii="Times New Roman" w:hAnsi="Times New Roman"/>
          <w:sz w:val="22"/>
          <w:szCs w:val="22"/>
        </w:rPr>
        <w:t>etc</w:t>
      </w:r>
      <w:proofErr w:type="spellEnd"/>
      <w:proofErr w:type="gramEnd"/>
      <w:r>
        <w:rPr>
          <w:rFonts w:ascii="Times New Roman" w:hAnsi="Times New Roman"/>
          <w:sz w:val="22"/>
          <w:szCs w:val="22"/>
        </w:rPr>
        <w:t>]</w:t>
      </w:r>
      <w:r w:rsidR="00492017" w:rsidRPr="00492017">
        <w:rPr>
          <w:rFonts w:ascii="Times New Roman" w:hAnsi="Times New Roman"/>
          <w:sz w:val="22"/>
          <w:szCs w:val="22"/>
          <w:highlight w:val="yellow"/>
        </w:rPr>
        <w:t xml:space="preserve"> </w:t>
      </w:r>
      <w:r w:rsidR="00492017" w:rsidRPr="009E653C">
        <w:rPr>
          <w:rFonts w:ascii="Times New Roman" w:hAnsi="Times New Roman"/>
          <w:sz w:val="22"/>
          <w:szCs w:val="22"/>
          <w:highlight w:val="yellow"/>
        </w:rPr>
        <w:t xml:space="preserve">[Nota Coelho Advogados: </w:t>
      </w:r>
      <w:r w:rsidR="00492017">
        <w:rPr>
          <w:rFonts w:ascii="Times New Roman" w:hAnsi="Times New Roman"/>
          <w:sz w:val="22"/>
          <w:szCs w:val="22"/>
          <w:highlight w:val="yellow"/>
        </w:rPr>
        <w:t xml:space="preserve">Consta do </w:t>
      </w:r>
      <w:r w:rsidR="00492017" w:rsidRPr="009E653C">
        <w:rPr>
          <w:rFonts w:ascii="Times New Roman" w:hAnsi="Times New Roman"/>
          <w:sz w:val="22"/>
          <w:szCs w:val="22"/>
          <w:highlight w:val="yellow"/>
        </w:rPr>
        <w:t xml:space="preserve">item </w:t>
      </w:r>
      <w:proofErr w:type="spellStart"/>
      <w:r w:rsidR="00492017" w:rsidRPr="009E653C">
        <w:rPr>
          <w:rFonts w:ascii="Times New Roman" w:hAnsi="Times New Roman"/>
          <w:sz w:val="22"/>
          <w:szCs w:val="22"/>
          <w:highlight w:val="yellow"/>
        </w:rPr>
        <w:t>xxxi</w:t>
      </w:r>
      <w:r w:rsidR="00492017">
        <w:rPr>
          <w:rFonts w:ascii="Times New Roman" w:hAnsi="Times New Roman"/>
          <w:sz w:val="22"/>
          <w:szCs w:val="22"/>
          <w:highlight w:val="yellow"/>
        </w:rPr>
        <w:t>ii</w:t>
      </w:r>
      <w:proofErr w:type="spellEnd"/>
      <w:r w:rsidR="00492017" w:rsidRPr="009E653C">
        <w:rPr>
          <w:rFonts w:ascii="Times New Roman" w:hAnsi="Times New Roman"/>
          <w:sz w:val="22"/>
          <w:szCs w:val="22"/>
          <w:highlight w:val="yellow"/>
        </w:rPr>
        <w:t>]</w:t>
      </w:r>
    </w:p>
    <w:p w14:paraId="14E3A7C2" w14:textId="2BE57556"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w:t>
      </w:r>
      <w:r w:rsidRPr="00CA14B3">
        <w:rPr>
          <w:rFonts w:ascii="Times New Roman" w:hAnsi="Times New Roman"/>
          <w:sz w:val="22"/>
          <w:szCs w:val="22"/>
          <w:highlight w:val="yellow"/>
        </w:rPr>
        <w:t>Nota Jurídico XP: Favor incluir fator de risco sobre risco da constituição e formalização das garantias]</w:t>
      </w:r>
      <w:r w:rsidR="00BC1D2B" w:rsidRPr="00CA14B3">
        <w:rPr>
          <w:rFonts w:ascii="Times New Roman" w:hAnsi="Times New Roman"/>
          <w:sz w:val="22"/>
          <w:szCs w:val="22"/>
          <w:highlight w:val="yellow"/>
        </w:rPr>
        <w:t xml:space="preserve">[Nota Coelho Advogados: </w:t>
      </w:r>
      <w:r w:rsidR="00492017">
        <w:rPr>
          <w:rFonts w:ascii="Times New Roman" w:hAnsi="Times New Roman"/>
          <w:sz w:val="22"/>
          <w:szCs w:val="22"/>
          <w:highlight w:val="yellow"/>
        </w:rPr>
        <w:t xml:space="preserve">Consta do </w:t>
      </w:r>
      <w:r w:rsidR="00BC1D2B" w:rsidRPr="00CA14B3">
        <w:rPr>
          <w:rFonts w:ascii="Times New Roman" w:hAnsi="Times New Roman"/>
          <w:sz w:val="22"/>
          <w:szCs w:val="22"/>
          <w:highlight w:val="yellow"/>
        </w:rPr>
        <w:t xml:space="preserve">item </w:t>
      </w:r>
      <w:proofErr w:type="spellStart"/>
      <w:r w:rsidR="00BC1D2B" w:rsidRPr="00CA14B3">
        <w:rPr>
          <w:rFonts w:ascii="Times New Roman" w:hAnsi="Times New Roman"/>
          <w:sz w:val="22"/>
          <w:szCs w:val="22"/>
          <w:highlight w:val="yellow"/>
        </w:rPr>
        <w:t>xxxi</w:t>
      </w:r>
      <w:proofErr w:type="spellEnd"/>
      <w:r w:rsidR="00492017" w:rsidRPr="00CA14B3">
        <w:rPr>
          <w:rFonts w:ascii="Times New Roman" w:hAnsi="Times New Roman"/>
          <w:sz w:val="22"/>
          <w:szCs w:val="22"/>
          <w:highlight w:val="yellow"/>
        </w:rPr>
        <w:t>]</w:t>
      </w: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6"/>
          <w:headerReference w:type="default" r:id="rId17"/>
          <w:footerReference w:type="even" r:id="rId18"/>
          <w:footerReference w:type="default" r:id="rId19"/>
          <w:headerReference w:type="first" r:id="rId20"/>
          <w:footerReference w:type="first" r:id="rId21"/>
          <w:pgSz w:w="11907" w:h="16839" w:code="9"/>
          <w:pgMar w:top="1985" w:right="1588" w:bottom="1304" w:left="1588" w:header="765" w:footer="567" w:gutter="0"/>
          <w:cols w:space="708"/>
          <w:docGrid w:linePitch="360"/>
        </w:sectPr>
      </w:pPr>
    </w:p>
    <w:bookmarkEnd w:id="56"/>
    <w:bookmarkEnd w:id="57"/>
    <w:bookmarkEnd w:id="58"/>
    <w:bookmarkEnd w:id="59"/>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2"/>
          <w:headerReference w:type="default" r:id="rId23"/>
          <w:footerReference w:type="even" r:id="rId24"/>
          <w:footerReference w:type="default" r:id="rId25"/>
          <w:headerReference w:type="first" r:id="rId26"/>
          <w:footerReference w:type="first" r:id="rId27"/>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153"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153"/>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154"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154"/>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8"/>
          <w:headerReference w:type="default" r:id="rId29"/>
          <w:footerReference w:type="even" r:id="rId30"/>
          <w:footerReference w:type="default" r:id="rId31"/>
          <w:headerReference w:type="first" r:id="rId32"/>
          <w:footerReference w:type="first" r:id="rId33"/>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155" w:name="_Hlk68028801"/>
      <w:r w:rsidRPr="004535DD">
        <w:rPr>
          <w:b/>
          <w:sz w:val="14"/>
          <w:szCs w:val="14"/>
        </w:rPr>
        <w:t xml:space="preserve">CRONOGRAMA INDICATIVO </w:t>
      </w:r>
      <w:bookmarkEnd w:id="155"/>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156"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156"/>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Pr="00FB1C1A" w:rsidRDefault="001172EE" w:rsidP="00E36A1B">
      <w:pPr>
        <w:spacing w:after="0" w:line="300" w:lineRule="auto"/>
        <w:rPr>
          <w:rFonts w:ascii="Times New Roman" w:hAnsi="Times New Roman"/>
          <w:kern w:val="20"/>
          <w:sz w:val="22"/>
          <w:szCs w:val="22"/>
        </w:rPr>
      </w:pPr>
    </w:p>
    <w:sectPr w:rsidR="001172EE" w:rsidRPr="00FB1C1A" w:rsidSect="00FD0583">
      <w:headerReference w:type="even" r:id="rId34"/>
      <w:headerReference w:type="default" r:id="rId35"/>
      <w:footerReference w:type="even" r:id="rId36"/>
      <w:footerReference w:type="default" r:id="rId37"/>
      <w:headerReference w:type="first" r:id="rId38"/>
      <w:footerReference w:type="first" r:id="rId39"/>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7C74" w14:textId="77777777" w:rsidR="00D45F97" w:rsidRDefault="00D45F97" w:rsidP="00A17CE9">
      <w:pPr>
        <w:spacing w:after="0" w:line="240" w:lineRule="auto"/>
      </w:pPr>
      <w:r>
        <w:separator/>
      </w:r>
    </w:p>
  </w:endnote>
  <w:endnote w:type="continuationSeparator" w:id="0">
    <w:p w14:paraId="416FE2C7" w14:textId="77777777" w:rsidR="00D45F97" w:rsidRDefault="00D45F97"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5D3CC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5D3CC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5D3CC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5D3CC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D9355" w14:textId="77777777" w:rsidR="00D45F97" w:rsidRDefault="00D45F97" w:rsidP="00A17CE9">
      <w:pPr>
        <w:spacing w:after="0" w:line="240" w:lineRule="auto"/>
      </w:pPr>
      <w:r>
        <w:separator/>
      </w:r>
    </w:p>
  </w:footnote>
  <w:footnote w:type="continuationSeparator" w:id="0">
    <w:p w14:paraId="2C2332AD" w14:textId="77777777" w:rsidR="00D45F97" w:rsidRDefault="00D45F97"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3"/>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4"/>
  </w:num>
  <w:num w:numId="8" w16cid:durableId="1976326700">
    <w:abstractNumId w:val="100"/>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7"/>
  </w:num>
  <w:num w:numId="14" w16cid:durableId="1593782971">
    <w:abstractNumId w:val="105"/>
  </w:num>
  <w:num w:numId="15" w16cid:durableId="581530359">
    <w:abstractNumId w:val="69"/>
  </w:num>
  <w:num w:numId="16" w16cid:durableId="1877156881">
    <w:abstractNumId w:val="45"/>
  </w:num>
  <w:num w:numId="17" w16cid:durableId="1520511028">
    <w:abstractNumId w:val="106"/>
  </w:num>
  <w:num w:numId="18" w16cid:durableId="1358581159">
    <w:abstractNumId w:val="91"/>
  </w:num>
  <w:num w:numId="19" w16cid:durableId="630524671">
    <w:abstractNumId w:val="86"/>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101"/>
  </w:num>
  <w:num w:numId="26" w16cid:durableId="1749645522">
    <w:abstractNumId w:val="74"/>
  </w:num>
  <w:num w:numId="27" w16cid:durableId="1992782380">
    <w:abstractNumId w:val="66"/>
  </w:num>
  <w:num w:numId="28" w16cid:durableId="1696929706">
    <w:abstractNumId w:val="94"/>
  </w:num>
  <w:num w:numId="29" w16cid:durableId="2061319100">
    <w:abstractNumId w:val="88"/>
  </w:num>
  <w:num w:numId="30" w16cid:durableId="1869949422">
    <w:abstractNumId w:val="9"/>
  </w:num>
  <w:num w:numId="31" w16cid:durableId="442505089">
    <w:abstractNumId w:val="32"/>
  </w:num>
  <w:num w:numId="32" w16cid:durableId="1574313140">
    <w:abstractNumId w:val="71"/>
  </w:num>
  <w:num w:numId="33" w16cid:durableId="1944604460">
    <w:abstractNumId w:val="82"/>
  </w:num>
  <w:num w:numId="34" w16cid:durableId="1922370630">
    <w:abstractNumId w:val="3"/>
  </w:num>
  <w:num w:numId="35" w16cid:durableId="267662306">
    <w:abstractNumId w:val="36"/>
  </w:num>
  <w:num w:numId="36" w16cid:durableId="670722567">
    <w:abstractNumId w:val="84"/>
  </w:num>
  <w:num w:numId="37" w16cid:durableId="634216326">
    <w:abstractNumId w:val="29"/>
  </w:num>
  <w:num w:numId="38" w16cid:durableId="261380349">
    <w:abstractNumId w:val="44"/>
  </w:num>
  <w:num w:numId="39" w16cid:durableId="749887262">
    <w:abstractNumId w:val="87"/>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8"/>
  </w:num>
  <w:num w:numId="46" w16cid:durableId="622804618">
    <w:abstractNumId w:val="80"/>
  </w:num>
  <w:num w:numId="47" w16cid:durableId="2113014658">
    <w:abstractNumId w:val="89"/>
  </w:num>
  <w:num w:numId="48" w16cid:durableId="2008826356">
    <w:abstractNumId w:val="25"/>
  </w:num>
  <w:num w:numId="49" w16cid:durableId="808519494">
    <w:abstractNumId w:val="18"/>
  </w:num>
  <w:num w:numId="50" w16cid:durableId="2113820298">
    <w:abstractNumId w:val="70"/>
  </w:num>
  <w:num w:numId="51" w16cid:durableId="621301610">
    <w:abstractNumId w:val="102"/>
  </w:num>
  <w:num w:numId="52" w16cid:durableId="1702239064">
    <w:abstractNumId w:val="12"/>
  </w:num>
  <w:num w:numId="53" w16cid:durableId="1387874386">
    <w:abstractNumId w:val="81"/>
  </w:num>
  <w:num w:numId="54" w16cid:durableId="31658367">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8"/>
  </w:num>
  <w:num w:numId="56" w16cid:durableId="1139803082">
    <w:abstractNumId w:val="78"/>
  </w:num>
  <w:num w:numId="57" w16cid:durableId="1919317861">
    <w:abstractNumId w:val="78"/>
  </w:num>
  <w:num w:numId="58" w16cid:durableId="793256511">
    <w:abstractNumId w:val="4"/>
  </w:num>
  <w:num w:numId="59" w16cid:durableId="2026007487">
    <w:abstractNumId w:val="23"/>
  </w:num>
  <w:num w:numId="60" w16cid:durableId="915171798">
    <w:abstractNumId w:val="42"/>
  </w:num>
  <w:num w:numId="61" w16cid:durableId="648638028">
    <w:abstractNumId w:val="77"/>
  </w:num>
  <w:num w:numId="62" w16cid:durableId="1909609377">
    <w:abstractNumId w:val="11"/>
  </w:num>
  <w:num w:numId="63" w16cid:durableId="1499736032">
    <w:abstractNumId w:val="95"/>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4"/>
    <w:lvlOverride w:ilvl="0">
      <w:startOverride w:val="1"/>
    </w:lvlOverride>
  </w:num>
  <w:num w:numId="69" w16cid:durableId="67729656">
    <w:abstractNumId w:val="74"/>
    <w:lvlOverride w:ilvl="0">
      <w:startOverride w:val="1"/>
    </w:lvlOverride>
  </w:num>
  <w:num w:numId="70" w16cid:durableId="1654606167">
    <w:abstractNumId w:val="74"/>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4"/>
    <w:lvlOverride w:ilvl="0">
      <w:startOverride w:val="1"/>
    </w:lvlOverride>
  </w:num>
  <w:num w:numId="74" w16cid:durableId="1964114796">
    <w:abstractNumId w:val="74"/>
    <w:lvlOverride w:ilvl="0">
      <w:startOverride w:val="1"/>
    </w:lvlOverride>
  </w:num>
  <w:num w:numId="75" w16cid:durableId="1662925463">
    <w:abstractNumId w:val="35"/>
    <w:lvlOverride w:ilvl="0">
      <w:startOverride w:val="1"/>
    </w:lvlOverride>
  </w:num>
  <w:num w:numId="76" w16cid:durableId="961232637">
    <w:abstractNumId w:val="74"/>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3"/>
  </w:num>
  <w:num w:numId="84" w16cid:durableId="617567720">
    <w:abstractNumId w:val="10"/>
  </w:num>
  <w:num w:numId="85" w16cid:durableId="1992321430">
    <w:abstractNumId w:val="10"/>
  </w:num>
  <w:num w:numId="86" w16cid:durableId="1717849444">
    <w:abstractNumId w:val="79"/>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90"/>
  </w:num>
  <w:num w:numId="93" w16cid:durableId="1134374447">
    <w:abstractNumId w:val="103"/>
  </w:num>
  <w:num w:numId="94" w16cid:durableId="2006281020">
    <w:abstractNumId w:val="53"/>
  </w:num>
  <w:num w:numId="95" w16cid:durableId="2135903704">
    <w:abstractNumId w:val="96"/>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4"/>
    <w:lvlOverride w:ilvl="0">
      <w:startOverride w:val="1"/>
    </w:lvlOverride>
  </w:num>
  <w:num w:numId="98" w16cid:durableId="416944992">
    <w:abstractNumId w:val="74"/>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4"/>
    <w:lvlOverride w:ilvl="0">
      <w:startOverride w:val="1"/>
    </w:lvlOverride>
  </w:num>
  <w:num w:numId="101" w16cid:durableId="239564263">
    <w:abstractNumId w:val="10"/>
  </w:num>
  <w:num w:numId="102" w16cid:durableId="1252617919">
    <w:abstractNumId w:val="74"/>
    <w:lvlOverride w:ilvl="0">
      <w:startOverride w:val="1"/>
    </w:lvlOverride>
  </w:num>
  <w:num w:numId="103" w16cid:durableId="1092042956">
    <w:abstractNumId w:val="74"/>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4"/>
  </w:num>
  <w:num w:numId="115" w16cid:durableId="1759011725">
    <w:abstractNumId w:val="74"/>
  </w:num>
  <w:num w:numId="116" w16cid:durableId="1816600867">
    <w:abstractNumId w:val="8"/>
  </w:num>
  <w:num w:numId="117" w16cid:durableId="1668047445">
    <w:abstractNumId w:val="26"/>
  </w:num>
  <w:num w:numId="118" w16cid:durableId="504783698">
    <w:abstractNumId w:val="22"/>
  </w:num>
  <w:num w:numId="119" w16cid:durableId="10837462">
    <w:abstractNumId w:val="75"/>
  </w:num>
  <w:num w:numId="120" w16cid:durableId="882248980">
    <w:abstractNumId w:val="92"/>
  </w:num>
  <w:num w:numId="121" w16cid:durableId="1979529665">
    <w:abstractNumId w:val="60"/>
  </w:num>
  <w:num w:numId="122" w16cid:durableId="1635603744">
    <w:abstractNumId w:val="85"/>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3"/>
  </w:num>
  <w:num w:numId="134" w16cid:durableId="466705853">
    <w:abstractNumId w:val="61"/>
  </w:num>
  <w:num w:numId="135" w16cid:durableId="521626131">
    <w:abstractNumId w:val="33"/>
  </w:num>
  <w:num w:numId="136" w16cid:durableId="942885043">
    <w:abstractNumId w:val="74"/>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708336010">
    <w:abstractNumId w:val="99"/>
  </w:num>
  <w:num w:numId="172" w16cid:durableId="328945990">
    <w:abstractNumId w:val="10"/>
  </w:num>
  <w:num w:numId="173" w16cid:durableId="1387685666">
    <w:abstractNumId w:val="74"/>
  </w:num>
  <w:num w:numId="174" w16cid:durableId="1412969081">
    <w:abstractNumId w:val="73"/>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27949"/>
    <w:rsid w:val="0003283F"/>
    <w:rsid w:val="000336BB"/>
    <w:rsid w:val="00033A81"/>
    <w:rsid w:val="00033E97"/>
    <w:rsid w:val="0004290C"/>
    <w:rsid w:val="00051002"/>
    <w:rsid w:val="000532E6"/>
    <w:rsid w:val="00055CE3"/>
    <w:rsid w:val="00063D9A"/>
    <w:rsid w:val="000653EC"/>
    <w:rsid w:val="0006553A"/>
    <w:rsid w:val="00065DA7"/>
    <w:rsid w:val="00066B2A"/>
    <w:rsid w:val="0006765B"/>
    <w:rsid w:val="0006786A"/>
    <w:rsid w:val="000708EE"/>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C5E19"/>
    <w:rsid w:val="000C735B"/>
    <w:rsid w:val="000D015E"/>
    <w:rsid w:val="000D311B"/>
    <w:rsid w:val="000D3687"/>
    <w:rsid w:val="000E2AFA"/>
    <w:rsid w:val="000E3091"/>
    <w:rsid w:val="000E63B6"/>
    <w:rsid w:val="000F16D8"/>
    <w:rsid w:val="000F6C2E"/>
    <w:rsid w:val="00101291"/>
    <w:rsid w:val="001023C5"/>
    <w:rsid w:val="00103CCF"/>
    <w:rsid w:val="00110963"/>
    <w:rsid w:val="001172EE"/>
    <w:rsid w:val="00122E8F"/>
    <w:rsid w:val="001268F8"/>
    <w:rsid w:val="0013063B"/>
    <w:rsid w:val="0013380A"/>
    <w:rsid w:val="00135A1E"/>
    <w:rsid w:val="001407C4"/>
    <w:rsid w:val="00140857"/>
    <w:rsid w:val="00142FE0"/>
    <w:rsid w:val="00143282"/>
    <w:rsid w:val="00145E51"/>
    <w:rsid w:val="00146F50"/>
    <w:rsid w:val="00150568"/>
    <w:rsid w:val="00153AAB"/>
    <w:rsid w:val="0015558B"/>
    <w:rsid w:val="00155D72"/>
    <w:rsid w:val="00161008"/>
    <w:rsid w:val="00162E12"/>
    <w:rsid w:val="001668A3"/>
    <w:rsid w:val="0017027C"/>
    <w:rsid w:val="00170702"/>
    <w:rsid w:val="001718D4"/>
    <w:rsid w:val="0018274E"/>
    <w:rsid w:val="00184B5A"/>
    <w:rsid w:val="00187123"/>
    <w:rsid w:val="001913A3"/>
    <w:rsid w:val="001923CB"/>
    <w:rsid w:val="00195024"/>
    <w:rsid w:val="001954B5"/>
    <w:rsid w:val="001A3192"/>
    <w:rsid w:val="001A5C47"/>
    <w:rsid w:val="001B3189"/>
    <w:rsid w:val="001B46CF"/>
    <w:rsid w:val="001C4049"/>
    <w:rsid w:val="001C4A29"/>
    <w:rsid w:val="001C4FA5"/>
    <w:rsid w:val="001C54CA"/>
    <w:rsid w:val="001C6516"/>
    <w:rsid w:val="001D0764"/>
    <w:rsid w:val="001D09CE"/>
    <w:rsid w:val="001D4D2C"/>
    <w:rsid w:val="001D554C"/>
    <w:rsid w:val="001D5D4D"/>
    <w:rsid w:val="001D6DED"/>
    <w:rsid w:val="001F098D"/>
    <w:rsid w:val="001F20CE"/>
    <w:rsid w:val="001F47A0"/>
    <w:rsid w:val="0020044B"/>
    <w:rsid w:val="00201FD5"/>
    <w:rsid w:val="00202965"/>
    <w:rsid w:val="0021173E"/>
    <w:rsid w:val="00211ECC"/>
    <w:rsid w:val="00212579"/>
    <w:rsid w:val="0021564F"/>
    <w:rsid w:val="00220B93"/>
    <w:rsid w:val="00221293"/>
    <w:rsid w:val="002222C9"/>
    <w:rsid w:val="00223A23"/>
    <w:rsid w:val="00223C94"/>
    <w:rsid w:val="00225BD8"/>
    <w:rsid w:val="00225EA0"/>
    <w:rsid w:val="002359C2"/>
    <w:rsid w:val="002402B4"/>
    <w:rsid w:val="00242DE1"/>
    <w:rsid w:val="00243198"/>
    <w:rsid w:val="0024699B"/>
    <w:rsid w:val="00246E78"/>
    <w:rsid w:val="002477B9"/>
    <w:rsid w:val="00255051"/>
    <w:rsid w:val="00256063"/>
    <w:rsid w:val="00256E67"/>
    <w:rsid w:val="0026004A"/>
    <w:rsid w:val="00260477"/>
    <w:rsid w:val="00262F0B"/>
    <w:rsid w:val="002633E2"/>
    <w:rsid w:val="002655BA"/>
    <w:rsid w:val="00273E6B"/>
    <w:rsid w:val="0027517F"/>
    <w:rsid w:val="00280D0A"/>
    <w:rsid w:val="00281A81"/>
    <w:rsid w:val="00284A94"/>
    <w:rsid w:val="00284E4A"/>
    <w:rsid w:val="002861CA"/>
    <w:rsid w:val="00290630"/>
    <w:rsid w:val="002A434F"/>
    <w:rsid w:val="002A4EA2"/>
    <w:rsid w:val="002C239B"/>
    <w:rsid w:val="002C3F60"/>
    <w:rsid w:val="002C422B"/>
    <w:rsid w:val="002C5C54"/>
    <w:rsid w:val="002C70D3"/>
    <w:rsid w:val="002C72E7"/>
    <w:rsid w:val="002D326B"/>
    <w:rsid w:val="002D5225"/>
    <w:rsid w:val="002D6035"/>
    <w:rsid w:val="002D7169"/>
    <w:rsid w:val="002E1A73"/>
    <w:rsid w:val="002E2720"/>
    <w:rsid w:val="002F0603"/>
    <w:rsid w:val="002F077D"/>
    <w:rsid w:val="002F1C20"/>
    <w:rsid w:val="002F33CA"/>
    <w:rsid w:val="002F63E8"/>
    <w:rsid w:val="003010BC"/>
    <w:rsid w:val="00304A71"/>
    <w:rsid w:val="00311F72"/>
    <w:rsid w:val="0031294F"/>
    <w:rsid w:val="003144D6"/>
    <w:rsid w:val="00320FF3"/>
    <w:rsid w:val="003251F2"/>
    <w:rsid w:val="00330E40"/>
    <w:rsid w:val="00331098"/>
    <w:rsid w:val="00331207"/>
    <w:rsid w:val="00331C56"/>
    <w:rsid w:val="00333C8E"/>
    <w:rsid w:val="0033750E"/>
    <w:rsid w:val="00337B06"/>
    <w:rsid w:val="003428EC"/>
    <w:rsid w:val="00350213"/>
    <w:rsid w:val="00351FE9"/>
    <w:rsid w:val="00352596"/>
    <w:rsid w:val="003569E9"/>
    <w:rsid w:val="0035794E"/>
    <w:rsid w:val="00362BC1"/>
    <w:rsid w:val="00363A1D"/>
    <w:rsid w:val="00363BFF"/>
    <w:rsid w:val="003707A2"/>
    <w:rsid w:val="003707DE"/>
    <w:rsid w:val="00371659"/>
    <w:rsid w:val="00372064"/>
    <w:rsid w:val="00375C33"/>
    <w:rsid w:val="00385EFC"/>
    <w:rsid w:val="0038691E"/>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6746"/>
    <w:rsid w:val="003F36AE"/>
    <w:rsid w:val="003F48CD"/>
    <w:rsid w:val="003F52DB"/>
    <w:rsid w:val="003F7711"/>
    <w:rsid w:val="00401006"/>
    <w:rsid w:val="004046BC"/>
    <w:rsid w:val="004055B2"/>
    <w:rsid w:val="00405D7C"/>
    <w:rsid w:val="0040640F"/>
    <w:rsid w:val="00411D06"/>
    <w:rsid w:val="00417928"/>
    <w:rsid w:val="0042134E"/>
    <w:rsid w:val="00431034"/>
    <w:rsid w:val="004317E9"/>
    <w:rsid w:val="004343B4"/>
    <w:rsid w:val="00435E4A"/>
    <w:rsid w:val="00436901"/>
    <w:rsid w:val="00436D5E"/>
    <w:rsid w:val="00441D11"/>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1022"/>
    <w:rsid w:val="00491525"/>
    <w:rsid w:val="0049184E"/>
    <w:rsid w:val="00492017"/>
    <w:rsid w:val="0049236B"/>
    <w:rsid w:val="004926C5"/>
    <w:rsid w:val="00492AC9"/>
    <w:rsid w:val="004951C8"/>
    <w:rsid w:val="004951D5"/>
    <w:rsid w:val="00495A9B"/>
    <w:rsid w:val="00497CCD"/>
    <w:rsid w:val="004A1DB0"/>
    <w:rsid w:val="004A5501"/>
    <w:rsid w:val="004A7328"/>
    <w:rsid w:val="004A7493"/>
    <w:rsid w:val="004B09D2"/>
    <w:rsid w:val="004B19C3"/>
    <w:rsid w:val="004B33A3"/>
    <w:rsid w:val="004B40F2"/>
    <w:rsid w:val="004C33C7"/>
    <w:rsid w:val="004C5B6C"/>
    <w:rsid w:val="004D0B00"/>
    <w:rsid w:val="004D26F6"/>
    <w:rsid w:val="004D4E82"/>
    <w:rsid w:val="004D700A"/>
    <w:rsid w:val="004E1DFA"/>
    <w:rsid w:val="004E3FB5"/>
    <w:rsid w:val="004F1AA3"/>
    <w:rsid w:val="004F6E00"/>
    <w:rsid w:val="004F7238"/>
    <w:rsid w:val="0050020D"/>
    <w:rsid w:val="005047AA"/>
    <w:rsid w:val="00504F42"/>
    <w:rsid w:val="0050535A"/>
    <w:rsid w:val="005063F0"/>
    <w:rsid w:val="00514D66"/>
    <w:rsid w:val="0051770A"/>
    <w:rsid w:val="00524444"/>
    <w:rsid w:val="00530183"/>
    <w:rsid w:val="0053339E"/>
    <w:rsid w:val="005335CD"/>
    <w:rsid w:val="0053461C"/>
    <w:rsid w:val="005348F1"/>
    <w:rsid w:val="00535A28"/>
    <w:rsid w:val="005368F3"/>
    <w:rsid w:val="0054049F"/>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5123"/>
    <w:rsid w:val="00577AEB"/>
    <w:rsid w:val="005806E3"/>
    <w:rsid w:val="00580FDC"/>
    <w:rsid w:val="0058169D"/>
    <w:rsid w:val="005828BF"/>
    <w:rsid w:val="0058365D"/>
    <w:rsid w:val="005848EE"/>
    <w:rsid w:val="00593DDB"/>
    <w:rsid w:val="00594D5E"/>
    <w:rsid w:val="005960C0"/>
    <w:rsid w:val="005A6228"/>
    <w:rsid w:val="005A7F51"/>
    <w:rsid w:val="005B2406"/>
    <w:rsid w:val="005B3371"/>
    <w:rsid w:val="005C0DEE"/>
    <w:rsid w:val="005C1527"/>
    <w:rsid w:val="005C7CA3"/>
    <w:rsid w:val="005D049A"/>
    <w:rsid w:val="005D18A5"/>
    <w:rsid w:val="005D331A"/>
    <w:rsid w:val="005D3CC0"/>
    <w:rsid w:val="005D47C9"/>
    <w:rsid w:val="005E4241"/>
    <w:rsid w:val="005E5E7E"/>
    <w:rsid w:val="005E7D76"/>
    <w:rsid w:val="005F09F4"/>
    <w:rsid w:val="005F1D5D"/>
    <w:rsid w:val="005F1D8A"/>
    <w:rsid w:val="005F726E"/>
    <w:rsid w:val="006028B2"/>
    <w:rsid w:val="00605756"/>
    <w:rsid w:val="00605BC7"/>
    <w:rsid w:val="00606377"/>
    <w:rsid w:val="00610276"/>
    <w:rsid w:val="006104ED"/>
    <w:rsid w:val="00611318"/>
    <w:rsid w:val="00615010"/>
    <w:rsid w:val="00616B4E"/>
    <w:rsid w:val="0062062D"/>
    <w:rsid w:val="006269CB"/>
    <w:rsid w:val="006329F7"/>
    <w:rsid w:val="00636D5E"/>
    <w:rsid w:val="00637A0B"/>
    <w:rsid w:val="00637D27"/>
    <w:rsid w:val="00640D5F"/>
    <w:rsid w:val="00643668"/>
    <w:rsid w:val="006437FE"/>
    <w:rsid w:val="006478C5"/>
    <w:rsid w:val="00650999"/>
    <w:rsid w:val="00651560"/>
    <w:rsid w:val="006523EC"/>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36BB"/>
    <w:rsid w:val="006F76FC"/>
    <w:rsid w:val="00701162"/>
    <w:rsid w:val="00703202"/>
    <w:rsid w:val="00705950"/>
    <w:rsid w:val="00714935"/>
    <w:rsid w:val="00715AA9"/>
    <w:rsid w:val="00720F13"/>
    <w:rsid w:val="007249EA"/>
    <w:rsid w:val="007309B4"/>
    <w:rsid w:val="00734206"/>
    <w:rsid w:val="00745927"/>
    <w:rsid w:val="00753B9E"/>
    <w:rsid w:val="00762323"/>
    <w:rsid w:val="00765B2F"/>
    <w:rsid w:val="007673DA"/>
    <w:rsid w:val="00770EFE"/>
    <w:rsid w:val="00771398"/>
    <w:rsid w:val="007721C3"/>
    <w:rsid w:val="00772EB7"/>
    <w:rsid w:val="0077549F"/>
    <w:rsid w:val="00776091"/>
    <w:rsid w:val="0077647B"/>
    <w:rsid w:val="00777E91"/>
    <w:rsid w:val="00781CCD"/>
    <w:rsid w:val="007846D2"/>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763F"/>
    <w:rsid w:val="007F7BF8"/>
    <w:rsid w:val="00801F6E"/>
    <w:rsid w:val="008064E5"/>
    <w:rsid w:val="00807F38"/>
    <w:rsid w:val="008104C9"/>
    <w:rsid w:val="0081107D"/>
    <w:rsid w:val="00813BCC"/>
    <w:rsid w:val="00814603"/>
    <w:rsid w:val="00814914"/>
    <w:rsid w:val="00817AC9"/>
    <w:rsid w:val="0082179A"/>
    <w:rsid w:val="008223E1"/>
    <w:rsid w:val="00825857"/>
    <w:rsid w:val="00826AB4"/>
    <w:rsid w:val="00840F0D"/>
    <w:rsid w:val="008422CA"/>
    <w:rsid w:val="00845469"/>
    <w:rsid w:val="008551E4"/>
    <w:rsid w:val="0085680B"/>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C1B"/>
    <w:rsid w:val="009252BF"/>
    <w:rsid w:val="00932471"/>
    <w:rsid w:val="00934A0D"/>
    <w:rsid w:val="009367D5"/>
    <w:rsid w:val="009379A0"/>
    <w:rsid w:val="00937BBF"/>
    <w:rsid w:val="00941BE5"/>
    <w:rsid w:val="00944E6D"/>
    <w:rsid w:val="00946538"/>
    <w:rsid w:val="00955EEC"/>
    <w:rsid w:val="009560C2"/>
    <w:rsid w:val="00964E9E"/>
    <w:rsid w:val="00974F8E"/>
    <w:rsid w:val="009751DD"/>
    <w:rsid w:val="009763A6"/>
    <w:rsid w:val="009872C9"/>
    <w:rsid w:val="009971CA"/>
    <w:rsid w:val="009A3C7F"/>
    <w:rsid w:val="009A4852"/>
    <w:rsid w:val="009B11E2"/>
    <w:rsid w:val="009B4119"/>
    <w:rsid w:val="009B4573"/>
    <w:rsid w:val="009B48A6"/>
    <w:rsid w:val="009B5AD7"/>
    <w:rsid w:val="009B6567"/>
    <w:rsid w:val="009B70DD"/>
    <w:rsid w:val="009C1E96"/>
    <w:rsid w:val="009C6366"/>
    <w:rsid w:val="009C73B4"/>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812"/>
    <w:rsid w:val="00A4417D"/>
    <w:rsid w:val="00A4520D"/>
    <w:rsid w:val="00A45412"/>
    <w:rsid w:val="00A47BC2"/>
    <w:rsid w:val="00A524D6"/>
    <w:rsid w:val="00A52832"/>
    <w:rsid w:val="00A52EB0"/>
    <w:rsid w:val="00A53E89"/>
    <w:rsid w:val="00A5565D"/>
    <w:rsid w:val="00A56CAF"/>
    <w:rsid w:val="00A6497D"/>
    <w:rsid w:val="00A65767"/>
    <w:rsid w:val="00A65AA2"/>
    <w:rsid w:val="00A66A7E"/>
    <w:rsid w:val="00A67109"/>
    <w:rsid w:val="00A67EAF"/>
    <w:rsid w:val="00A83A7C"/>
    <w:rsid w:val="00A8796B"/>
    <w:rsid w:val="00A943D7"/>
    <w:rsid w:val="00AA119E"/>
    <w:rsid w:val="00AA14DE"/>
    <w:rsid w:val="00AA1DCF"/>
    <w:rsid w:val="00AA2E12"/>
    <w:rsid w:val="00AA41AF"/>
    <w:rsid w:val="00AA4A2F"/>
    <w:rsid w:val="00AA5B3B"/>
    <w:rsid w:val="00AB17E2"/>
    <w:rsid w:val="00AB3549"/>
    <w:rsid w:val="00AB4842"/>
    <w:rsid w:val="00AC0A44"/>
    <w:rsid w:val="00AC5743"/>
    <w:rsid w:val="00AC6294"/>
    <w:rsid w:val="00AC699F"/>
    <w:rsid w:val="00AD209B"/>
    <w:rsid w:val="00AD2BA2"/>
    <w:rsid w:val="00AD775B"/>
    <w:rsid w:val="00AE157D"/>
    <w:rsid w:val="00AE692F"/>
    <w:rsid w:val="00AE736C"/>
    <w:rsid w:val="00AF1A20"/>
    <w:rsid w:val="00AF1DB0"/>
    <w:rsid w:val="00AF2CC9"/>
    <w:rsid w:val="00AF30EE"/>
    <w:rsid w:val="00AF3FE9"/>
    <w:rsid w:val="00AF4DBE"/>
    <w:rsid w:val="00B0025D"/>
    <w:rsid w:val="00B05F29"/>
    <w:rsid w:val="00B075B7"/>
    <w:rsid w:val="00B100E3"/>
    <w:rsid w:val="00B10F1F"/>
    <w:rsid w:val="00B146A3"/>
    <w:rsid w:val="00B14DD7"/>
    <w:rsid w:val="00B157EE"/>
    <w:rsid w:val="00B16913"/>
    <w:rsid w:val="00B17153"/>
    <w:rsid w:val="00B17CBD"/>
    <w:rsid w:val="00B20E1E"/>
    <w:rsid w:val="00B2680A"/>
    <w:rsid w:val="00B275B2"/>
    <w:rsid w:val="00B346B9"/>
    <w:rsid w:val="00B3616B"/>
    <w:rsid w:val="00B402E7"/>
    <w:rsid w:val="00B4558A"/>
    <w:rsid w:val="00B46D4B"/>
    <w:rsid w:val="00B47453"/>
    <w:rsid w:val="00B50296"/>
    <w:rsid w:val="00B50DFB"/>
    <w:rsid w:val="00B52A87"/>
    <w:rsid w:val="00B533F5"/>
    <w:rsid w:val="00B556E4"/>
    <w:rsid w:val="00B62DF0"/>
    <w:rsid w:val="00B67033"/>
    <w:rsid w:val="00B67E83"/>
    <w:rsid w:val="00B701B2"/>
    <w:rsid w:val="00B74CEF"/>
    <w:rsid w:val="00B752EA"/>
    <w:rsid w:val="00B77720"/>
    <w:rsid w:val="00B8566A"/>
    <w:rsid w:val="00B9101E"/>
    <w:rsid w:val="00B921FB"/>
    <w:rsid w:val="00B94193"/>
    <w:rsid w:val="00B94539"/>
    <w:rsid w:val="00B976DF"/>
    <w:rsid w:val="00BA1FCA"/>
    <w:rsid w:val="00BA44A6"/>
    <w:rsid w:val="00BB04F2"/>
    <w:rsid w:val="00BB055C"/>
    <w:rsid w:val="00BB08D0"/>
    <w:rsid w:val="00BB123B"/>
    <w:rsid w:val="00BB27F8"/>
    <w:rsid w:val="00BB774E"/>
    <w:rsid w:val="00BC135D"/>
    <w:rsid w:val="00BC1D2B"/>
    <w:rsid w:val="00BC244E"/>
    <w:rsid w:val="00BC31C3"/>
    <w:rsid w:val="00BC3410"/>
    <w:rsid w:val="00BC3F81"/>
    <w:rsid w:val="00BC6E47"/>
    <w:rsid w:val="00BC71E1"/>
    <w:rsid w:val="00BC74F7"/>
    <w:rsid w:val="00BD3C64"/>
    <w:rsid w:val="00BD6406"/>
    <w:rsid w:val="00BD6B7A"/>
    <w:rsid w:val="00BE0295"/>
    <w:rsid w:val="00BF6AF7"/>
    <w:rsid w:val="00C0567F"/>
    <w:rsid w:val="00C06688"/>
    <w:rsid w:val="00C1473D"/>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34A8"/>
    <w:rsid w:val="00C76CC7"/>
    <w:rsid w:val="00C875D9"/>
    <w:rsid w:val="00C93FB3"/>
    <w:rsid w:val="00C97049"/>
    <w:rsid w:val="00CA14B3"/>
    <w:rsid w:val="00CA2681"/>
    <w:rsid w:val="00CA347B"/>
    <w:rsid w:val="00CA3703"/>
    <w:rsid w:val="00CB0E89"/>
    <w:rsid w:val="00CB2423"/>
    <w:rsid w:val="00CB3153"/>
    <w:rsid w:val="00CB37BA"/>
    <w:rsid w:val="00CB467B"/>
    <w:rsid w:val="00CB5F54"/>
    <w:rsid w:val="00CD3F8F"/>
    <w:rsid w:val="00CD488B"/>
    <w:rsid w:val="00CD574F"/>
    <w:rsid w:val="00CD5D9E"/>
    <w:rsid w:val="00CD6C43"/>
    <w:rsid w:val="00CE1DCE"/>
    <w:rsid w:val="00CE255C"/>
    <w:rsid w:val="00CE2CF6"/>
    <w:rsid w:val="00CE7EFD"/>
    <w:rsid w:val="00CF1426"/>
    <w:rsid w:val="00CF1EE4"/>
    <w:rsid w:val="00CF4BB7"/>
    <w:rsid w:val="00CF51C5"/>
    <w:rsid w:val="00D03B0F"/>
    <w:rsid w:val="00D06B45"/>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AE8"/>
    <w:rsid w:val="00D45852"/>
    <w:rsid w:val="00D45BFD"/>
    <w:rsid w:val="00D45C98"/>
    <w:rsid w:val="00D45F97"/>
    <w:rsid w:val="00D468B9"/>
    <w:rsid w:val="00D50F3E"/>
    <w:rsid w:val="00D5637E"/>
    <w:rsid w:val="00D65928"/>
    <w:rsid w:val="00D65E19"/>
    <w:rsid w:val="00D66D68"/>
    <w:rsid w:val="00D700B5"/>
    <w:rsid w:val="00D80CF7"/>
    <w:rsid w:val="00D81D47"/>
    <w:rsid w:val="00D9337C"/>
    <w:rsid w:val="00D9476C"/>
    <w:rsid w:val="00DA271F"/>
    <w:rsid w:val="00DA629F"/>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6A1B"/>
    <w:rsid w:val="00E3768E"/>
    <w:rsid w:val="00E43D84"/>
    <w:rsid w:val="00E45CF9"/>
    <w:rsid w:val="00E46216"/>
    <w:rsid w:val="00E5103C"/>
    <w:rsid w:val="00E55D1B"/>
    <w:rsid w:val="00E56726"/>
    <w:rsid w:val="00E60887"/>
    <w:rsid w:val="00E6215D"/>
    <w:rsid w:val="00E63444"/>
    <w:rsid w:val="00E67B5A"/>
    <w:rsid w:val="00E72D79"/>
    <w:rsid w:val="00E747DD"/>
    <w:rsid w:val="00E754F6"/>
    <w:rsid w:val="00E75D9A"/>
    <w:rsid w:val="00E8495C"/>
    <w:rsid w:val="00E902EC"/>
    <w:rsid w:val="00E92637"/>
    <w:rsid w:val="00E94950"/>
    <w:rsid w:val="00E95583"/>
    <w:rsid w:val="00E958D1"/>
    <w:rsid w:val="00EA00CB"/>
    <w:rsid w:val="00EA4FAE"/>
    <w:rsid w:val="00EA56C3"/>
    <w:rsid w:val="00EA5A04"/>
    <w:rsid w:val="00EB1A92"/>
    <w:rsid w:val="00EB3793"/>
    <w:rsid w:val="00EB7050"/>
    <w:rsid w:val="00EB7AB8"/>
    <w:rsid w:val="00EB7C2F"/>
    <w:rsid w:val="00EC271B"/>
    <w:rsid w:val="00EC33A1"/>
    <w:rsid w:val="00EC3CE1"/>
    <w:rsid w:val="00ED1169"/>
    <w:rsid w:val="00ED3BD4"/>
    <w:rsid w:val="00ED514A"/>
    <w:rsid w:val="00ED5EEF"/>
    <w:rsid w:val="00ED639B"/>
    <w:rsid w:val="00EE05B5"/>
    <w:rsid w:val="00EE1B78"/>
    <w:rsid w:val="00EE518D"/>
    <w:rsid w:val="00EE66DD"/>
    <w:rsid w:val="00EF061F"/>
    <w:rsid w:val="00EF0A45"/>
    <w:rsid w:val="00EF1240"/>
    <w:rsid w:val="00EF2EF8"/>
    <w:rsid w:val="00EF3B49"/>
    <w:rsid w:val="00EF3DB2"/>
    <w:rsid w:val="00EF6368"/>
    <w:rsid w:val="00EF77C0"/>
    <w:rsid w:val="00F019A3"/>
    <w:rsid w:val="00F02396"/>
    <w:rsid w:val="00F07A9A"/>
    <w:rsid w:val="00F1565D"/>
    <w:rsid w:val="00F2066F"/>
    <w:rsid w:val="00F20D53"/>
    <w:rsid w:val="00F21A3A"/>
    <w:rsid w:val="00F228DC"/>
    <w:rsid w:val="00F31A0A"/>
    <w:rsid w:val="00F3233F"/>
    <w:rsid w:val="00F32D29"/>
    <w:rsid w:val="00F40ED0"/>
    <w:rsid w:val="00F4193B"/>
    <w:rsid w:val="00F44869"/>
    <w:rsid w:val="00F51983"/>
    <w:rsid w:val="00F53D05"/>
    <w:rsid w:val="00F566AF"/>
    <w:rsid w:val="00F56ADD"/>
    <w:rsid w:val="00F700B9"/>
    <w:rsid w:val="00F75C65"/>
    <w:rsid w:val="00F761F9"/>
    <w:rsid w:val="00F80279"/>
    <w:rsid w:val="00F84E57"/>
    <w:rsid w:val="00F85DA0"/>
    <w:rsid w:val="00F864A6"/>
    <w:rsid w:val="00F928FE"/>
    <w:rsid w:val="00F94391"/>
    <w:rsid w:val="00F95198"/>
    <w:rsid w:val="00F962A3"/>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3A37"/>
    <w:rsid w:val="00FD3D67"/>
    <w:rsid w:val="00FD534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列出段落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46492</Words>
  <Characters>251058</Characters>
  <Application>Microsoft Office Word</Application>
  <DocSecurity>0</DocSecurity>
  <Lines>2092</Lines>
  <Paragraphs>593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Bianca Portella Crochiquia | Coelho Advogados</cp:lastModifiedBy>
  <cp:revision>3</cp:revision>
  <dcterms:created xsi:type="dcterms:W3CDTF">2022-06-28T13:06:00Z</dcterms:created>
  <dcterms:modified xsi:type="dcterms:W3CDTF">2022-06-28T13:07:00Z</dcterms:modified>
</cp:coreProperties>
</file>