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752237">
        <w:rPr>
          <w:b w:val="0"/>
          <w:bCs/>
          <w:sz w:val="22"/>
          <w:szCs w:val="22"/>
          <w:lang w:val="pt-BR"/>
        </w:rPr>
        <w:t>[</w:t>
      </w:r>
      <w:r w:rsidRPr="00752237">
        <w:rPr>
          <w:sz w:val="22"/>
          <w:szCs w:val="22"/>
          <w:highlight w:val="yellow"/>
          <w:lang w:val="pt-BR"/>
        </w:rPr>
        <w:t>BERNOULLI/OUVIDOR</w:t>
      </w:r>
      <w:r w:rsidRPr="00752237">
        <w:rPr>
          <w:b w:val="0"/>
          <w:bCs/>
          <w:sz w:val="22"/>
          <w:szCs w:val="22"/>
          <w:lang w:val="pt-BR"/>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1E3BAE3B"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proofErr w:type="spellStart"/>
      <w:r w:rsidR="00816B86" w:rsidRPr="00BA75E8">
        <w:rPr>
          <w:sz w:val="22"/>
          <w:szCs w:val="22"/>
          <w:u w:val="single"/>
        </w:rPr>
        <w:t>Emissora</w:t>
      </w:r>
      <w:r w:rsidR="00816B86" w:rsidRPr="00BA75E8">
        <w:rPr>
          <w:sz w:val="22"/>
          <w:szCs w:val="22"/>
        </w:rPr>
        <w:t>”</w:t>
      </w:r>
      <w:r w:rsidR="00803C70">
        <w:rPr>
          <w:sz w:val="22"/>
          <w:szCs w:val="22"/>
        </w:rPr>
        <w:t>ou</w:t>
      </w:r>
      <w:proofErr w:type="spellEnd"/>
      <w:r w:rsidR="00803C70">
        <w:rPr>
          <w:sz w:val="22"/>
          <w:szCs w:val="22"/>
        </w:rPr>
        <w:t xml:space="preserve"> "</w:t>
      </w:r>
      <w:r w:rsidR="00803C70" w:rsidRPr="00372486">
        <w:rPr>
          <w:sz w:val="22"/>
          <w:szCs w:val="22"/>
          <w:u w:val="single"/>
        </w:rPr>
        <w:t>Bernoulli</w:t>
      </w:r>
      <w:r w:rsidR="00803C70">
        <w:rPr>
          <w:sz w:val="22"/>
          <w:szCs w:val="22"/>
        </w:rPr>
        <w:t>”</w:t>
      </w:r>
      <w:r w:rsidR="00752237">
        <w:rPr>
          <w:sz w:val="22"/>
          <w:szCs w:val="22"/>
        </w:rPr>
        <w:t>/”Ouvidor”</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7FFA965C" w:rsidR="00C277D8" w:rsidRPr="00BA75E8" w:rsidRDefault="00E2327A" w:rsidP="00C97DEE">
      <w:pPr>
        <w:widowControl w:val="0"/>
        <w:spacing w:line="312" w:lineRule="auto"/>
        <w:jc w:val="both"/>
        <w:rPr>
          <w:sz w:val="22"/>
          <w:szCs w:val="22"/>
        </w:rPr>
      </w:pPr>
      <w:r w:rsidRPr="00BA75E8">
        <w:rPr>
          <w:b/>
          <w:bCs/>
          <w:sz w:val="22"/>
          <w:szCs w:val="22"/>
        </w:rPr>
        <w:t xml:space="preserve">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 xml:space="preserve">sociedade empresária, com sede na cidade de Goiânia, no estado de Goiás, na Av. E, nº 1470, quadra B29-A Lote I sala 1102, Edifício JK New Anexo </w:t>
      </w:r>
      <w:proofErr w:type="spellStart"/>
      <w:r w:rsidRPr="00BA75E8">
        <w:rPr>
          <w:sz w:val="22"/>
          <w:szCs w:val="22"/>
        </w:rPr>
        <w:t>Concept</w:t>
      </w:r>
      <w:proofErr w:type="spellEnd"/>
      <w:r w:rsidRPr="00BA75E8">
        <w:rPr>
          <w:sz w:val="22"/>
          <w:szCs w:val="22"/>
        </w:rPr>
        <w:t xml:space="preserve">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035B29F1"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7E2F06">
        <w:rPr>
          <w:sz w:val="22"/>
          <w:szCs w:val="22"/>
        </w:rPr>
        <w:t xml:space="preserve">“Bernoulli/Ouvidor” ou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48AF2ECC"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lastRenderedPageBreak/>
        <w:t>AUTORIZAÇÕES</w:t>
      </w:r>
      <w:bookmarkEnd w:id="4"/>
      <w:bookmarkEnd w:id="5"/>
      <w:bookmarkEnd w:id="6"/>
      <w:bookmarkEnd w:id="7"/>
      <w:bookmarkEnd w:id="8"/>
      <w:bookmarkEnd w:id="9"/>
      <w:bookmarkEnd w:id="10"/>
      <w:bookmarkEnd w:id="11"/>
    </w:p>
    <w:p w14:paraId="1BA46538" w14:textId="77777777" w:rsidR="00670D22" w:rsidRPr="00BA75E8" w:rsidRDefault="00670D22" w:rsidP="00C97DEE">
      <w:pPr>
        <w:keepNext/>
        <w:keepLines/>
        <w:spacing w:line="312" w:lineRule="auto"/>
        <w:jc w:val="both"/>
        <w:rPr>
          <w:sz w:val="22"/>
          <w:szCs w:val="22"/>
        </w:rPr>
      </w:pPr>
    </w:p>
    <w:p w14:paraId="1BA46539" w14:textId="7BE72029" w:rsidR="00670D22" w:rsidRPr="00BA75E8"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w:t>
      </w:r>
      <w:r w:rsidR="007D2FB1">
        <w:rPr>
          <w:color w:val="000000"/>
          <w:sz w:val="22"/>
          <w:szCs w:val="22"/>
        </w:rPr>
        <w:t xml:space="preserve"> bem como</w:t>
      </w:r>
      <w:r w:rsidR="00AB373B" w:rsidRPr="00BA75E8">
        <w:rPr>
          <w:color w:val="000000"/>
          <w:sz w:val="22"/>
          <w:szCs w:val="22"/>
        </w:rPr>
        <w:t xml:space="preserve"> a</w:t>
      </w:r>
      <w:r w:rsidR="007D2FB1">
        <w:rPr>
          <w:color w:val="000000"/>
          <w:sz w:val="22"/>
          <w:szCs w:val="22"/>
        </w:rPr>
        <w:t xml:space="preserve"> outorga da</w:t>
      </w:r>
      <w:r w:rsidR="00AB373B" w:rsidRPr="00BA75E8">
        <w:rPr>
          <w:color w:val="000000"/>
          <w:sz w:val="22"/>
          <w:szCs w:val="22"/>
        </w:rPr>
        <w:t xml:space="preserve">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1D60D93D"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que deliberou ainda pela aprovação da Cessão Fiduciária de Recebíveis</w:t>
      </w:r>
      <w:r w:rsidR="003F51C3">
        <w:rPr>
          <w:color w:val="000000"/>
          <w:sz w:val="22"/>
          <w:szCs w:val="22"/>
        </w:rPr>
        <w:t xml:space="preserve"> [</w:t>
      </w:r>
      <w:r w:rsidR="003F51C3" w:rsidRPr="00752237">
        <w:rPr>
          <w:color w:val="000000"/>
          <w:sz w:val="22"/>
          <w:szCs w:val="22"/>
          <w:highlight w:val="yellow"/>
        </w:rPr>
        <w:t>Bernoulli / Ouvidor</w:t>
      </w:r>
      <w:r w:rsidR="003F51C3">
        <w:rPr>
          <w:color w:val="000000"/>
          <w:sz w:val="22"/>
          <w:szCs w:val="22"/>
        </w:rPr>
        <w:t>]</w:t>
      </w:r>
      <w:r w:rsidR="00D64470" w:rsidRPr="00BA75E8">
        <w:rPr>
          <w:color w:val="000000"/>
          <w:sz w:val="22"/>
          <w:szCs w:val="22"/>
        </w:rPr>
        <w:t xml:space="preserve">,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3C015065"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w:t>
      </w:r>
      <w:r w:rsidR="00D25F2C">
        <w:rPr>
          <w:sz w:val="22"/>
          <w:szCs w:val="22"/>
        </w:rPr>
        <w:t xml:space="preserve"> nas juntas comerciais competentes</w:t>
      </w:r>
      <w:r w:rsidRPr="00BA75E8">
        <w:rPr>
          <w:sz w:val="22"/>
          <w:szCs w:val="22"/>
        </w:rPr>
        <w:t>, 1 (uma) cópia (</w:t>
      </w:r>
      <w:proofErr w:type="spellStart"/>
      <w:r w:rsidRPr="00BA75E8">
        <w:rPr>
          <w:i/>
          <w:iCs/>
          <w:sz w:val="22"/>
          <w:szCs w:val="22"/>
        </w:rPr>
        <w:t>pdf</w:t>
      </w:r>
      <w:proofErr w:type="spellEnd"/>
      <w:r w:rsidRPr="00BA75E8">
        <w:rPr>
          <w:sz w:val="22"/>
          <w:szCs w:val="22"/>
        </w:rPr>
        <w:t>.) dos atos societários mencionados nos itens 1.3 a 1.5 acima.</w:t>
      </w:r>
      <w:r w:rsidR="003F51C3">
        <w:rPr>
          <w:sz w:val="22"/>
          <w:szCs w:val="22"/>
        </w:rPr>
        <w:t xml:space="preserve"> </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48D12E0F" w:rsidR="00670D22" w:rsidRPr="00BA75E8" w:rsidRDefault="00670D22" w:rsidP="00C97DEE">
      <w:pPr>
        <w:widowControl w:val="0"/>
        <w:shd w:val="clear" w:color="auto" w:fill="FFFFFF"/>
        <w:spacing w:line="312" w:lineRule="auto"/>
        <w:jc w:val="both"/>
        <w:rPr>
          <w:b/>
          <w:sz w:val="22"/>
          <w:szCs w:val="22"/>
        </w:rPr>
      </w:pPr>
      <w:bookmarkStart w:id="24" w:name="_DV_M31"/>
      <w:bookmarkEnd w:id="24"/>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lastRenderedPageBreak/>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6B6D2DFB" w14:textId="77777777" w:rsidR="003F51C3" w:rsidRPr="00BA75E8" w:rsidRDefault="003F51C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7A0904F0"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 xml:space="preserve">Em virtude da Fiança prestada pelos Fiadores em benefício </w:t>
      </w:r>
      <w:r w:rsidR="00DF6FA6">
        <w:rPr>
          <w:sz w:val="22"/>
          <w:szCs w:val="22"/>
        </w:rPr>
        <w:t>da Credora ou, após a quitação dos CRI (conforme termo abaixo definido), de qualquer outra pessoa que se tornar titular</w:t>
      </w:r>
      <w:r w:rsidR="003A0EFD" w:rsidRPr="00BA75E8">
        <w:rPr>
          <w:sz w:val="22"/>
          <w:szCs w:val="22"/>
        </w:rPr>
        <w:t xml:space="preserve"> de Notas Comerciais</w:t>
      </w:r>
      <w:r w:rsidR="00DF6FA6">
        <w:rPr>
          <w:sz w:val="22"/>
          <w:szCs w:val="22"/>
        </w:rPr>
        <w:t xml:space="preserve"> após a Credora</w:t>
      </w:r>
      <w:r w:rsidR="003A0EFD" w:rsidRPr="00BA75E8">
        <w:rPr>
          <w:sz w:val="22"/>
          <w:szCs w:val="22"/>
        </w:rPr>
        <w:t xml:space="preserve">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w:t>
      </w:r>
      <w:r w:rsidR="0018060D">
        <w:rPr>
          <w:sz w:val="22"/>
          <w:szCs w:val="22"/>
        </w:rPr>
        <w:t xml:space="preserve">, em versão </w:t>
      </w:r>
      <w:proofErr w:type="spellStart"/>
      <w:r w:rsidR="0018060D">
        <w:rPr>
          <w:sz w:val="22"/>
          <w:szCs w:val="22"/>
        </w:rPr>
        <w:t>pdf</w:t>
      </w:r>
      <w:proofErr w:type="spellEnd"/>
      <w:r w:rsidR="00A02627" w:rsidRPr="00BA75E8">
        <w:rPr>
          <w:sz w:val="22"/>
          <w:szCs w:val="22"/>
        </w:rPr>
        <w:t>,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70F676B"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007D2FB1">
        <w:rPr>
          <w:sz w:val="22"/>
          <w:szCs w:val="22"/>
          <w:lang w:bidi="th-TH"/>
        </w:rPr>
        <w:t xml:space="preserve"> </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6B8DA54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752237">
        <w:rPr>
          <w:rFonts w:ascii="Times New Roman" w:hAnsi="Times New Roman" w:cs="Times New Roman"/>
          <w:b w:val="0"/>
          <w:caps w:val="0"/>
          <w:color w:val="auto"/>
          <w:w w:val="0"/>
          <w:sz w:val="22"/>
          <w:szCs w:val="22"/>
        </w:rPr>
        <w:t>")</w:t>
      </w:r>
      <w:r w:rsidR="00816B86" w:rsidRPr="000720A1">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5CDFF846"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natureza imobiliária incorridos nos 24 (vinte e quatro) meses anteriores à data de encerramento da Oferta Restrita, diretamente atinentes à aquisição, construção e/ou reforma do Empreendimento Imobiliário</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w:t>
      </w:r>
      <w:proofErr w:type="spellStart"/>
      <w:r w:rsidR="00751027" w:rsidRPr="00BA75E8">
        <w:rPr>
          <w:rFonts w:ascii="Times New Roman" w:eastAsia="Arial Unicode MS" w:hAnsi="Times New Roman" w:cs="Times New Roman"/>
          <w:b w:val="0"/>
          <w:caps w:val="0"/>
          <w:color w:val="auto"/>
          <w:sz w:val="22"/>
          <w:szCs w:val="22"/>
          <w:lang w:bidi="th-TH"/>
        </w:rPr>
        <w:t>ii</w:t>
      </w:r>
      <w:proofErr w:type="spellEnd"/>
      <w:r w:rsidR="00751027" w:rsidRPr="00BA75E8">
        <w:rPr>
          <w:rFonts w:ascii="Times New Roman" w:eastAsia="Arial Unicode MS" w:hAnsi="Times New Roman" w:cs="Times New Roman"/>
          <w:b w:val="0"/>
          <w:caps w:val="0"/>
          <w:color w:val="auto"/>
          <w:sz w:val="22"/>
          <w:szCs w:val="22"/>
          <w:lang w:bidi="th-TH"/>
        </w:rPr>
        <w:t>)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5695471F"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02962BCC"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w:t>
      </w:r>
      <w:r w:rsidR="000413B8">
        <w:rPr>
          <w:rFonts w:ascii="Times New Roman" w:eastAsia="Arial Unicode MS" w:hAnsi="Times New Roman" w:cs="Times New Roman"/>
          <w:b w:val="0"/>
          <w:bCs w:val="0"/>
          <w:caps w:val="0"/>
          <w:color w:val="auto"/>
          <w:sz w:val="22"/>
          <w:szCs w:val="22"/>
          <w:lang w:bidi="th-TH"/>
        </w:rPr>
        <w:t>d</w:t>
      </w:r>
      <w:r w:rsidR="000413B8" w:rsidRPr="00BA75E8">
        <w:rPr>
          <w:rFonts w:ascii="Times New Roman" w:eastAsia="Arial Unicode MS" w:hAnsi="Times New Roman" w:cs="Times New Roman"/>
          <w:b w:val="0"/>
          <w:bCs w:val="0"/>
          <w:caps w:val="0"/>
          <w:color w:val="auto"/>
          <w:sz w:val="22"/>
          <w:szCs w:val="22"/>
          <w:lang w:bidi="th-TH"/>
        </w:rPr>
        <w:t xml:space="preserve">ata </w:t>
      </w:r>
      <w:r w:rsidRPr="00BA75E8">
        <w:rPr>
          <w:rFonts w:ascii="Times New Roman" w:eastAsia="Arial Unicode MS" w:hAnsi="Times New Roman" w:cs="Times New Roman"/>
          <w:b w:val="0"/>
          <w:bCs w:val="0"/>
          <w:caps w:val="0"/>
          <w:color w:val="auto"/>
          <w:sz w:val="22"/>
          <w:szCs w:val="22"/>
          <w:lang w:bidi="th-TH"/>
        </w:rPr>
        <w:t xml:space="preserve">de </w:t>
      </w:r>
      <w:r w:rsidR="000413B8">
        <w:rPr>
          <w:rFonts w:ascii="Times New Roman" w:eastAsia="Arial Unicode MS" w:hAnsi="Times New Roman" w:cs="Times New Roman"/>
          <w:b w:val="0"/>
          <w:bCs w:val="0"/>
          <w:caps w:val="0"/>
          <w:color w:val="auto"/>
          <w:sz w:val="22"/>
          <w:szCs w:val="22"/>
          <w:lang w:bidi="th-TH"/>
        </w:rPr>
        <w:t>v</w:t>
      </w:r>
      <w:r w:rsidR="000413B8" w:rsidRPr="00BA75E8">
        <w:rPr>
          <w:rFonts w:ascii="Times New Roman" w:eastAsia="Arial Unicode MS" w:hAnsi="Times New Roman" w:cs="Times New Roman"/>
          <w:b w:val="0"/>
          <w:bCs w:val="0"/>
          <w:caps w:val="0"/>
          <w:color w:val="auto"/>
          <w:sz w:val="22"/>
          <w:szCs w:val="22"/>
          <w:lang w:bidi="th-TH"/>
        </w:rPr>
        <w:t xml:space="preserve">encimento </w:t>
      </w:r>
      <w:r w:rsidRPr="00BA75E8">
        <w:rPr>
          <w:rFonts w:ascii="Times New Roman" w:eastAsia="Arial Unicode MS" w:hAnsi="Times New Roman" w:cs="Times New Roman"/>
          <w:b w:val="0"/>
          <w:bCs w:val="0"/>
          <w:caps w:val="0"/>
          <w:color w:val="auto"/>
          <w:sz w:val="22"/>
          <w:szCs w:val="22"/>
          <w:lang w:bidi="th-TH"/>
        </w:rPr>
        <w:t xml:space="preserve">dos CRI .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xml:space="preserve">)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 xml:space="preserve">dos CRI (conforme abaixo definido) acerca da destinação de recursos </w:t>
      </w:r>
      <w:r w:rsidRPr="00BA75E8">
        <w:rPr>
          <w:rFonts w:ascii="Times New Roman" w:eastAsia="Arial Unicode MS" w:hAnsi="Times New Roman" w:cs="Times New Roman"/>
          <w:b w:val="0"/>
          <w:bCs w:val="0"/>
          <w:caps w:val="0"/>
          <w:color w:val="auto"/>
          <w:sz w:val="22"/>
          <w:szCs w:val="22"/>
          <w:lang w:bidi="th-TH"/>
        </w:rPr>
        <w:lastRenderedPageBreak/>
        <w:t>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w:t>
      </w:r>
      <w:proofErr w:type="spellStart"/>
      <w:r w:rsidRPr="00BA75E8">
        <w:rPr>
          <w:rFonts w:ascii="Times New Roman" w:eastAsia="Arial Unicode MS" w:hAnsi="Times New Roman" w:cs="Times New Roman"/>
          <w:b w:val="0"/>
          <w:bCs w:val="0"/>
          <w:caps w:val="0"/>
          <w:color w:val="auto"/>
          <w:sz w:val="22"/>
          <w:szCs w:val="22"/>
          <w:lang w:bidi="th-TH"/>
        </w:rPr>
        <w:t>ii</w:t>
      </w:r>
      <w:proofErr w:type="spellEnd"/>
      <w:r w:rsidRPr="00BA75E8">
        <w:rPr>
          <w:rFonts w:ascii="Times New Roman" w:eastAsia="Arial Unicode MS" w:hAnsi="Times New Roman" w:cs="Times New Roman"/>
          <w:b w:val="0"/>
          <w:bCs w:val="0"/>
          <w:caps w:val="0"/>
          <w:color w:val="auto"/>
          <w:sz w:val="22"/>
          <w:szCs w:val="22"/>
          <w:lang w:bidi="th-TH"/>
        </w:rPr>
        <w:t>)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xml:space="preserve">”). Adicionalmente, sempre que razoavelmente solicitado por escrito por qualquer autoridade, pela CVM, Receita Federal do Brasil ou de qualquer outro órgão regulador decorrente de solicitação ao Agente Fiduciário dos CRI (conforme abaixo </w:t>
      </w:r>
      <w:r w:rsidRPr="00BA75E8">
        <w:rPr>
          <w:rFonts w:ascii="Times New Roman" w:eastAsia="Arial Unicode MS" w:hAnsi="Times New Roman" w:cs="Times New Roman"/>
          <w:b w:val="0"/>
          <w:bCs w:val="0"/>
          <w:caps w:val="0"/>
          <w:color w:val="auto"/>
          <w:sz w:val="22"/>
          <w:szCs w:val="22"/>
          <w:lang w:bidi="th-TH"/>
        </w:rPr>
        <w:lastRenderedPageBreak/>
        <w:t>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4F9875F8"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781A1EBE" w14:textId="29E944ED"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w:t>
      </w:r>
      <w:r w:rsidRPr="00BA75E8">
        <w:rPr>
          <w:rFonts w:ascii="Times New Roman" w:hAnsi="Times New Roman" w:cs="Times New Roman"/>
          <w:b w:val="0"/>
          <w:bCs w:val="0"/>
          <w:caps w:val="0"/>
          <w:sz w:val="22"/>
          <w:szCs w:val="22"/>
        </w:rPr>
        <w:lastRenderedPageBreak/>
        <w:t xml:space="preserve">comprovadamente, incorrer em decorrência da utilização dos recursos oriundos das Notas Comerciais de forma diversa da estabelecida nesta cláusula. </w:t>
      </w:r>
    </w:p>
    <w:p w14:paraId="04893A43" w14:textId="77777777" w:rsidR="00B04A8B" w:rsidRDefault="00B04A8B" w:rsidP="00752237">
      <w:pPr>
        <w:pStyle w:val="PargrafodaLista"/>
        <w:rPr>
          <w:sz w:val="22"/>
          <w:szCs w:val="22"/>
        </w:rPr>
      </w:pPr>
    </w:p>
    <w:p w14:paraId="75060F63" w14:textId="2876B97D" w:rsidR="00B04A8B" w:rsidRDefault="00B04A8B"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O pagamento da indenização a que se refere a Cláusula acima será realizado pela Emissora no prazo de até 5 (cinco) Dias Úteis contados da data de recebimento de comunicação escrita enviada pela </w:t>
      </w:r>
      <w:r w:rsidR="005A7FD4">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neste sentido.</w:t>
      </w:r>
      <w:r w:rsidR="005A7FD4">
        <w:rPr>
          <w:rFonts w:ascii="Times New Roman" w:hAnsi="Times New Roman" w:cs="Times New Roman"/>
          <w:b w:val="0"/>
          <w:bCs w:val="0"/>
          <w:caps w:val="0"/>
          <w:sz w:val="22"/>
          <w:szCs w:val="22"/>
        </w:rPr>
        <w:t xml:space="preserve"> </w:t>
      </w:r>
    </w:p>
    <w:p w14:paraId="27AAC155" w14:textId="77777777" w:rsidR="00B04A8B" w:rsidRDefault="00B04A8B" w:rsidP="00752237">
      <w:pPr>
        <w:pStyle w:val="PargrafodaLista"/>
        <w:rPr>
          <w:sz w:val="22"/>
          <w:szCs w:val="22"/>
        </w:rPr>
      </w:pP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561AECFA"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 xml:space="preserve">imobiliários representados pelas CCI </w:t>
      </w:r>
      <w:r w:rsidR="00104E48">
        <w:rPr>
          <w:rFonts w:ascii="Times New Roman" w:eastAsia="Arial Unicode MS" w:hAnsi="Times New Roman" w:cs="Times New Roman"/>
          <w:b w:val="0"/>
          <w:bCs w:val="0"/>
          <w:caps w:val="0"/>
          <w:color w:val="auto"/>
          <w:sz w:val="22"/>
          <w:szCs w:val="22"/>
          <w:lang w:bidi="th-TH"/>
        </w:rPr>
        <w:t xml:space="preserve">a </w:t>
      </w:r>
      <w:r w:rsidRPr="00BA75E8">
        <w:rPr>
          <w:rFonts w:ascii="Times New Roman" w:eastAsia="Arial Unicode MS" w:hAnsi="Times New Roman" w:cs="Times New Roman"/>
          <w:b w:val="0"/>
          <w:bCs w:val="0"/>
          <w:caps w:val="0"/>
          <w:color w:val="auto"/>
          <w:sz w:val="22"/>
          <w:szCs w:val="22"/>
          <w:lang w:bidi="th-TH"/>
        </w:rPr>
        <w:t xml:space="preserve">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Em razão da Securitização, a Emissora tem ciência e concorda que, instituído o regime fiduciário pela Securitizadora, todos e quaisquer recursos devidos à Securitizadora, em decorrência de sua titularidade 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66D414C3"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w:t>
      </w:r>
      <w:proofErr w:type="spellStart"/>
      <w:r w:rsidRPr="00BA75E8">
        <w:rPr>
          <w:rFonts w:ascii="Times New Roman" w:hAnsi="Times New Roman" w:cs="Times New Roman"/>
          <w:b w:val="0"/>
          <w:caps w:val="0"/>
          <w:color w:val="auto"/>
          <w:sz w:val="22"/>
          <w:szCs w:val="22"/>
          <w:lang w:bidi="th-TH"/>
        </w:rPr>
        <w:t>ii</w:t>
      </w:r>
      <w:proofErr w:type="spellEnd"/>
      <w:r w:rsidRPr="00BA75E8">
        <w:rPr>
          <w:rFonts w:ascii="Times New Roman" w:hAnsi="Times New Roman" w:cs="Times New Roman"/>
          <w:b w:val="0"/>
          <w:caps w:val="0"/>
          <w:color w:val="auto"/>
          <w:sz w:val="22"/>
          <w:szCs w:val="22"/>
          <w:lang w:bidi="th-TH"/>
        </w:rPr>
        <w:t xml:space="preserve">)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deverá ser exercido em consonância com a orientação dos titulares de CRI em sede de assembleia geral de titulares de CRI; e (</w:t>
      </w:r>
      <w:proofErr w:type="spellStart"/>
      <w:r w:rsidRPr="00BA75E8">
        <w:rPr>
          <w:rFonts w:ascii="Times New Roman" w:hAnsi="Times New Roman" w:cs="Times New Roman"/>
          <w:b w:val="0"/>
          <w:caps w:val="0"/>
          <w:color w:val="auto"/>
          <w:sz w:val="22"/>
          <w:szCs w:val="22"/>
          <w:lang w:bidi="th-TH"/>
        </w:rPr>
        <w:t>iii</w:t>
      </w:r>
      <w:proofErr w:type="spellEnd"/>
      <w:r w:rsidRPr="00BA75E8">
        <w:rPr>
          <w:rFonts w:ascii="Times New Roman" w:hAnsi="Times New Roman" w:cs="Times New Roman"/>
          <w:b w:val="0"/>
          <w:caps w:val="0"/>
          <w:color w:val="auto"/>
          <w:sz w:val="22"/>
          <w:szCs w:val="22"/>
          <w:lang w:bidi="th-TH"/>
        </w:rPr>
        <w:t xml:space="preserve">) </w:t>
      </w:r>
      <w:r w:rsidRPr="00BA75E8">
        <w:rPr>
          <w:rFonts w:ascii="Times New Roman" w:hAnsi="Times New Roman" w:cs="Times New Roman"/>
          <w:b w:val="0"/>
          <w:caps w:val="0"/>
          <w:color w:val="auto"/>
          <w:sz w:val="22"/>
          <w:szCs w:val="22"/>
          <w:lang w:bidi="th-TH"/>
        </w:rPr>
        <w:lastRenderedPageBreak/>
        <w:t xml:space="preserve">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7E2F06">
      <w:pPr>
        <w:pStyle w:val="PargrafodaLista"/>
        <w:keepNext/>
        <w:keepLines/>
        <w:numPr>
          <w:ilvl w:val="2"/>
          <w:numId w:val="69"/>
        </w:numPr>
        <w:shd w:val="clear" w:color="auto" w:fill="FFFFFF"/>
        <w:spacing w:line="312" w:lineRule="auto"/>
        <w:ind w:left="0" w:firstLine="0"/>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7E2F06">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5DA4E8B1" w:rsidR="00862EB3" w:rsidRPr="007E2F06"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(a) o Instrumento de Emissã</w:t>
      </w:r>
      <w:r w:rsidR="002F2128" w:rsidRPr="00104E48">
        <w:rPr>
          <w:sz w:val="22"/>
          <w:szCs w:val="22"/>
        </w:rPr>
        <w:t xml:space="preserve">o </w:t>
      </w:r>
      <w:r w:rsidR="00303099">
        <w:rPr>
          <w:sz w:val="22"/>
          <w:szCs w:val="22"/>
        </w:rPr>
        <w:t>e o “</w:t>
      </w:r>
      <w:r w:rsidR="00303099" w:rsidRPr="00BA75E8">
        <w:rPr>
          <w:rFonts w:eastAsia="MS Mincho"/>
          <w:i/>
          <w:sz w:val="22"/>
          <w:szCs w:val="22"/>
        </w:rPr>
        <w:t>Instrumento Particular de 1ª Emissão de Notas Comerciais Escriturais, em Série Única, para Colocação Privada da [</w:t>
      </w:r>
      <w:r w:rsidR="00303099" w:rsidRPr="00BA75E8">
        <w:rPr>
          <w:rFonts w:eastAsia="MS Mincho"/>
          <w:i/>
          <w:sz w:val="22"/>
          <w:szCs w:val="22"/>
          <w:highlight w:val="yellow"/>
        </w:rPr>
        <w:t>Bernoulli/ Ouvidor</w:t>
      </w:r>
      <w:r w:rsidR="00303099" w:rsidRPr="00BA75E8">
        <w:rPr>
          <w:rFonts w:eastAsia="MS Mincho"/>
          <w:i/>
          <w:sz w:val="22"/>
          <w:szCs w:val="22"/>
        </w:rPr>
        <w:t>] Energia Ltda.</w:t>
      </w:r>
      <w:r w:rsidR="00303099">
        <w:rPr>
          <w:rFonts w:eastAsia="MS Mincho"/>
          <w:i/>
          <w:sz w:val="22"/>
          <w:szCs w:val="22"/>
        </w:rPr>
        <w:t>”, quando em conjunto</w:t>
      </w:r>
      <w:r w:rsidR="00303099" w:rsidRPr="00A25390">
        <w:rPr>
          <w:rFonts w:eastAsia="MS Mincho"/>
          <w:iCs/>
          <w:sz w:val="22"/>
          <w:szCs w:val="22"/>
        </w:rPr>
        <w:t>, os “</w:t>
      </w:r>
      <w:r w:rsidR="00303099" w:rsidRPr="00934380">
        <w:rPr>
          <w:iCs/>
          <w:sz w:val="22"/>
          <w:szCs w:val="22"/>
          <w:u w:val="single"/>
        </w:rPr>
        <w:t>Instrumento</w:t>
      </w:r>
      <w:r w:rsidR="00303099">
        <w:rPr>
          <w:iCs/>
          <w:sz w:val="22"/>
          <w:szCs w:val="22"/>
          <w:u w:val="single"/>
        </w:rPr>
        <w:t>s</w:t>
      </w:r>
      <w:r w:rsidR="00303099" w:rsidRPr="00934380">
        <w:rPr>
          <w:iCs/>
          <w:sz w:val="22"/>
          <w:szCs w:val="22"/>
          <w:u w:val="single"/>
        </w:rPr>
        <w:t xml:space="preserve"> de Emissão</w:t>
      </w:r>
      <w:r w:rsidR="00303099" w:rsidRPr="00A25390">
        <w:rPr>
          <w:rFonts w:eastAsia="MS Mincho"/>
          <w:iCs/>
          <w:sz w:val="22"/>
          <w:szCs w:val="22"/>
        </w:rPr>
        <w:t>”</w:t>
      </w:r>
      <w:r w:rsidR="00303099" w:rsidRPr="00104E48">
        <w:rPr>
          <w:sz w:val="22"/>
          <w:szCs w:val="22"/>
        </w:rPr>
        <w:t xml:space="preserve"> </w:t>
      </w:r>
      <w:r w:rsidR="002F2128" w:rsidRPr="00104E48">
        <w:rPr>
          <w:sz w:val="22"/>
          <w:szCs w:val="22"/>
        </w:rPr>
        <w:t xml:space="preserve">(b) </w:t>
      </w:r>
      <w:r w:rsidR="002F2128" w:rsidRPr="00104E48">
        <w:rPr>
          <w:bCs/>
          <w:sz w:val="22"/>
          <w:szCs w:val="22"/>
        </w:rPr>
        <w:t>o</w:t>
      </w:r>
      <w:r w:rsidR="002F2128" w:rsidRPr="00104E48">
        <w:rPr>
          <w:sz w:val="22"/>
          <w:szCs w:val="22"/>
        </w:rPr>
        <w:t xml:space="preserve"> Contrato de Cessão Fiduciária de Recebíveis</w:t>
      </w:r>
      <w:r w:rsidR="00397A0C">
        <w:rPr>
          <w:sz w:val="22"/>
          <w:szCs w:val="22"/>
        </w:rPr>
        <w:t xml:space="preserve"> </w:t>
      </w:r>
      <w:r w:rsidR="00A60632">
        <w:rPr>
          <w:sz w:val="22"/>
          <w:szCs w:val="22"/>
        </w:rPr>
        <w:t>(conforme abaixo definido)</w:t>
      </w:r>
      <w:r w:rsidR="002F2128" w:rsidRPr="00BA75E8">
        <w:rPr>
          <w:sz w:val="22"/>
          <w:szCs w:val="22"/>
        </w:rPr>
        <w:t>; (c) o Contrato de Alienação Fiduciária de Quotas Bernoulli; (d) o Contrato de Alienação Fiduciária de Quotas Ouvidor; (e) o Termo de Securitização ; (f) “</w:t>
      </w:r>
      <w:r w:rsidR="002F2128" w:rsidRPr="00BA75E8">
        <w:rPr>
          <w:i/>
          <w:iCs/>
          <w:sz w:val="22"/>
          <w:szCs w:val="22"/>
        </w:rPr>
        <w:t xml:space="preserve">Contrato de Prestação de Serviço de Conta Vinculada </w:t>
      </w:r>
      <w:r w:rsidR="002F2128" w:rsidRPr="00BA75E8">
        <w:rPr>
          <w:i/>
          <w:iCs/>
          <w:sz w:val="22"/>
          <w:szCs w:val="22"/>
        </w:rPr>
        <w:lastRenderedPageBreak/>
        <w:t>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xml:space="preserve">, </w:t>
      </w:r>
      <w:r w:rsidR="006F4DB1">
        <w:rPr>
          <w:sz w:val="22"/>
          <w:szCs w:val="22"/>
        </w:rPr>
        <w:t xml:space="preserve">e (i) </w:t>
      </w:r>
      <w:r w:rsidR="006F4DB1" w:rsidRPr="00FB1C1A">
        <w:rPr>
          <w:sz w:val="22"/>
          <w:szCs w:val="22"/>
        </w:rPr>
        <w:t xml:space="preserve">Escritura de </w:t>
      </w:r>
      <w:r w:rsidR="006F4DB1">
        <w:rPr>
          <w:sz w:val="22"/>
          <w:szCs w:val="22"/>
        </w:rPr>
        <w:t xml:space="preserve">Emissão de CCI, </w:t>
      </w:r>
      <w:r w:rsidR="002F2128" w:rsidRPr="00BA75E8">
        <w:rPr>
          <w:sz w:val="22"/>
          <w:szCs w:val="22"/>
        </w:rPr>
        <w:t>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6E7FA8B7" w14:textId="77777777" w:rsidR="007E2F06" w:rsidRPr="007E2F06" w:rsidRDefault="007E2F06" w:rsidP="000720A1">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p>
    <w:p w14:paraId="45B93E22" w14:textId="2D8D2E34" w:rsidR="007E2F06" w:rsidRPr="00BA75E8" w:rsidRDefault="007E2F06"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Pr>
          <w:sz w:val="22"/>
          <w:szCs w:val="22"/>
        </w:rPr>
        <w:t>Para os fins dos Documentos da Operação, quando referidas em conjunto, a Bernoulli e a Ouvidor serão designadas simplesmente “Devedoras”.</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0D9E7725"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Em garantia do pagamento integral e tempestivo da totalidade das obrigações principais e acessórias, presentes e futuras, assumidas ou que venham a ser assumidas pela Emissora</w:t>
      </w:r>
      <w:r w:rsidR="00104E48" w:rsidRPr="008614F5">
        <w:rPr>
          <w:rFonts w:ascii="Times New Roman" w:hAnsi="Times New Roman" w:cs="Times New Roman"/>
          <w:b w:val="0"/>
          <w:bCs w:val="0"/>
        </w:rPr>
        <w:t xml:space="preserve"> </w:t>
      </w:r>
      <w:r w:rsidR="00970EAC" w:rsidRPr="00970EAC">
        <w:rPr>
          <w:rFonts w:ascii="Times New Roman" w:hAnsi="Times New Roman" w:cs="Times New Roman"/>
          <w:b w:val="0"/>
          <w:iCs/>
          <w:caps w:val="0"/>
          <w:sz w:val="22"/>
          <w:szCs w:val="22"/>
        </w:rPr>
        <w:t>em razão dos CRI e das Notas Comerciais</w:t>
      </w:r>
      <w:r w:rsidRPr="00BA75E8">
        <w:rPr>
          <w:rFonts w:ascii="Times New Roman" w:hAnsi="Times New Roman" w:cs="Times New Roman"/>
          <w:b w:val="0"/>
          <w:iCs/>
          <w:caps w:val="0"/>
          <w:sz w:val="22"/>
          <w:szCs w:val="22"/>
        </w:rPr>
        <w:t xml:space="preserve">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 xml:space="preserve">ao </w:t>
      </w:r>
      <w:bookmarkStart w:id="69" w:name="_Hlk105169148"/>
      <w:r w:rsidRPr="00BA75E8">
        <w:rPr>
          <w:rFonts w:ascii="Times New Roman" w:hAnsi="Times New Roman" w:cs="Times New Roman"/>
          <w:b w:val="0"/>
          <w:iCs/>
          <w:caps w:val="0"/>
          <w:sz w:val="22"/>
          <w:szCs w:val="22"/>
        </w:rPr>
        <w:t>Valor Nominal Unitário</w:t>
      </w:r>
      <w:r w:rsidR="00DF6FA6" w:rsidRPr="00DF6FA6">
        <w:rPr>
          <w:rFonts w:ascii="Times New Roman" w:hAnsi="Times New Roman" w:cs="Times New Roman"/>
          <w:b w:val="0"/>
          <w:iCs/>
          <w:caps w:val="0"/>
          <w:sz w:val="22"/>
          <w:szCs w:val="22"/>
        </w:rPr>
        <w:t xml:space="preserve"> </w:t>
      </w:r>
      <w:r w:rsidR="00A5689C">
        <w:rPr>
          <w:rFonts w:ascii="Times New Roman" w:hAnsi="Times New Roman" w:cs="Times New Roman"/>
          <w:b w:val="0"/>
          <w:iCs/>
          <w:caps w:val="0"/>
          <w:sz w:val="22"/>
          <w:szCs w:val="22"/>
        </w:rPr>
        <w:t xml:space="preserve">Atualizado </w:t>
      </w:r>
      <w:r w:rsidR="00DF6FA6">
        <w:rPr>
          <w:rFonts w:ascii="Times New Roman" w:hAnsi="Times New Roman" w:cs="Times New Roman"/>
          <w:b w:val="0"/>
          <w:iCs/>
          <w:caps w:val="0"/>
          <w:sz w:val="22"/>
          <w:szCs w:val="22"/>
        </w:rPr>
        <w:t>das Notas Comerciais</w:t>
      </w:r>
      <w:r w:rsidRPr="00BA75E8">
        <w:rPr>
          <w:rFonts w:ascii="Times New Roman" w:hAnsi="Times New Roman" w:cs="Times New Roman"/>
          <w:b w:val="0"/>
          <w:iCs/>
          <w:caps w:val="0"/>
          <w:sz w:val="22"/>
          <w:szCs w:val="22"/>
        </w:rPr>
        <w:t>, à Remuneração</w:t>
      </w:r>
      <w:r w:rsidR="00DF6FA6">
        <w:rPr>
          <w:rFonts w:ascii="Times New Roman" w:hAnsi="Times New Roman" w:cs="Times New Roman"/>
          <w:b w:val="0"/>
          <w:iCs/>
          <w:caps w:val="0"/>
          <w:sz w:val="22"/>
          <w:szCs w:val="22"/>
        </w:rPr>
        <w:t xml:space="preserve"> das Notas Comerciais</w:t>
      </w:r>
      <w:bookmarkEnd w:id="69"/>
      <w:r w:rsidRPr="00BA75E8">
        <w:rPr>
          <w:rFonts w:ascii="Times New Roman" w:hAnsi="Times New Roman" w:cs="Times New Roman"/>
          <w:b w:val="0"/>
          <w:iCs/>
          <w:caps w:val="0"/>
          <w:sz w:val="22"/>
          <w:szCs w:val="22"/>
        </w:rPr>
        <w:t xml:space="preserve">, </w:t>
      </w:r>
      <w:r w:rsidR="002B5F98">
        <w:rPr>
          <w:rFonts w:ascii="Times New Roman" w:hAnsi="Times New Roman" w:cs="Times New Roman"/>
          <w:b w:val="0"/>
          <w:iCs/>
          <w:caps w:val="0"/>
          <w:sz w:val="22"/>
          <w:szCs w:val="22"/>
        </w:rPr>
        <w:t xml:space="preserve">o saldo devedor dos CRI, </w:t>
      </w:r>
      <w:r w:rsidRPr="00BA75E8">
        <w:rPr>
          <w:rFonts w:ascii="Times New Roman" w:hAnsi="Times New Roman" w:cs="Times New Roman"/>
          <w:b w:val="0"/>
          <w:iCs/>
          <w:caps w:val="0"/>
          <w:sz w:val="22"/>
          <w:szCs w:val="22"/>
        </w:rPr>
        <w:t>bem como a todos e quaisquer valores devidos a qualquer título, e todos os custos e despesas para fins da cobrança dos créditos oriundos das Notas Comerciais,</w:t>
      </w:r>
      <w:bookmarkStart w:id="70" w:name="_Hlk104556007"/>
      <w:r w:rsidRPr="00BA75E8">
        <w:rPr>
          <w:rFonts w:ascii="Times New Roman" w:hAnsi="Times New Roman" w:cs="Times New Roman"/>
          <w:b w:val="0"/>
          <w:iCs/>
          <w:caps w:val="0"/>
          <w:sz w:val="22"/>
          <w:szCs w:val="22"/>
        </w:rPr>
        <w:t xml:space="preserve"> </w:t>
      </w:r>
      <w:bookmarkEnd w:id="70"/>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1" w:name="_Hlk104556060"/>
      <w:r w:rsidRPr="00BA75E8">
        <w:rPr>
          <w:rFonts w:ascii="Times New Roman" w:hAnsi="Times New Roman" w:cs="Times New Roman"/>
          <w:b w:val="0"/>
          <w:iCs/>
          <w:caps w:val="0"/>
          <w:sz w:val="22"/>
          <w:szCs w:val="22"/>
        </w:rPr>
        <w:t xml:space="preserve">Fiduciário e/ou </w:t>
      </w:r>
      <w:r w:rsidR="00DF6FA6">
        <w:rPr>
          <w:rFonts w:ascii="Times New Roman" w:hAnsi="Times New Roman" w:cs="Times New Roman"/>
          <w:b w:val="0"/>
          <w:iCs/>
          <w:caps w:val="0"/>
          <w:sz w:val="22"/>
          <w:szCs w:val="22"/>
        </w:rPr>
        <w:t xml:space="preserve">pela Credora e/ou </w:t>
      </w:r>
      <w:r w:rsidR="00970EAC">
        <w:rPr>
          <w:rFonts w:ascii="Times New Roman" w:hAnsi="Times New Roman" w:cs="Times New Roman"/>
          <w:b w:val="0"/>
          <w:iCs/>
          <w:caps w:val="0"/>
          <w:sz w:val="22"/>
          <w:szCs w:val="22"/>
        </w:rPr>
        <w:t xml:space="preserve">pelos titulares dos CRI </w:t>
      </w:r>
      <w:bookmarkEnd w:id="71"/>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w:t>
      </w:r>
      <w:r w:rsidRPr="00752237">
        <w:rPr>
          <w:rFonts w:ascii="Times New Roman" w:hAnsi="Times New Roman" w:cs="Times New Roman"/>
          <w:b w:val="0"/>
          <w:caps w:val="0"/>
          <w:sz w:val="22"/>
          <w:szCs w:val="22"/>
          <w:u w:val="single"/>
          <w:lang w:bidi="th-TH"/>
        </w:rPr>
        <w:t>Fiança</w:t>
      </w:r>
      <w:r w:rsidRPr="00BA75E8">
        <w:rPr>
          <w:rFonts w:ascii="Times New Roman" w:hAnsi="Times New Roman" w:cs="Times New Roman"/>
          <w:b w:val="0"/>
          <w:caps w:val="0"/>
          <w:sz w:val="22"/>
          <w:szCs w:val="22"/>
          <w:lang w:bidi="th-TH"/>
        </w:rPr>
        <w:t>”).</w:t>
      </w:r>
    </w:p>
    <w:p w14:paraId="078E4F81" w14:textId="77777777" w:rsidR="00B24ADE" w:rsidRPr="00BA75E8" w:rsidRDefault="00B24ADE" w:rsidP="006F235D">
      <w:pPr>
        <w:pStyle w:val="PargrafodaLista"/>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w:t>
      </w:r>
      <w:r w:rsidRPr="00752237">
        <w:rPr>
          <w:rFonts w:ascii="Times New Roman" w:hAnsi="Times New Roman" w:cs="Times New Roman"/>
          <w:b w:val="0"/>
          <w:caps w:val="0"/>
          <w:sz w:val="22"/>
          <w:szCs w:val="22"/>
          <w:u w:val="single"/>
          <w:lang w:bidi="th-TH"/>
        </w:rPr>
        <w:t>Código Civil</w:t>
      </w:r>
      <w:r w:rsidRPr="00BA75E8">
        <w:rPr>
          <w:rFonts w:ascii="Times New Roman" w:hAnsi="Times New Roman" w:cs="Times New Roman"/>
          <w:b w:val="0"/>
          <w:caps w:val="0"/>
          <w:sz w:val="22"/>
          <w:szCs w:val="22"/>
          <w:lang w:bidi="th-TH"/>
        </w:rPr>
        <w:t>”), e nos artigos 794 da Lei nº 13.105, de 16 de março de 2015, conforme alterada (“</w:t>
      </w:r>
      <w:r w:rsidRPr="00752237">
        <w:rPr>
          <w:rFonts w:ascii="Times New Roman" w:hAnsi="Times New Roman" w:cs="Times New Roman"/>
          <w:b w:val="0"/>
          <w:caps w:val="0"/>
          <w:sz w:val="22"/>
          <w:szCs w:val="22"/>
          <w:u w:val="single"/>
          <w:lang w:bidi="th-TH"/>
        </w:rPr>
        <w:t>Código de Processo Civil</w:t>
      </w:r>
      <w:r w:rsidRPr="00BA75E8">
        <w:rPr>
          <w:rFonts w:ascii="Times New Roman" w:hAnsi="Times New Roman" w:cs="Times New Roman"/>
          <w:b w:val="0"/>
          <w:caps w:val="0"/>
          <w:sz w:val="22"/>
          <w:szCs w:val="22"/>
          <w:lang w:bidi="th-TH"/>
        </w:rPr>
        <w:t xml:space="preserve">”). Todo e </w:t>
      </w:r>
      <w:r w:rsidRPr="00BA75E8">
        <w:rPr>
          <w:rFonts w:ascii="Times New Roman" w:hAnsi="Times New Roman" w:cs="Times New Roman"/>
          <w:b w:val="0"/>
          <w:caps w:val="0"/>
          <w:sz w:val="22"/>
          <w:szCs w:val="22"/>
          <w:lang w:bidi="th-TH"/>
        </w:rPr>
        <w:lastRenderedPageBreak/>
        <w:t>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244BD71F" w:rsidR="00AD64F0" w:rsidRPr="00752237"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E283927" w14:textId="77777777" w:rsidR="00B04A8B" w:rsidRDefault="00B04A8B" w:rsidP="00752237">
      <w:pPr>
        <w:pStyle w:val="PargrafodaLista"/>
        <w:rPr>
          <w:sz w:val="22"/>
          <w:szCs w:val="22"/>
          <w:lang w:bidi="th-TH"/>
        </w:rPr>
      </w:pPr>
    </w:p>
    <w:p w14:paraId="6AFDBD46" w14:textId="47B6EACF"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lastRenderedPageBreak/>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02F8225A" w:rsidR="00D03C6F" w:rsidRPr="00C23533"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C23533">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w:t>
      </w:r>
      <w:r w:rsidRPr="00752237">
        <w:rPr>
          <w:rFonts w:ascii="Times New Roman" w:hAnsi="Times New Roman" w:cs="Times New Roman"/>
          <w:b w:val="0"/>
          <w:bCs w:val="0"/>
          <w:caps w:val="0"/>
          <w:sz w:val="22"/>
          <w:szCs w:val="22"/>
          <w:u w:val="single"/>
        </w:rPr>
        <w:t>PPA</w:t>
      </w:r>
      <w:r w:rsidRPr="00C23533">
        <w:rPr>
          <w:rFonts w:ascii="Times New Roman" w:hAnsi="Times New Roman" w:cs="Times New Roman"/>
          <w:b w:val="0"/>
          <w:bCs w:val="0"/>
          <w:caps w:val="0"/>
          <w:sz w:val="22"/>
          <w:szCs w:val="22"/>
        </w:rPr>
        <w:t>”), presentes e futuros, celebrados ou que venham a ser celebrados</w:t>
      </w:r>
      <w:r w:rsidR="00A60632" w:rsidRPr="00C23533">
        <w:rPr>
          <w:rFonts w:ascii="Times New Roman" w:hAnsi="Times New Roman" w:cs="Times New Roman"/>
          <w:b w:val="0"/>
          <w:bCs w:val="0"/>
          <w:caps w:val="0"/>
          <w:sz w:val="22"/>
          <w:szCs w:val="22"/>
        </w:rPr>
        <w:t xml:space="preserve"> pela Emissora e [</w:t>
      </w:r>
      <w:r w:rsidR="00A60632" w:rsidRPr="00752237">
        <w:rPr>
          <w:rFonts w:ascii="Times New Roman" w:hAnsi="Times New Roman" w:cs="Times New Roman"/>
          <w:b w:val="0"/>
          <w:bCs w:val="0"/>
          <w:caps w:val="0"/>
          <w:sz w:val="22"/>
          <w:szCs w:val="22"/>
          <w:highlight w:val="yellow"/>
        </w:rPr>
        <w:t>por Bernoulli/Ouvidor</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relacionadas e a serem relacionados no Anexo I ao </w:t>
      </w:r>
      <w:r w:rsidR="00A60632" w:rsidRPr="00C23533">
        <w:rPr>
          <w:rFonts w:ascii="Times New Roman" w:hAnsi="Times New Roman" w:cs="Times New Roman"/>
          <w:b w:val="0"/>
          <w:bCs w:val="0"/>
          <w:caps w:val="0"/>
          <w:sz w:val="22"/>
          <w:szCs w:val="22"/>
        </w:rPr>
        <w:t xml:space="preserve">“Instrumento Particular de Cessão Fiduciária de </w:t>
      </w:r>
      <w:r w:rsidR="00971C12" w:rsidRPr="00C23533">
        <w:rPr>
          <w:rFonts w:ascii="Times New Roman" w:hAnsi="Times New Roman" w:cs="Times New Roman"/>
          <w:b w:val="0"/>
          <w:bCs w:val="0"/>
          <w:caps w:val="0"/>
          <w:sz w:val="22"/>
          <w:szCs w:val="22"/>
        </w:rPr>
        <w:t>Recebíveis</w:t>
      </w:r>
      <w:r w:rsidR="00A60632" w:rsidRPr="00C23533">
        <w:rPr>
          <w:rFonts w:ascii="Times New Roman" w:hAnsi="Times New Roman" w:cs="Times New Roman"/>
          <w:b w:val="0"/>
          <w:bCs w:val="0"/>
          <w:caps w:val="0"/>
          <w:sz w:val="22"/>
          <w:szCs w:val="22"/>
        </w:rPr>
        <w:t xml:space="preserve"> e de Contas Vinculadas” (“</w:t>
      </w:r>
      <w:r w:rsidRPr="00752237">
        <w:rPr>
          <w:rFonts w:ascii="Times New Roman" w:hAnsi="Times New Roman" w:cs="Times New Roman"/>
          <w:b w:val="0"/>
          <w:bCs w:val="0"/>
          <w:caps w:val="0"/>
          <w:sz w:val="22"/>
          <w:szCs w:val="22"/>
          <w:u w:val="single"/>
        </w:rPr>
        <w:t>Contrato de Cessão Fiduciária de Recebíveis</w:t>
      </w:r>
      <w:r w:rsidR="00A60632"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xml:space="preserve">, incluindo os eventuais e respectivos frutos, acessórios e rendimentos; e (b) da conta vinculada onde transitará exclusivamente os recursos pagos pelos </w:t>
      </w:r>
      <w:r w:rsidR="004C0260" w:rsidRPr="00C23533">
        <w:rPr>
          <w:rFonts w:ascii="Times New Roman" w:hAnsi="Times New Roman" w:cs="Times New Roman"/>
          <w:b w:val="0"/>
          <w:bCs w:val="0"/>
          <w:caps w:val="0"/>
          <w:sz w:val="22"/>
          <w:szCs w:val="22"/>
        </w:rPr>
        <w:t>clientes devedores dos direitos creditórios decorrentes dos contratos PPA (“</w:t>
      </w:r>
      <w:r w:rsidRPr="00752237">
        <w:rPr>
          <w:rFonts w:ascii="Times New Roman" w:hAnsi="Times New Roman" w:cs="Times New Roman"/>
          <w:b w:val="0"/>
          <w:bCs w:val="0"/>
          <w:caps w:val="0"/>
          <w:sz w:val="22"/>
          <w:szCs w:val="22"/>
          <w:u w:val="single"/>
        </w:rPr>
        <w:t>Clientes</w:t>
      </w:r>
      <w:r w:rsidR="004C0260" w:rsidRPr="00C23533">
        <w:rPr>
          <w:rFonts w:ascii="Times New Roman" w:hAnsi="Times New Roman" w:cs="Times New Roman"/>
          <w:b w:val="0"/>
          <w:bCs w:val="0"/>
          <w:caps w:val="0"/>
          <w:sz w:val="22"/>
          <w:szCs w:val="22"/>
        </w:rPr>
        <w:t>”) relacionados e a serem relacionados no Anexo I ao Contrato de Cessão Fiduciária de Recebíveis</w:t>
      </w:r>
      <w:r w:rsidRPr="00C23533">
        <w:rPr>
          <w:rFonts w:ascii="Times New Roman" w:hAnsi="Times New Roman" w:cs="Times New Roman"/>
          <w:b w:val="0"/>
          <w:bCs w:val="0"/>
          <w:caps w:val="0"/>
          <w:sz w:val="22"/>
          <w:szCs w:val="22"/>
        </w:rPr>
        <w:t>, de titularidade da Emissora</w:t>
      </w:r>
      <w:r w:rsidR="00803C70">
        <w:rPr>
          <w:rFonts w:ascii="Times New Roman" w:hAnsi="Times New Roman" w:cs="Times New Roman"/>
          <w:b w:val="0"/>
          <w:bCs w:val="0"/>
          <w:caps w:val="0"/>
          <w:sz w:val="22"/>
          <w:szCs w:val="22"/>
        </w:rPr>
        <w:t xml:space="preserve"> e da [</w:t>
      </w:r>
      <w:r w:rsidR="00803C70" w:rsidRPr="006C756C">
        <w:rPr>
          <w:rFonts w:ascii="Times New Roman" w:hAnsi="Times New Roman" w:cs="Times New Roman"/>
          <w:b w:val="0"/>
          <w:bCs w:val="0"/>
          <w:caps w:val="0"/>
          <w:sz w:val="22"/>
          <w:szCs w:val="22"/>
          <w:highlight w:val="yellow"/>
        </w:rPr>
        <w:t>Bernoulli/Ouvidor</w:t>
      </w:r>
      <w:r w:rsidR="00803C70"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e todos os recursos disponíveis e depositados na Conta nº [</w:t>
      </w:r>
      <w:r w:rsidR="00676C6F" w:rsidRPr="00752237">
        <w:rPr>
          <w:rFonts w:ascii="Times New Roman" w:hAnsi="Times New Roman" w:cs="Times New Roman"/>
          <w:b w:val="0"/>
          <w:bCs w:val="0"/>
          <w:caps w:val="0"/>
          <w:sz w:val="22"/>
          <w:szCs w:val="22"/>
          <w:highlight w:val="yellow"/>
        </w:rPr>
        <w:t>01327</w:t>
      </w:r>
      <w:r w:rsidR="006F1B61" w:rsidRPr="00752237">
        <w:rPr>
          <w:rFonts w:ascii="Times New Roman" w:hAnsi="Times New Roman" w:cs="Times New Roman"/>
          <w:b w:val="0"/>
          <w:bCs w:val="0"/>
          <w:caps w:val="0"/>
          <w:sz w:val="22"/>
          <w:szCs w:val="22"/>
          <w:highlight w:val="yellow"/>
        </w:rPr>
        <w:t>-5</w:t>
      </w:r>
      <w:r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Bernoulli</w:t>
      </w:r>
      <w:r w:rsidR="00C078B8" w:rsidRPr="00C23533">
        <w:rPr>
          <w:rFonts w:ascii="Times New Roman" w:hAnsi="Times New Roman" w:cs="Times New Roman"/>
          <w:b w:val="0"/>
          <w:bCs w:val="0"/>
          <w:caps w:val="0"/>
          <w:sz w:val="22"/>
          <w:szCs w:val="22"/>
        </w:rPr>
        <w:t xml:space="preserve"> </w:t>
      </w:r>
      <w:r w:rsidRPr="00C23533">
        <w:rPr>
          <w:rFonts w:ascii="Times New Roman" w:hAnsi="Times New Roman" w:cs="Times New Roman"/>
          <w:b w:val="0"/>
          <w:bCs w:val="0"/>
          <w:caps w:val="0"/>
          <w:sz w:val="22"/>
          <w:szCs w:val="22"/>
        </w:rPr>
        <w:t>(“</w:t>
      </w:r>
      <w:r w:rsidRPr="00752237">
        <w:rPr>
          <w:rFonts w:ascii="Times New Roman" w:hAnsi="Times New Roman" w:cs="Times New Roman"/>
          <w:b w:val="0"/>
          <w:bCs w:val="0"/>
          <w:caps w:val="0"/>
          <w:sz w:val="22"/>
          <w:szCs w:val="22"/>
          <w:u w:val="single"/>
        </w:rPr>
        <w:t>Conta Vinculada</w:t>
      </w:r>
      <w:r w:rsidR="00803C70">
        <w:rPr>
          <w:rFonts w:ascii="Times New Roman" w:hAnsi="Times New Roman" w:cs="Times New Roman"/>
          <w:b w:val="0"/>
          <w:bCs w:val="0"/>
          <w:caps w:val="0"/>
          <w:sz w:val="22"/>
          <w:szCs w:val="22"/>
          <w:u w:val="single"/>
        </w:rPr>
        <w:t xml:space="preserve"> Bernoulli</w:t>
      </w:r>
      <w:r w:rsidRPr="00C23533">
        <w:rPr>
          <w:rFonts w:ascii="Times New Roman" w:hAnsi="Times New Roman" w:cs="Times New Roman"/>
          <w:b w:val="0"/>
          <w:bCs w:val="0"/>
          <w:caps w:val="0"/>
          <w:sz w:val="22"/>
          <w:szCs w:val="22"/>
        </w:rPr>
        <w:t>”)</w:t>
      </w:r>
      <w:r w:rsidR="00C078B8">
        <w:rPr>
          <w:rFonts w:ascii="Times New Roman" w:hAnsi="Times New Roman" w:cs="Times New Roman"/>
          <w:b w:val="0"/>
          <w:bCs w:val="0"/>
          <w:caps w:val="0"/>
          <w:sz w:val="22"/>
          <w:szCs w:val="22"/>
        </w:rPr>
        <w:t xml:space="preserve"> e </w:t>
      </w:r>
      <w:r w:rsidR="00C078B8" w:rsidRPr="00C23533">
        <w:rPr>
          <w:rFonts w:ascii="Times New Roman" w:hAnsi="Times New Roman" w:cs="Times New Roman"/>
          <w:b w:val="0"/>
          <w:bCs w:val="0"/>
          <w:caps w:val="0"/>
          <w:sz w:val="22"/>
          <w:szCs w:val="22"/>
        </w:rPr>
        <w:t>todos os recursos disponíveis e depositados na Conta nº [</w:t>
      </w:r>
      <w:r w:rsidR="00C078B8" w:rsidRPr="006C756C">
        <w:rPr>
          <w:rFonts w:ascii="Times New Roman" w:hAnsi="Times New Roman" w:cs="Times New Roman"/>
          <w:b w:val="0"/>
          <w:bCs w:val="0"/>
          <w:caps w:val="0"/>
          <w:sz w:val="22"/>
          <w:szCs w:val="22"/>
          <w:highlight w:val="yellow"/>
        </w:rPr>
        <w:t>35713-6</w:t>
      </w:r>
      <w:r w:rsidR="00C078B8" w:rsidRPr="00C23533">
        <w:rPr>
          <w:rFonts w:ascii="Times New Roman" w:hAnsi="Times New Roman" w:cs="Times New Roman"/>
          <w:b w:val="0"/>
          <w:bCs w:val="0"/>
          <w:caps w:val="0"/>
          <w:sz w:val="22"/>
          <w:szCs w:val="22"/>
        </w:rPr>
        <w:t xml:space="preserve">], Agência 0001, QI SCD S.A. (329), de titularidade da </w:t>
      </w:r>
      <w:r w:rsidR="00C078B8">
        <w:rPr>
          <w:rFonts w:ascii="Times New Roman" w:hAnsi="Times New Roman" w:cs="Times New Roman"/>
          <w:b w:val="0"/>
          <w:bCs w:val="0"/>
          <w:caps w:val="0"/>
          <w:sz w:val="22"/>
          <w:szCs w:val="22"/>
        </w:rPr>
        <w:t>Ouvidor (“Conta Vinculada Ouvidor” e, quando em conjunto com a Conta Vinculada Bernoulli</w:t>
      </w:r>
      <w:r w:rsidR="003E66CD">
        <w:rPr>
          <w:rFonts w:ascii="Times New Roman" w:hAnsi="Times New Roman" w:cs="Times New Roman"/>
          <w:b w:val="0"/>
          <w:bCs w:val="0"/>
          <w:caps w:val="0"/>
          <w:sz w:val="22"/>
          <w:szCs w:val="22"/>
        </w:rPr>
        <w:t>, a(s) “</w:t>
      </w:r>
      <w:r w:rsidR="003E66CD" w:rsidRPr="00C2159B">
        <w:rPr>
          <w:rFonts w:ascii="Times New Roman" w:hAnsi="Times New Roman" w:cs="Times New Roman"/>
          <w:b w:val="0"/>
          <w:bCs w:val="0"/>
          <w:caps w:val="0"/>
          <w:sz w:val="22"/>
          <w:szCs w:val="22"/>
          <w:u w:val="single"/>
        </w:rPr>
        <w:t>Conta(s) Vinculada(s)</w:t>
      </w:r>
      <w:r w:rsidR="003E66CD">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rPr>
        <w:t>, sendo certo que os direitos creditórios vinculados ao presente instrumento deverão transitar exclusivamente na Conta Vinculada até o completo adimplemento das Obrigações Garantidas (“</w:t>
      </w:r>
      <w:r w:rsidRPr="00C23533">
        <w:rPr>
          <w:rFonts w:ascii="Times New Roman" w:hAnsi="Times New Roman" w:cs="Times New Roman"/>
          <w:b w:val="0"/>
          <w:bCs w:val="0"/>
          <w:caps w:val="0"/>
          <w:sz w:val="22"/>
          <w:szCs w:val="22"/>
          <w:u w:val="single"/>
        </w:rPr>
        <w:t>Recebíveis</w:t>
      </w:r>
      <w:r w:rsidRPr="00C23533">
        <w:rPr>
          <w:rFonts w:ascii="Times New Roman" w:hAnsi="Times New Roman" w:cs="Times New Roman"/>
          <w:b w:val="0"/>
          <w:bCs w:val="0"/>
          <w:caps w:val="0"/>
          <w:sz w:val="22"/>
          <w:szCs w:val="22"/>
        </w:rPr>
        <w:t xml:space="preserve">” e </w:t>
      </w:r>
      <w:r w:rsidR="00F551DD" w:rsidRPr="00C23533">
        <w:rPr>
          <w:rFonts w:ascii="Times New Roman" w:hAnsi="Times New Roman" w:cs="Times New Roman"/>
          <w:b w:val="0"/>
          <w:bCs w:val="0"/>
          <w:caps w:val="0"/>
          <w:sz w:val="22"/>
          <w:szCs w:val="22"/>
        </w:rPr>
        <w:t>“</w:t>
      </w:r>
      <w:r w:rsidRPr="00C23533">
        <w:rPr>
          <w:rFonts w:ascii="Times New Roman" w:hAnsi="Times New Roman" w:cs="Times New Roman"/>
          <w:b w:val="0"/>
          <w:bCs w:val="0"/>
          <w:caps w:val="0"/>
          <w:sz w:val="22"/>
          <w:szCs w:val="22"/>
          <w:u w:val="single"/>
        </w:rPr>
        <w:t>Cessão Fiduciária</w:t>
      </w:r>
      <w:r w:rsidRPr="00C23533">
        <w:rPr>
          <w:rFonts w:ascii="Times New Roman" w:hAnsi="Times New Roman" w:cs="Times New Roman"/>
          <w:b w:val="0"/>
          <w:bCs w:val="0"/>
          <w:caps w:val="0"/>
          <w:sz w:val="22"/>
          <w:szCs w:val="22"/>
        </w:rPr>
        <w:t xml:space="preserve">”). </w:t>
      </w:r>
      <w:r w:rsidR="00B04A8B" w:rsidRPr="00C23533">
        <w:rPr>
          <w:rFonts w:ascii="Times New Roman" w:hAnsi="Times New Roman" w:cs="Times New Roman"/>
          <w:b w:val="0"/>
          <w:bCs w:val="0"/>
          <w:caps w:val="0"/>
          <w:sz w:val="22"/>
          <w:szCs w:val="22"/>
        </w:rPr>
        <w:t xml:space="preserve"> </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7330912"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B63F9F">
        <w:rPr>
          <w:sz w:val="22"/>
          <w:szCs w:val="22"/>
        </w:rPr>
        <w:t>Bernoulli</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B63F9F">
        <w:rPr>
          <w:sz w:val="22"/>
          <w:szCs w:val="22"/>
          <w:u w:val="single"/>
        </w:rPr>
        <w:t xml:space="preserve"> Bernoulli</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C76DD">
        <w:rPr>
          <w:sz w:val="22"/>
          <w:szCs w:val="22"/>
        </w:rPr>
        <w:t xml:space="preserve">Bernoulli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8C270C">
        <w:rPr>
          <w:sz w:val="22"/>
          <w:szCs w:val="22"/>
        </w:rPr>
        <w:t>Bernoulli</w:t>
      </w:r>
      <w:r w:rsidR="008C270C"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C76DD">
        <w:rPr>
          <w:sz w:val="22"/>
          <w:szCs w:val="22"/>
          <w:u w:val="single"/>
        </w:rPr>
        <w:t xml:space="preserve"> Bernoulli</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C76DD">
        <w:rPr>
          <w:sz w:val="22"/>
          <w:szCs w:val="22"/>
          <w:u w:val="single"/>
        </w:rPr>
        <w:t>Bernoulli</w:t>
      </w:r>
      <w:r w:rsidR="00AC76DD" w:rsidRPr="00BA75E8">
        <w:rPr>
          <w:sz w:val="22"/>
          <w:szCs w:val="22"/>
        </w:rPr>
        <w:t xml:space="preserve"> </w:t>
      </w:r>
      <w:r w:rsidR="00A80D5D" w:rsidRPr="00BA75E8">
        <w:rPr>
          <w:sz w:val="22"/>
          <w:szCs w:val="22"/>
        </w:rPr>
        <w:t>e às Novas Quotas</w:t>
      </w:r>
      <w:r w:rsidR="009D670B" w:rsidRPr="00BA75E8">
        <w:rPr>
          <w:sz w:val="22"/>
          <w:szCs w:val="22"/>
        </w:rPr>
        <w:t xml:space="preserve"> Alienadas</w:t>
      </w:r>
      <w:r w:rsidR="00AC76DD" w:rsidRPr="00AC76DD">
        <w:rPr>
          <w:sz w:val="22"/>
          <w:szCs w:val="22"/>
          <w:u w:val="single"/>
        </w:rPr>
        <w:t xml:space="preserve"> </w:t>
      </w:r>
      <w:r w:rsidR="00AC76DD">
        <w:rPr>
          <w:sz w:val="22"/>
          <w:szCs w:val="22"/>
          <w:u w:val="single"/>
        </w:rPr>
        <w:t>Bernoulli</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0BEFC35F"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w:t>
      </w:r>
      <w:r w:rsidR="00AC76DD">
        <w:rPr>
          <w:sz w:val="22"/>
          <w:szCs w:val="22"/>
          <w:u w:val="single"/>
        </w:rPr>
        <w:t>Bernoulli</w:t>
      </w:r>
      <w:r w:rsidR="00AC76DD" w:rsidRPr="00BA75E8">
        <w:rPr>
          <w:sz w:val="22"/>
          <w:szCs w:val="22"/>
        </w:rPr>
        <w:t xml:space="preserve"> </w:t>
      </w:r>
      <w:r w:rsidR="00A80D5D" w:rsidRPr="00BA75E8">
        <w:rPr>
          <w:sz w:val="22"/>
          <w:szCs w:val="22"/>
        </w:rPr>
        <w:t>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 xml:space="preserve">a </w:t>
      </w:r>
      <w:r w:rsidR="00AC76DD">
        <w:rPr>
          <w:sz w:val="22"/>
          <w:szCs w:val="22"/>
          <w:u w:val="single"/>
        </w:rPr>
        <w:t>Bernoulli</w:t>
      </w:r>
      <w:r w:rsidR="005C61B7" w:rsidRPr="00BA75E8">
        <w:rPr>
          <w:sz w:val="22"/>
          <w:szCs w:val="22"/>
        </w:rPr>
        <w:t xml:space="preserve"> e a Credora</w:t>
      </w:r>
      <w:r w:rsidR="00A80D5D" w:rsidRPr="00BA75E8">
        <w:rPr>
          <w:sz w:val="22"/>
          <w:szCs w:val="22"/>
        </w:rPr>
        <w:t xml:space="preserve"> (“</w:t>
      </w:r>
      <w:r w:rsidR="00A80D5D" w:rsidRPr="00BA75E8">
        <w:rPr>
          <w:sz w:val="22"/>
          <w:szCs w:val="22"/>
          <w:u w:val="single"/>
        </w:rPr>
        <w:t>Contrato de Alienação Fiduciária de Quotas</w:t>
      </w:r>
      <w:r w:rsidR="00AC76DD" w:rsidRPr="00AC76DD">
        <w:rPr>
          <w:sz w:val="22"/>
          <w:szCs w:val="22"/>
          <w:u w:val="single"/>
        </w:rPr>
        <w:t xml:space="preserve"> </w:t>
      </w:r>
      <w:r w:rsidR="00AC76DD">
        <w:rPr>
          <w:sz w:val="22"/>
          <w:szCs w:val="22"/>
          <w:u w:val="single"/>
        </w:rPr>
        <w:t>Bernoulli</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AC76DD" w:rsidRPr="00AC76DD">
        <w:rPr>
          <w:sz w:val="22"/>
          <w:szCs w:val="22"/>
          <w:u w:val="single"/>
        </w:rPr>
        <w:t xml:space="preserve"> </w:t>
      </w:r>
      <w:r w:rsidR="00AC76DD">
        <w:rPr>
          <w:sz w:val="22"/>
          <w:szCs w:val="22"/>
          <w:u w:val="single"/>
        </w:rPr>
        <w:t>Bernoulli</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52813B8" w14:textId="205DF8BB" w:rsidR="00AC76DD" w:rsidRPr="006F235D" w:rsidRDefault="00F924A5"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4.6.4.3</w:t>
      </w:r>
      <w:r w:rsidR="003F5015" w:rsidRPr="00BA75E8">
        <w:rPr>
          <w:sz w:val="22"/>
          <w:szCs w:val="22"/>
        </w:rPr>
        <w:t>.</w:t>
      </w:r>
      <w:r w:rsidR="00AC76DD" w:rsidRPr="00AC76DD">
        <w:rPr>
          <w:sz w:val="22"/>
          <w:szCs w:val="22"/>
        </w:rPr>
        <w:t xml:space="preserve"> </w:t>
      </w:r>
      <w:r w:rsidR="00AC76DD" w:rsidRPr="00BA75E8">
        <w:rPr>
          <w:sz w:val="22"/>
          <w:szCs w:val="22"/>
        </w:rPr>
        <w:t>Será constituída alienação fiduciária da propriedade, do domínio resolúvel e da posse indireta das quotas de titularidade da Welt (“</w:t>
      </w:r>
      <w:r w:rsidR="00AC76DD" w:rsidRPr="00BA75E8">
        <w:rPr>
          <w:sz w:val="22"/>
          <w:szCs w:val="22"/>
          <w:u w:val="single"/>
        </w:rPr>
        <w:t>Fiduciante</w:t>
      </w:r>
      <w:r w:rsidR="00AC76DD" w:rsidRPr="00BA75E8">
        <w:rPr>
          <w:sz w:val="22"/>
          <w:szCs w:val="22"/>
        </w:rPr>
        <w:t xml:space="preserve">”) que correspondem a 100% (cem por cento) do capital social da </w:t>
      </w:r>
      <w:r w:rsidR="00AC76DD">
        <w:rPr>
          <w:sz w:val="22"/>
          <w:szCs w:val="22"/>
        </w:rPr>
        <w:t xml:space="preserve">Ouvidor </w:t>
      </w:r>
      <w:r w:rsidR="00AC76DD" w:rsidRPr="00BA75E8">
        <w:rPr>
          <w:sz w:val="22"/>
          <w:szCs w:val="22"/>
        </w:rPr>
        <w:t>(“</w:t>
      </w:r>
      <w:r w:rsidR="00AC76DD" w:rsidRPr="00BA75E8">
        <w:rPr>
          <w:sz w:val="22"/>
          <w:szCs w:val="22"/>
          <w:u w:val="single"/>
        </w:rPr>
        <w:t>Quotas Alienadas</w:t>
      </w:r>
      <w:r w:rsidR="00AC76DD">
        <w:rPr>
          <w:sz w:val="22"/>
          <w:szCs w:val="22"/>
          <w:u w:val="single"/>
        </w:rPr>
        <w:t xml:space="preserve"> </w:t>
      </w:r>
      <w:r w:rsidR="00AC76DD">
        <w:rPr>
          <w:sz w:val="22"/>
          <w:szCs w:val="22"/>
        </w:rPr>
        <w:t>Ouvidor</w:t>
      </w:r>
      <w:r w:rsidR="00AC76DD" w:rsidRPr="00BA75E8">
        <w:rPr>
          <w:sz w:val="22"/>
          <w:szCs w:val="22"/>
        </w:rPr>
        <w:t>”</w:t>
      </w:r>
      <w:r w:rsidR="008C270C">
        <w:rPr>
          <w:sz w:val="22"/>
          <w:szCs w:val="22"/>
        </w:rPr>
        <w:t>, e quando em conjunto com as Quotas Alienadas Bernoulli, simplesmente “</w:t>
      </w:r>
      <w:r w:rsidR="008C270C" w:rsidRPr="00752237">
        <w:rPr>
          <w:sz w:val="22"/>
          <w:szCs w:val="22"/>
          <w:u w:val="single"/>
        </w:rPr>
        <w:t>Quotas Alienadas</w:t>
      </w:r>
      <w:r w:rsidR="008C270C">
        <w:rPr>
          <w:sz w:val="22"/>
          <w:szCs w:val="22"/>
        </w:rPr>
        <w:t>”</w:t>
      </w:r>
      <w:r w:rsidR="00AC76DD" w:rsidRPr="00BA75E8">
        <w:rPr>
          <w:sz w:val="22"/>
          <w:szCs w:val="22"/>
        </w:rPr>
        <w:t xml:space="preserve">) e todos os frutos, rendimentos, vantagens, direitos de subscrição e quaisquer outros direitos decorrentes das Quotas Alienadas </w:t>
      </w:r>
      <w:r w:rsidR="008C270C">
        <w:rPr>
          <w:sz w:val="22"/>
          <w:szCs w:val="22"/>
        </w:rPr>
        <w:t>Ouvidor</w:t>
      </w:r>
      <w:r w:rsidR="00AC76DD">
        <w:rPr>
          <w:sz w:val="22"/>
          <w:szCs w:val="22"/>
        </w:rPr>
        <w:t xml:space="preserve"> </w:t>
      </w:r>
      <w:r w:rsidR="00AC76DD" w:rsidRPr="00BA75E8">
        <w:rPr>
          <w:sz w:val="22"/>
          <w:szCs w:val="22"/>
        </w:rPr>
        <w:t xml:space="preserve">e de todas e quaisquer outras quotas </w:t>
      </w:r>
      <w:r w:rsidR="00AC76DD" w:rsidRPr="00BA75E8">
        <w:rPr>
          <w:sz w:val="22"/>
          <w:szCs w:val="22"/>
        </w:rPr>
        <w:lastRenderedPageBreak/>
        <w:t xml:space="preserve">que porventura, a partir desta data, venham a ser emitidas pela </w:t>
      </w:r>
      <w:r w:rsidR="008C270C">
        <w:rPr>
          <w:sz w:val="22"/>
          <w:szCs w:val="22"/>
        </w:rPr>
        <w:t>Ouvidor</w:t>
      </w:r>
      <w:r w:rsidR="00AC76DD" w:rsidRPr="00BA75E8">
        <w:rPr>
          <w:sz w:val="22"/>
          <w:szCs w:val="22"/>
        </w:rPr>
        <w:t xml:space="preserve"> e subscritas pelo Fiduciante (“</w:t>
      </w:r>
      <w:r w:rsidR="00AC76DD" w:rsidRPr="00BA75E8">
        <w:rPr>
          <w:sz w:val="22"/>
          <w:szCs w:val="22"/>
          <w:u w:val="single"/>
        </w:rPr>
        <w:t>Novas Quotas Alienadas</w:t>
      </w:r>
      <w:r w:rsidR="00AC76DD">
        <w:rPr>
          <w:sz w:val="22"/>
          <w:szCs w:val="22"/>
          <w:u w:val="single"/>
        </w:rPr>
        <w:t xml:space="preserve"> </w:t>
      </w:r>
      <w:r w:rsidR="008C270C">
        <w:rPr>
          <w:sz w:val="22"/>
          <w:szCs w:val="22"/>
        </w:rPr>
        <w:t>Ouvidor</w:t>
      </w:r>
      <w:r w:rsidR="00AC76DD" w:rsidRPr="00BA75E8">
        <w:rPr>
          <w:sz w:val="22"/>
          <w:szCs w:val="22"/>
        </w:rPr>
        <w:t>”</w:t>
      </w:r>
      <w:r w:rsidR="008C270C">
        <w:rPr>
          <w:sz w:val="22"/>
          <w:szCs w:val="22"/>
        </w:rPr>
        <w:t xml:space="preserve">, e quando em conjunto com </w:t>
      </w:r>
      <w:r w:rsidR="001A7CBC">
        <w:rPr>
          <w:sz w:val="22"/>
          <w:szCs w:val="22"/>
        </w:rPr>
        <w:t>Novas Quotas Alienadas Bernoulli, simplesmente “</w:t>
      </w:r>
      <w:r w:rsidR="001A7CBC" w:rsidRPr="00752237">
        <w:rPr>
          <w:sz w:val="22"/>
          <w:szCs w:val="22"/>
          <w:u w:val="single"/>
        </w:rPr>
        <w:t xml:space="preserve">Novas Quotas </w:t>
      </w:r>
      <w:r w:rsidR="001A7CBC" w:rsidRPr="001A7CBC">
        <w:rPr>
          <w:sz w:val="22"/>
          <w:szCs w:val="22"/>
          <w:u w:val="single"/>
        </w:rPr>
        <w:t>Alienadas</w:t>
      </w:r>
      <w:r w:rsidR="001A7CBC">
        <w:rPr>
          <w:sz w:val="22"/>
          <w:szCs w:val="22"/>
        </w:rPr>
        <w:t>”</w:t>
      </w:r>
      <w:r w:rsidR="00AC76D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Alienadas </w:t>
      </w:r>
      <w:r w:rsidR="001A7CBC">
        <w:rPr>
          <w:sz w:val="22"/>
          <w:szCs w:val="22"/>
        </w:rPr>
        <w:t>Ouvidor</w:t>
      </w:r>
      <w:r w:rsidR="00AC76DD" w:rsidRPr="00BA75E8">
        <w:rPr>
          <w:sz w:val="22"/>
          <w:szCs w:val="22"/>
        </w:rPr>
        <w:t xml:space="preserve"> e às Novas Quotas Alienadas</w:t>
      </w:r>
      <w:r w:rsidR="00AC76DD" w:rsidRPr="00AC76DD">
        <w:rPr>
          <w:sz w:val="22"/>
          <w:szCs w:val="22"/>
          <w:u w:val="single"/>
        </w:rPr>
        <w:t xml:space="preserve"> </w:t>
      </w:r>
      <w:r w:rsidR="001A7CBC">
        <w:rPr>
          <w:sz w:val="22"/>
          <w:szCs w:val="22"/>
        </w:rPr>
        <w:t>Ouvidor</w:t>
      </w:r>
      <w:r w:rsidR="00AC76DD" w:rsidRPr="00BA75E8">
        <w:rPr>
          <w:sz w:val="22"/>
          <w:szCs w:val="22"/>
        </w:rPr>
        <w:t xml:space="preserve">. </w:t>
      </w:r>
    </w:p>
    <w:p w14:paraId="4D89697D" w14:textId="77777777"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2BA0AC9D" w14:textId="71B93981" w:rsidR="00AC76DD" w:rsidRPr="00BA75E8" w:rsidRDefault="00AC76DD" w:rsidP="00AC76D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w:t>
      </w:r>
      <w:r w:rsidR="00BF2011">
        <w:rPr>
          <w:b/>
          <w:bCs/>
          <w:sz w:val="22"/>
          <w:szCs w:val="22"/>
        </w:rPr>
        <w:t>4</w:t>
      </w:r>
      <w:r w:rsidRPr="00BA75E8">
        <w:rPr>
          <w:sz w:val="22"/>
          <w:szCs w:val="22"/>
        </w:rPr>
        <w:t xml:space="preserve">. A alienação fiduciária das Quotas Alienadas </w:t>
      </w:r>
      <w:r w:rsidR="001A7CBC">
        <w:rPr>
          <w:sz w:val="22"/>
          <w:szCs w:val="22"/>
        </w:rPr>
        <w:t>Ouvidor</w:t>
      </w:r>
      <w:r w:rsidRPr="00BA75E8">
        <w:rPr>
          <w:sz w:val="22"/>
          <w:szCs w:val="22"/>
        </w:rPr>
        <w:t xml:space="preserve"> será realizada por meio da celebração de “</w:t>
      </w:r>
      <w:r w:rsidRPr="00BA75E8">
        <w:rPr>
          <w:i/>
          <w:iCs/>
          <w:sz w:val="22"/>
          <w:szCs w:val="22"/>
        </w:rPr>
        <w:t>Instrumento Particular de Alienação Fiduciária de Quotas em Garantia</w:t>
      </w:r>
      <w:r w:rsidRPr="00BA75E8">
        <w:rPr>
          <w:sz w:val="22"/>
          <w:szCs w:val="22"/>
        </w:rPr>
        <w:t xml:space="preserve">” celebrado nesta data entre o Fiduciante, a </w:t>
      </w:r>
      <w:r w:rsidR="001A7CBC">
        <w:rPr>
          <w:sz w:val="22"/>
          <w:szCs w:val="22"/>
        </w:rPr>
        <w:t>Ouvidor</w:t>
      </w:r>
      <w:r w:rsidR="001A7CBC" w:rsidRPr="00BA75E8">
        <w:rPr>
          <w:sz w:val="22"/>
          <w:szCs w:val="22"/>
        </w:rPr>
        <w:t xml:space="preserve"> </w:t>
      </w:r>
      <w:r w:rsidRPr="00BA75E8">
        <w:rPr>
          <w:sz w:val="22"/>
          <w:szCs w:val="22"/>
        </w:rPr>
        <w:t>e a Credora (“</w:t>
      </w:r>
      <w:r w:rsidRPr="00BA75E8">
        <w:rPr>
          <w:sz w:val="22"/>
          <w:szCs w:val="22"/>
          <w:u w:val="single"/>
        </w:rPr>
        <w:t>Contrato de Alienação Fiduciária de Quotas</w:t>
      </w:r>
      <w:r w:rsidRPr="00AC76DD">
        <w:rPr>
          <w:sz w:val="22"/>
          <w:szCs w:val="22"/>
          <w:u w:val="single"/>
        </w:rPr>
        <w:t xml:space="preserve"> </w:t>
      </w:r>
      <w:r w:rsidR="001A7CBC">
        <w:rPr>
          <w:sz w:val="22"/>
          <w:szCs w:val="22"/>
        </w:rPr>
        <w:t>Ouvidor</w:t>
      </w:r>
      <w:r w:rsidRPr="00BA75E8">
        <w:rPr>
          <w:sz w:val="22"/>
          <w:szCs w:val="22"/>
        </w:rPr>
        <w:t>”</w:t>
      </w:r>
      <w:r w:rsidR="001A7CBC">
        <w:rPr>
          <w:sz w:val="22"/>
          <w:szCs w:val="22"/>
        </w:rPr>
        <w:t>, e quando em conjunto com Contrato de Alienação Fiduciária de Quotas Bernoulli, simplesmente “Contratos de Alienação Fiduciária de Quotas”</w:t>
      </w:r>
      <w:r w:rsidRPr="00BA75E8">
        <w:rPr>
          <w:sz w:val="22"/>
          <w:szCs w:val="22"/>
        </w:rPr>
        <w:t xml:space="preserve"> e “</w:t>
      </w:r>
      <w:r w:rsidRPr="00BA75E8">
        <w:rPr>
          <w:sz w:val="22"/>
          <w:szCs w:val="22"/>
          <w:u w:val="single"/>
        </w:rPr>
        <w:t>Alienação Fiduciária de Quotas</w:t>
      </w:r>
      <w:r w:rsidRPr="00AC76DD">
        <w:rPr>
          <w:sz w:val="22"/>
          <w:szCs w:val="22"/>
          <w:u w:val="single"/>
        </w:rPr>
        <w:t xml:space="preserve"> </w:t>
      </w:r>
      <w:r w:rsidR="001A7CBC">
        <w:rPr>
          <w:sz w:val="22"/>
          <w:szCs w:val="22"/>
        </w:rPr>
        <w:t>Ouvidor</w:t>
      </w:r>
      <w:r w:rsidRPr="00BA75E8">
        <w:rPr>
          <w:sz w:val="22"/>
          <w:szCs w:val="22"/>
        </w:rPr>
        <w:t>”,</w:t>
      </w:r>
      <w:r w:rsidR="00DF4D45">
        <w:rPr>
          <w:sz w:val="22"/>
          <w:szCs w:val="22"/>
        </w:rPr>
        <w:t xml:space="preserve"> quando em conjunto com Alienação Fiduciária de Quotas Bernoulli, simplesmente “</w:t>
      </w:r>
      <w:r w:rsidR="00DF4D45" w:rsidRPr="00752237">
        <w:rPr>
          <w:sz w:val="22"/>
          <w:szCs w:val="22"/>
          <w:u w:val="single"/>
        </w:rPr>
        <w:t>Alienação Fiduciária de Quotas</w:t>
      </w:r>
      <w:r w:rsidR="00DF4D45">
        <w:rPr>
          <w:sz w:val="22"/>
          <w:szCs w:val="22"/>
        </w:rPr>
        <w:t>”</w:t>
      </w:r>
      <w:r w:rsidRPr="00BA75E8">
        <w:rPr>
          <w:sz w:val="22"/>
          <w:szCs w:val="22"/>
        </w:rPr>
        <w:t xml:space="preserve"> respectivamente).</w:t>
      </w:r>
    </w:p>
    <w:p w14:paraId="6B7DE29F" w14:textId="4E0AD275" w:rsidR="00AC76DD" w:rsidRDefault="00BF69F9" w:rsidP="0015636E">
      <w:pPr>
        <w:pStyle w:val="Recuodecorpodetexto"/>
        <w:widowControl w:val="0"/>
        <w:tabs>
          <w:tab w:val="clear" w:pos="900"/>
        </w:tabs>
        <w:spacing w:after="0" w:line="312" w:lineRule="auto"/>
        <w:ind w:left="0" w:firstLine="0"/>
        <w:rPr>
          <w:sz w:val="22"/>
          <w:szCs w:val="22"/>
        </w:rPr>
      </w:pPr>
      <w:r w:rsidRPr="00BA75E8">
        <w:rPr>
          <w:sz w:val="22"/>
          <w:szCs w:val="22"/>
        </w:rPr>
        <w:t xml:space="preserve"> </w:t>
      </w:r>
    </w:p>
    <w:p w14:paraId="6E5F5431" w14:textId="760F908D" w:rsidR="003F5015" w:rsidRPr="00BA75E8" w:rsidRDefault="00BF2011" w:rsidP="0015636E">
      <w:pPr>
        <w:pStyle w:val="Recuodecorpodetexto"/>
        <w:widowControl w:val="0"/>
        <w:tabs>
          <w:tab w:val="clear" w:pos="900"/>
        </w:tabs>
        <w:spacing w:after="0" w:line="312" w:lineRule="auto"/>
        <w:ind w:left="0" w:firstLine="0"/>
        <w:rPr>
          <w:sz w:val="22"/>
          <w:szCs w:val="22"/>
        </w:rPr>
      </w:pPr>
      <w:r w:rsidRPr="00752237">
        <w:rPr>
          <w:b/>
          <w:bCs/>
          <w:sz w:val="22"/>
          <w:szCs w:val="22"/>
        </w:rPr>
        <w:t xml:space="preserve">4.6.4.5. </w:t>
      </w:r>
      <w:r w:rsidR="00BF69F9" w:rsidRPr="00BA75E8">
        <w:rPr>
          <w:sz w:val="22"/>
          <w:szCs w:val="22"/>
        </w:rPr>
        <w:t>Em caso de não pagamento das Obrigações Garantidas na Data de Vencimento, ou em caso de vencimento antecipado das Notas Comerciais</w:t>
      </w:r>
      <w:r w:rsidR="004C0260">
        <w:rPr>
          <w:sz w:val="22"/>
          <w:szCs w:val="22"/>
        </w:rPr>
        <w:t xml:space="preserve"> e, por conseguinte, dos CRI</w:t>
      </w:r>
      <w:r w:rsidR="00BF69F9" w:rsidRPr="00BA75E8">
        <w:rPr>
          <w:sz w:val="22"/>
          <w:szCs w:val="22"/>
        </w:rPr>
        <w:t xml:space="preserve">,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w:t>
      </w:r>
      <w:r w:rsidR="00EB0495">
        <w:rPr>
          <w:sz w:val="22"/>
          <w:szCs w:val="22"/>
        </w:rPr>
        <w:t>s</w:t>
      </w:r>
      <w:r w:rsidR="00BF69F9" w:rsidRPr="00BA75E8">
        <w:rPr>
          <w:sz w:val="22"/>
          <w:szCs w:val="22"/>
        </w:rPr>
        <w:t xml:space="preserve"> Contrato</w:t>
      </w:r>
      <w:r w:rsidR="00EB0495">
        <w:rPr>
          <w:sz w:val="22"/>
          <w:szCs w:val="22"/>
        </w:rPr>
        <w:t>s</w:t>
      </w:r>
      <w:r w:rsidR="00BF69F9" w:rsidRPr="00BA75E8">
        <w:rPr>
          <w:sz w:val="22"/>
          <w:szCs w:val="22"/>
        </w:rPr>
        <w:t xml:space="preserve">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025074D8"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927236">
        <w:rPr>
          <w:rFonts w:ascii="Times New Roman" w:hAnsi="Times New Roman" w:cs="Times New Roman"/>
          <w:b w:val="0"/>
          <w:caps w:val="0"/>
          <w:sz w:val="22"/>
          <w:szCs w:val="22"/>
        </w:rPr>
        <w:t xml:space="preserve">primeira </w:t>
      </w:r>
      <w:r w:rsidR="003E32D9">
        <w:rPr>
          <w:rFonts w:ascii="Times New Roman" w:hAnsi="Times New Roman" w:cs="Times New Roman"/>
          <w:b w:val="0"/>
          <w:caps w:val="0"/>
          <w:sz w:val="22"/>
          <w:szCs w:val="22"/>
        </w:rPr>
        <w:t>Data de Integralização</w:t>
      </w:r>
      <w:r w:rsidR="00816B86" w:rsidRPr="00BA75E8">
        <w:rPr>
          <w:rFonts w:ascii="Times New Roman" w:hAnsi="Times New Roman" w:cs="Times New Roman"/>
          <w:b w:val="0"/>
          <w:caps w:val="0"/>
          <w:sz w:val="22"/>
          <w:szCs w:val="22"/>
        </w:rPr>
        <w:t xml:space="preserve"> </w:t>
      </w:r>
      <w:r w:rsidR="005A2938">
        <w:rPr>
          <w:rFonts w:ascii="Times New Roman" w:hAnsi="Times New Roman" w:cs="Times New Roman"/>
          <w:b w:val="0"/>
          <w:caps w:val="0"/>
          <w:sz w:val="22"/>
          <w:szCs w:val="22"/>
        </w:rPr>
        <w:t>dos CRI</w:t>
      </w:r>
      <w:r w:rsidR="00816B86" w:rsidRPr="00BA75E8">
        <w:rPr>
          <w:rFonts w:ascii="Times New Roman" w:hAnsi="Times New Roman" w:cs="Times New Roman"/>
          <w:b w:val="0"/>
          <w:caps w:val="0"/>
          <w:sz w:val="22"/>
          <w:szCs w:val="22"/>
        </w:rPr>
        <w:t>(inclusive)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B2AEF87"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w:t>
      </w:r>
      <w:r w:rsidR="00A60632">
        <w:rPr>
          <w:rFonts w:eastAsia="Arial Unicode MS"/>
          <w:sz w:val="22"/>
          <w:szCs w:val="22"/>
          <w:lang w:bidi="th-TH"/>
        </w:rPr>
        <w:t xml:space="preserve">, observados os descontos previstos no presente Instrumento de Emissão para fazer frente ao pagamento das Despesas (conforme termo abaixo definido), </w:t>
      </w:r>
      <w:r w:rsidR="009D72E3">
        <w:rPr>
          <w:rFonts w:eastAsia="Arial Unicode MS"/>
          <w:sz w:val="22"/>
          <w:szCs w:val="22"/>
          <w:lang w:bidi="th-TH"/>
        </w:rPr>
        <w:t xml:space="preserve">e </w:t>
      </w:r>
      <w:r w:rsidR="00A60632">
        <w:rPr>
          <w:rFonts w:eastAsia="Arial Unicode MS"/>
          <w:sz w:val="22"/>
          <w:szCs w:val="22"/>
          <w:lang w:bidi="th-TH"/>
        </w:rPr>
        <w:t>à constituição do Fundo de Despesas, do Fundo de Obras e do Fundo de Reserva,</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Banco </w:t>
      </w:r>
      <w:r w:rsidR="004C4EF0">
        <w:rPr>
          <w:sz w:val="22"/>
          <w:szCs w:val="22"/>
        </w:rPr>
        <w:t>XP [</w:t>
      </w:r>
      <w:r w:rsidR="004C4EF0" w:rsidRPr="00752237">
        <w:rPr>
          <w:sz w:val="22"/>
          <w:szCs w:val="22"/>
          <w:highlight w:val="yellow"/>
        </w:rPr>
        <w:t>qualificar</w:t>
      </w:r>
      <w:r w:rsidR="004C4EF0">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2" w:name="_Ref72412666"/>
      <w:r w:rsidRPr="00BA75E8">
        <w:rPr>
          <w:rFonts w:eastAsia="Arial Unicode MS"/>
          <w:sz w:val="22"/>
          <w:szCs w:val="22"/>
          <w:lang w:bidi="th-TH"/>
        </w:rPr>
        <w:t>.</w:t>
      </w:r>
      <w:bookmarkEnd w:id="72"/>
      <w:r w:rsidR="00C303BD" w:rsidRPr="00BA75E8">
        <w:rPr>
          <w:rFonts w:eastAsia="Arial Unicode MS"/>
          <w:sz w:val="22"/>
          <w:szCs w:val="22"/>
          <w:lang w:bidi="th-TH"/>
        </w:rPr>
        <w:t xml:space="preserve"> </w:t>
      </w:r>
      <w:r w:rsidR="004C0260">
        <w:rPr>
          <w:rFonts w:eastAsia="Arial Unicode MS"/>
          <w:sz w:val="22"/>
          <w:szCs w:val="22"/>
          <w:lang w:bidi="th-TH"/>
        </w:rPr>
        <w:t xml:space="preserve"> </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53A20318"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w:t>
      </w:r>
      <w:proofErr w:type="spellStart"/>
      <w:r w:rsidR="00816B86" w:rsidRPr="00BA75E8">
        <w:rPr>
          <w:rFonts w:eastAsia="Arial Unicode MS"/>
          <w:sz w:val="22"/>
          <w:szCs w:val="22"/>
          <w:lang w:bidi="th-TH"/>
        </w:rPr>
        <w:t>ii</w:t>
      </w:r>
      <w:proofErr w:type="spellEnd"/>
      <w:r w:rsidR="00816B86" w:rsidRPr="00BA75E8">
        <w:rPr>
          <w:rFonts w:eastAsia="Arial Unicode MS"/>
          <w:sz w:val="22"/>
          <w:szCs w:val="22"/>
          <w:lang w:bidi="th-TH"/>
        </w:rPr>
        <w:t xml:space="preserve">)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 xml:space="preserve">para distribuição no mercado primário, negociação no mercado </w:t>
      </w:r>
      <w:r w:rsidR="00816B86" w:rsidRPr="00BA75E8">
        <w:rPr>
          <w:rFonts w:eastAsia="Arial Unicode MS"/>
          <w:sz w:val="22"/>
          <w:szCs w:val="22"/>
          <w:lang w:bidi="th-TH"/>
        </w:rPr>
        <w:lastRenderedPageBreak/>
        <w:t>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na qualidade de escriturador (“</w:t>
      </w:r>
      <w:r w:rsidR="00274F40" w:rsidRPr="00BA75E8">
        <w:rPr>
          <w:rFonts w:eastAsia="Arial Unicode MS"/>
          <w:sz w:val="22"/>
          <w:szCs w:val="22"/>
          <w:u w:val="single"/>
        </w:rPr>
        <w:t>Escriturador</w:t>
      </w:r>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1BA465CF" w14:textId="0C5C1B3B" w:rsidR="00670D22" w:rsidRPr="00BA75E8"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ocorrerá </w:t>
      </w:r>
      <w:r w:rsidR="00487F40" w:rsidRPr="00BA75E8">
        <w:rPr>
          <w:rFonts w:eastAsia="Arial Unicode MS"/>
          <w:sz w:val="22"/>
          <w:szCs w:val="22"/>
          <w:lang w:bidi="th-TH"/>
        </w:rPr>
        <w:t xml:space="preserve">em até </w:t>
      </w:r>
      <w:r w:rsidR="004C0260">
        <w:rPr>
          <w:rFonts w:eastAsia="Arial Unicode MS"/>
          <w:sz w:val="22"/>
          <w:szCs w:val="22"/>
          <w:lang w:bidi="th-TH"/>
        </w:rPr>
        <w:t>2 (dois)</w:t>
      </w:r>
      <w:r w:rsidR="004C0260" w:rsidRPr="00BA75E8">
        <w:rPr>
          <w:rFonts w:eastAsia="Arial Unicode MS"/>
          <w:sz w:val="22"/>
          <w:szCs w:val="22"/>
          <w:lang w:bidi="th-TH"/>
        </w:rPr>
        <w:t xml:space="preserve"> </w:t>
      </w:r>
      <w:r w:rsidR="008619B0" w:rsidRPr="00BA75E8">
        <w:rPr>
          <w:rFonts w:eastAsia="Arial Unicode MS"/>
          <w:sz w:val="22"/>
          <w:szCs w:val="22"/>
          <w:lang w:bidi="th-TH"/>
        </w:rPr>
        <w:t xml:space="preserve">dias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r w:rsidR="0007682F">
        <w:rPr>
          <w:rFonts w:eastAsia="Arial Unicode MS"/>
          <w:sz w:val="22"/>
          <w:szCs w:val="22"/>
          <w:lang w:bidi="th-TH"/>
        </w:rPr>
        <w:t xml:space="preserve"> </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43831E6D"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752237">
        <w:rPr>
          <w:rFonts w:ascii="Times New Roman" w:hAnsi="Times New Roman"/>
          <w:sz w:val="22"/>
          <w:szCs w:val="22"/>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1833076E"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w:t>
      </w:r>
      <w:r w:rsidR="0007682F">
        <w:rPr>
          <w:rFonts w:ascii="Times New Roman" w:hAnsi="Times New Roman"/>
          <w:sz w:val="22"/>
          <w:szCs w:val="22"/>
        </w:rPr>
        <w:t>Integralização</w:t>
      </w:r>
      <w:r w:rsidRPr="00BA75E8">
        <w:rPr>
          <w:rFonts w:ascii="Times New Roman" w:hAnsi="Times New Roman"/>
          <w:sz w:val="22"/>
          <w:szCs w:val="22"/>
        </w:rPr>
        <w:t xml:space="preserve">,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3E0A34E5"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2633E819" w:rsidR="00A40662" w:rsidRPr="00BA75E8" w:rsidRDefault="00FF383A"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w:t>
      </w:r>
      <w:r w:rsidR="000C31E4" w:rsidRPr="00BA75E8">
        <w:rPr>
          <w:rFonts w:ascii="Times New Roman" w:hAnsi="Times New Roman"/>
          <w:sz w:val="22"/>
          <w:szCs w:val="22"/>
        </w:rPr>
        <w:t xml:space="preserve">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7E69541F" w14:textId="73D0CB97" w:rsidR="00C74A8B" w:rsidRPr="00BA75E8" w:rsidRDefault="007A7AAF" w:rsidP="000720A1">
      <w:pPr>
        <w:pStyle w:val="alpha4"/>
        <w:numPr>
          <w:ilvl w:val="0"/>
          <w:numId w:val="0"/>
        </w:numPr>
        <w:tabs>
          <w:tab w:val="left" w:pos="567"/>
        </w:tabs>
        <w:spacing w:after="0" w:line="312" w:lineRule="auto"/>
        <w:rPr>
          <w:rFonts w:ascii="Times New Roman" w:hAnsi="Times New Roman"/>
          <w:sz w:val="22"/>
          <w:szCs w:val="22"/>
        </w:rPr>
      </w:pPr>
      <w:r w:rsidRPr="007A7AAF">
        <w:rPr>
          <w:rFonts w:ascii="Times New Roman" w:hAnsi="Times New Roman"/>
          <w:b/>
          <w:bCs/>
          <w:sz w:val="22"/>
          <w:szCs w:val="22"/>
        </w:rPr>
        <w:t xml:space="preserve"> </w:t>
      </w:r>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3C3C3405" w:rsidR="00F57314"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980800">
        <w:rPr>
          <w:rFonts w:ascii="Times New Roman" w:hAnsi="Times New Roman"/>
          <w:sz w:val="22"/>
          <w:szCs w:val="22"/>
        </w:rPr>
        <w:t xml:space="preserve">, </w:t>
      </w:r>
      <w:r w:rsidR="00DB32DA">
        <w:rPr>
          <w:rFonts w:ascii="Times New Roman" w:hAnsi="Times New Roman"/>
          <w:sz w:val="22"/>
          <w:szCs w:val="22"/>
        </w:rPr>
        <w:t xml:space="preserve">devendo apresentar seu registro </w:t>
      </w:r>
      <w:r w:rsidR="00980800">
        <w:rPr>
          <w:rFonts w:ascii="Times New Roman" w:hAnsi="Times New Roman"/>
          <w:sz w:val="22"/>
          <w:szCs w:val="22"/>
        </w:rPr>
        <w:t>no prazo de até 30 (trinta) dias a contar da data de sua celebração</w:t>
      </w:r>
      <w:r w:rsidR="00DD7666" w:rsidRPr="00BA75E8">
        <w:rPr>
          <w:rFonts w:ascii="Times New Roman" w:hAnsi="Times New Roman"/>
          <w:sz w:val="22"/>
          <w:szCs w:val="22"/>
        </w:rPr>
        <w:t>;</w:t>
      </w:r>
      <w:r w:rsidR="007304B1">
        <w:rPr>
          <w:rFonts w:ascii="Times New Roman" w:hAnsi="Times New Roman"/>
          <w:sz w:val="22"/>
          <w:szCs w:val="22"/>
        </w:rPr>
        <w:t xml:space="preserve"> </w:t>
      </w:r>
    </w:p>
    <w:p w14:paraId="7864E4A9" w14:textId="77777777" w:rsidR="00206F51" w:rsidRDefault="00206F51" w:rsidP="00752237">
      <w:pPr>
        <w:pStyle w:val="PargrafodaLista"/>
        <w:rPr>
          <w:sz w:val="22"/>
          <w:szCs w:val="22"/>
        </w:rPr>
      </w:pPr>
    </w:p>
    <w:p w14:paraId="620F19FD" w14:textId="07B11BDC" w:rsidR="00206F51" w:rsidRPr="00BA75E8" w:rsidRDefault="00206F51" w:rsidP="0015636E">
      <w:pPr>
        <w:pStyle w:val="alpha4"/>
        <w:numPr>
          <w:ilvl w:val="0"/>
          <w:numId w:val="28"/>
        </w:numPr>
        <w:tabs>
          <w:tab w:val="left" w:pos="567"/>
        </w:tabs>
        <w:spacing w:after="0" w:line="312" w:lineRule="auto"/>
        <w:ind w:left="0" w:firstLine="0"/>
        <w:rPr>
          <w:rFonts w:ascii="Times New Roman" w:hAnsi="Times New Roman"/>
          <w:sz w:val="22"/>
          <w:szCs w:val="22"/>
        </w:rPr>
      </w:pPr>
      <w:r>
        <w:rPr>
          <w:rFonts w:ascii="Times New Roman" w:hAnsi="Times New Roman"/>
          <w:sz w:val="22"/>
          <w:szCs w:val="22"/>
        </w:rPr>
        <w:lastRenderedPageBreak/>
        <w:t>registro</w:t>
      </w:r>
      <w:r w:rsidR="0011302A">
        <w:rPr>
          <w:rFonts w:ascii="Times New Roman" w:hAnsi="Times New Roman"/>
          <w:sz w:val="22"/>
          <w:szCs w:val="22"/>
        </w:rPr>
        <w:t>s</w:t>
      </w:r>
      <w:r>
        <w:rPr>
          <w:rFonts w:ascii="Times New Roman" w:hAnsi="Times New Roman"/>
          <w:sz w:val="22"/>
          <w:szCs w:val="22"/>
        </w:rPr>
        <w:t xml:space="preserve"> dos Instrumentos de Emissão perante os </w:t>
      </w:r>
      <w:r w:rsidR="005E5A38" w:rsidRPr="00BA75E8">
        <w:rPr>
          <w:rFonts w:ascii="Times New Roman" w:hAnsi="Times New Roman"/>
          <w:sz w:val="22"/>
          <w:szCs w:val="22"/>
        </w:rPr>
        <w:t>Cartórios de RTD competentes</w:t>
      </w:r>
      <w:r w:rsidR="005E5A38">
        <w:rPr>
          <w:rFonts w:ascii="Times New Roman" w:hAnsi="Times New Roman"/>
          <w:sz w:val="22"/>
          <w:szCs w:val="22"/>
        </w:rPr>
        <w:t>;</w:t>
      </w:r>
    </w:p>
    <w:p w14:paraId="6BB181D0" w14:textId="6CA489DE" w:rsidR="00213DEC" w:rsidRPr="00BA75E8" w:rsidRDefault="00D85250" w:rsidP="000720A1">
      <w:pPr>
        <w:pStyle w:val="alpha4"/>
        <w:numPr>
          <w:ilvl w:val="0"/>
          <w:numId w:val="0"/>
        </w:numPr>
        <w:tabs>
          <w:tab w:val="left" w:pos="567"/>
        </w:tabs>
        <w:spacing w:after="0" w:line="312" w:lineRule="auto"/>
        <w:rPr>
          <w:rFonts w:ascii="Times New Roman" w:hAnsi="Times New Roman"/>
          <w:sz w:val="22"/>
          <w:szCs w:val="22"/>
        </w:rPr>
      </w:pPr>
      <w:r w:rsidRPr="00BA75E8">
        <w:rPr>
          <w:rFonts w:ascii="Times New Roman" w:hAnsi="Times New Roman"/>
          <w:sz w:val="22"/>
          <w:szCs w:val="22"/>
        </w:rPr>
        <w:t xml:space="preserve"> </w:t>
      </w:r>
    </w:p>
    <w:p w14:paraId="7CD3CE36" w14:textId="200FCB97"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570F6750"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r w:rsidR="007304B1">
        <w:rPr>
          <w:rFonts w:ascii="Times New Roman" w:hAnsi="Times New Roman"/>
          <w:sz w:val="22"/>
          <w:szCs w:val="22"/>
        </w:rPr>
        <w:t xml:space="preserve"> </w:t>
      </w:r>
    </w:p>
    <w:p w14:paraId="189562A0" w14:textId="697D13C7"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354A01" w:rsidRPr="00BA75E8">
        <w:rPr>
          <w:rFonts w:ascii="Times New Roman" w:hAnsi="Times New Roman"/>
          <w:sz w:val="22"/>
          <w:szCs w:val="22"/>
        </w:rPr>
        <w:t>[</w:t>
      </w:r>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Raulina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2308 perante o Cartório de Registro de Imóveis e seus anexos da Comarca de Cumari</w:t>
      </w:r>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w:t>
      </w:r>
      <w:proofErr w:type="spellStart"/>
      <w:r w:rsidR="001850E9" w:rsidRPr="00BA75E8">
        <w:rPr>
          <w:rFonts w:ascii="Times New Roman" w:hAnsi="Times New Roman"/>
          <w:sz w:val="22"/>
          <w:szCs w:val="22"/>
        </w:rPr>
        <w:t>PPAs</w:t>
      </w:r>
      <w:proofErr w:type="spellEnd"/>
      <w:r w:rsidR="001850E9" w:rsidRPr="00BA75E8">
        <w:rPr>
          <w:rFonts w:ascii="Times New Roman" w:hAnsi="Times New Roman"/>
          <w:sz w:val="22"/>
          <w:szCs w:val="22"/>
        </w:rPr>
        <w:t>;</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p>
    <w:p w14:paraId="63EF9420" w14:textId="71098E3C" w:rsidR="003F4128" w:rsidRPr="00BA75E8" w:rsidRDefault="003F4128" w:rsidP="00AF2F90">
      <w:pPr>
        <w:pStyle w:val="PargrafodaLista"/>
        <w:rPr>
          <w:sz w:val="22"/>
          <w:szCs w:val="22"/>
        </w:rPr>
      </w:pPr>
    </w:p>
    <w:p w14:paraId="1A56E1BA" w14:textId="481DB924"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w:t>
      </w:r>
      <w:r w:rsidR="00A53147">
        <w:rPr>
          <w:rFonts w:ascii="Times New Roman" w:hAnsi="Times New Roman"/>
          <w:sz w:val="22"/>
          <w:szCs w:val="22"/>
        </w:rPr>
        <w:t>s</w:t>
      </w:r>
      <w:r w:rsidR="003F4128" w:rsidRPr="00BA75E8">
        <w:rPr>
          <w:rFonts w:ascii="Times New Roman" w:hAnsi="Times New Roman"/>
          <w:sz w:val="22"/>
          <w:szCs w:val="22"/>
        </w:rPr>
        <w:t xml:space="preserve">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Vinculada</w:t>
      </w:r>
      <w:r w:rsidR="00A53147">
        <w:rPr>
          <w:rFonts w:ascii="Times New Roman" w:hAnsi="Times New Roman"/>
          <w:sz w:val="22"/>
          <w:szCs w:val="22"/>
        </w:rPr>
        <w:t>s</w:t>
      </w:r>
      <w:r w:rsidR="003F4128" w:rsidRPr="00BA75E8">
        <w:rPr>
          <w:rFonts w:ascii="Times New Roman" w:hAnsi="Times New Roman"/>
          <w:sz w:val="22"/>
          <w:szCs w:val="22"/>
        </w:rPr>
        <w:t xml:space="preserve">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w:t>
      </w:r>
      <w:r w:rsidR="00A53147">
        <w:rPr>
          <w:rFonts w:ascii="Times New Roman" w:hAnsi="Times New Roman"/>
          <w:sz w:val="22"/>
          <w:szCs w:val="22"/>
        </w:rPr>
        <w:t xml:space="preserve">de </w:t>
      </w:r>
      <w:r w:rsidR="003F4128" w:rsidRPr="00BA75E8">
        <w:rPr>
          <w:rFonts w:ascii="Times New Roman" w:hAnsi="Times New Roman"/>
          <w:sz w:val="22"/>
          <w:szCs w:val="22"/>
        </w:rPr>
        <w:t xml:space="preserve">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w:t>
      </w:r>
      <w:r w:rsidR="007304B1">
        <w:rPr>
          <w:rFonts w:ascii="Times New Roman" w:hAnsi="Times New Roman"/>
          <w:sz w:val="22"/>
          <w:szCs w:val="22"/>
        </w:rPr>
        <w:t>aprovação</w:t>
      </w:r>
      <w:r w:rsidR="007304B1" w:rsidRPr="00BA75E8">
        <w:rPr>
          <w:rFonts w:ascii="Times New Roman" w:hAnsi="Times New Roman"/>
          <w:sz w:val="22"/>
          <w:szCs w:val="22"/>
        </w:rPr>
        <w:t xml:space="preserve">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46C5F32A" w:rsidR="00941389" w:rsidRPr="00BA75E8" w:rsidRDefault="00971D1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entrega da</w:t>
      </w:r>
      <w:r>
        <w:rPr>
          <w:rFonts w:ascii="Times New Roman" w:hAnsi="Times New Roman"/>
          <w:sz w:val="22"/>
          <w:szCs w:val="22"/>
        </w:rPr>
        <w:t xml:space="preserve"> versão final da</w:t>
      </w:r>
      <w:r w:rsidRPr="00BA75E8">
        <w:rPr>
          <w:rFonts w:ascii="Times New Roman" w:hAnsi="Times New Roman"/>
          <w:sz w:val="22"/>
          <w:szCs w:val="22"/>
        </w:rPr>
        <w:t xml:space="preserve"> opinião legal</w:t>
      </w:r>
      <w:r>
        <w:rPr>
          <w:rFonts w:ascii="Times New Roman" w:hAnsi="Times New Roman"/>
          <w:sz w:val="22"/>
          <w:szCs w:val="22"/>
        </w:rPr>
        <w:t xml:space="preserve"> (</w:t>
      </w:r>
      <w:r w:rsidRPr="000720A1">
        <w:rPr>
          <w:rFonts w:ascii="Times New Roman" w:hAnsi="Times New Roman"/>
          <w:i/>
          <w:iCs/>
          <w:sz w:val="22"/>
          <w:szCs w:val="22"/>
        </w:rPr>
        <w:t>legal opinion</w:t>
      </w:r>
      <w:r>
        <w:rPr>
          <w:rFonts w:ascii="Times New Roman" w:hAnsi="Times New Roman"/>
          <w:sz w:val="22"/>
          <w:szCs w:val="22"/>
        </w:rPr>
        <w:t>)</w:t>
      </w:r>
      <w:r w:rsidRPr="00BA75E8">
        <w:rPr>
          <w:rFonts w:ascii="Times New Roman" w:hAnsi="Times New Roman"/>
          <w:sz w:val="22"/>
          <w:szCs w:val="22"/>
        </w:rPr>
        <w:t xml:space="preserve"> do assessor jurídico contratado no âmbito da operação, em condições satisfatórias </w:t>
      </w:r>
      <w:r>
        <w:rPr>
          <w:rFonts w:ascii="Times New Roman" w:hAnsi="Times New Roman"/>
          <w:sz w:val="22"/>
          <w:szCs w:val="22"/>
        </w:rPr>
        <w:t>pelo</w:t>
      </w:r>
      <w:r w:rsidRPr="00BA75E8">
        <w:rPr>
          <w:rFonts w:ascii="Times New Roman" w:hAnsi="Times New Roman"/>
          <w:sz w:val="22"/>
          <w:szCs w:val="22"/>
        </w:rPr>
        <w:t xml:space="preserve"> Coordenador Líder,</w:t>
      </w:r>
      <w:r w:rsidRPr="006E6A51">
        <w:t xml:space="preserve"> </w:t>
      </w:r>
      <w:r w:rsidRPr="006E6A51">
        <w:rPr>
          <w:rFonts w:ascii="Times New Roman" w:hAnsi="Times New Roman"/>
          <w:sz w:val="22"/>
          <w:szCs w:val="22"/>
        </w:rPr>
        <w:t>atestando a</w:t>
      </w:r>
      <w:r>
        <w:rPr>
          <w:rFonts w:ascii="Times New Roman" w:hAnsi="Times New Roman"/>
          <w:sz w:val="22"/>
          <w:szCs w:val="22"/>
        </w:rPr>
        <w:t xml:space="preserve"> </w:t>
      </w:r>
      <w:r w:rsidRPr="006E6A51">
        <w:rPr>
          <w:rFonts w:ascii="Times New Roman" w:hAnsi="Times New Roman"/>
          <w:sz w:val="22"/>
          <w:szCs w:val="22"/>
        </w:rPr>
        <w:t>adequação da Oferta e dos Documentos da Operação em relação às</w:t>
      </w:r>
      <w:r>
        <w:rPr>
          <w:rFonts w:ascii="Times New Roman" w:hAnsi="Times New Roman"/>
          <w:sz w:val="22"/>
          <w:szCs w:val="22"/>
        </w:rPr>
        <w:t xml:space="preserve"> </w:t>
      </w:r>
      <w:r w:rsidRPr="006E6A51">
        <w:rPr>
          <w:rFonts w:ascii="Times New Roman" w:hAnsi="Times New Roman"/>
          <w:sz w:val="22"/>
          <w:szCs w:val="22"/>
        </w:rPr>
        <w:t>normas aplicáveis, a consistência das informações fornecidas pela</w:t>
      </w:r>
      <w:r>
        <w:rPr>
          <w:rFonts w:ascii="Times New Roman" w:hAnsi="Times New Roman"/>
          <w:sz w:val="22"/>
          <w:szCs w:val="22"/>
        </w:rPr>
        <w:t xml:space="preserve"> </w:t>
      </w:r>
      <w:r w:rsidRPr="006E6A51">
        <w:rPr>
          <w:rFonts w:ascii="Times New Roman" w:hAnsi="Times New Roman"/>
          <w:sz w:val="22"/>
          <w:szCs w:val="22"/>
        </w:rPr>
        <w:t>Emissora e a realização da auditoria legal de maneira conclusiva, com</w:t>
      </w:r>
      <w:r>
        <w:rPr>
          <w:rFonts w:ascii="Times New Roman" w:hAnsi="Times New Roman"/>
          <w:sz w:val="22"/>
          <w:szCs w:val="22"/>
        </w:rPr>
        <w:t xml:space="preserve"> </w:t>
      </w:r>
      <w:r w:rsidRPr="006E6A51">
        <w:rPr>
          <w:rFonts w:ascii="Times New Roman" w:hAnsi="Times New Roman"/>
          <w:sz w:val="22"/>
          <w:szCs w:val="22"/>
        </w:rPr>
        <w:t>base nas informações apresentadas e a inexistência de óbice para a</w:t>
      </w:r>
      <w:r>
        <w:rPr>
          <w:rFonts w:ascii="Times New Roman" w:hAnsi="Times New Roman"/>
          <w:sz w:val="22"/>
          <w:szCs w:val="22"/>
        </w:rPr>
        <w:t xml:space="preserve"> </w:t>
      </w:r>
      <w:r w:rsidRPr="006E6A51">
        <w:rPr>
          <w:rFonts w:ascii="Times New Roman" w:hAnsi="Times New Roman"/>
          <w:sz w:val="22"/>
          <w:szCs w:val="22"/>
        </w:rPr>
        <w:t>realização da Oferta e exequibilidade dos Documentos da Operação</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3A952469"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w:t>
      </w:r>
      <w:r w:rsidR="00A96634">
        <w:rPr>
          <w:rFonts w:ascii="Times New Roman" w:hAnsi="Times New Roman"/>
          <w:sz w:val="22"/>
          <w:szCs w:val="22"/>
        </w:rPr>
        <w:t>e à Securitizadora</w:t>
      </w:r>
      <w:r w:rsidR="00A96634" w:rsidRPr="00BA75E8">
        <w:rPr>
          <w:rFonts w:ascii="Times New Roman" w:hAnsi="Times New Roman"/>
          <w:sz w:val="22"/>
          <w:szCs w:val="22"/>
        </w:rPr>
        <w:t xml:space="preserve"> </w:t>
      </w:r>
      <w:r w:rsidRPr="00BA75E8">
        <w:rPr>
          <w:rFonts w:ascii="Times New Roman" w:hAnsi="Times New Roman"/>
          <w:sz w:val="22"/>
          <w:szCs w:val="22"/>
        </w:rPr>
        <w:t>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lastRenderedPageBreak/>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4ABCA50A"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 xml:space="preserve">OECD Convention </w:t>
      </w:r>
      <w:proofErr w:type="spellStart"/>
      <w:r w:rsidRPr="00BA75E8">
        <w:rPr>
          <w:rFonts w:ascii="Times New Roman" w:hAnsi="Times New Roman"/>
          <w:i/>
          <w:iCs/>
          <w:sz w:val="22"/>
          <w:szCs w:val="22"/>
        </w:rPr>
        <w:t>on</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Combating</w:t>
      </w:r>
      <w:proofErr w:type="spellEnd"/>
      <w:r w:rsidRPr="00BA75E8">
        <w:rPr>
          <w:rFonts w:ascii="Times New Roman" w:hAnsi="Times New Roman"/>
          <w:i/>
          <w:iCs/>
          <w:sz w:val="22"/>
          <w:szCs w:val="22"/>
        </w:rPr>
        <w:t xml:space="preserve"> Bribery of Foreign </w:t>
      </w:r>
      <w:proofErr w:type="spellStart"/>
      <w:r w:rsidRPr="00BA75E8">
        <w:rPr>
          <w:rFonts w:ascii="Times New Roman" w:hAnsi="Times New Roman"/>
          <w:i/>
          <w:iCs/>
          <w:sz w:val="22"/>
          <w:szCs w:val="22"/>
        </w:rPr>
        <w:t>Public</w:t>
      </w:r>
      <w:proofErr w:type="spellEnd"/>
      <w:r w:rsidRPr="00BA75E8">
        <w:rPr>
          <w:rFonts w:ascii="Times New Roman" w:hAnsi="Times New Roman"/>
          <w:i/>
          <w:iCs/>
          <w:sz w:val="22"/>
          <w:szCs w:val="22"/>
        </w:rPr>
        <w:t xml:space="preserve"> </w:t>
      </w:r>
      <w:proofErr w:type="spellStart"/>
      <w:r w:rsidRPr="00BA75E8">
        <w:rPr>
          <w:rFonts w:ascii="Times New Roman" w:hAnsi="Times New Roman"/>
          <w:i/>
          <w:iCs/>
          <w:sz w:val="22"/>
          <w:szCs w:val="22"/>
        </w:rPr>
        <w:t>Officials</w:t>
      </w:r>
      <w:proofErr w:type="spellEnd"/>
      <w:r w:rsidRPr="00BA75E8">
        <w:rPr>
          <w:rFonts w:ascii="Times New Roman" w:hAnsi="Times New Roman"/>
          <w:i/>
          <w:iCs/>
          <w:sz w:val="22"/>
          <w:szCs w:val="22"/>
        </w:rPr>
        <w:t xml:space="preserve"> in International Business </w:t>
      </w:r>
      <w:proofErr w:type="spellStart"/>
      <w:r w:rsidRPr="00BA75E8">
        <w:rPr>
          <w:rFonts w:ascii="Times New Roman" w:hAnsi="Times New Roman"/>
          <w:i/>
          <w:iCs/>
          <w:sz w:val="22"/>
          <w:szCs w:val="22"/>
        </w:rPr>
        <w:t>Transactions</w:t>
      </w:r>
      <w:proofErr w:type="spellEnd"/>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na medida em que a Emitente e os Fiadores declaram: (i) adotar programa de integridade, nos termos do Decreto nº 8.420, de 18 de março de 2015, conforme alterado, visando a garantir o fiel cumprimento das Leis Anticorrupção;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w:t>
      </w:r>
      <w:proofErr w:type="spellStart"/>
      <w:r w:rsidRPr="00BA75E8">
        <w:rPr>
          <w:rFonts w:ascii="Times New Roman" w:hAnsi="Times New Roman"/>
          <w:sz w:val="22"/>
          <w:szCs w:val="22"/>
        </w:rPr>
        <w:t>iii</w:t>
      </w:r>
      <w:proofErr w:type="spellEnd"/>
      <w:r w:rsidRPr="00BA75E8">
        <w:rPr>
          <w:rFonts w:ascii="Times New Roman" w:hAnsi="Times New Roman"/>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w:t>
      </w:r>
      <w:proofErr w:type="spellStart"/>
      <w:r w:rsidRPr="00BA75E8">
        <w:rPr>
          <w:rFonts w:ascii="Times New Roman" w:hAnsi="Times New Roman"/>
          <w:sz w:val="22"/>
          <w:szCs w:val="22"/>
        </w:rPr>
        <w:t>iv</w:t>
      </w:r>
      <w:proofErr w:type="spellEnd"/>
      <w:r w:rsidRPr="00BA75E8">
        <w:rPr>
          <w:rFonts w:ascii="Times New Roman" w:hAnsi="Times New Roman"/>
          <w:sz w:val="22"/>
          <w:szCs w:val="22"/>
        </w:rPr>
        <w:t xml:space="preserve">)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3" w:name="_Hlk104890316"/>
      <w:r w:rsidR="00740768" w:rsidRPr="00BA75E8">
        <w:rPr>
          <w:rFonts w:ascii="Times New Roman" w:hAnsi="Times New Roman"/>
          <w:sz w:val="22"/>
          <w:szCs w:val="22"/>
        </w:rPr>
        <w:t>Credora com cópia ao Agente Fiduciário dos CRI</w:t>
      </w:r>
      <w:r w:rsidR="00500084">
        <w:rPr>
          <w:rFonts w:ascii="Times New Roman" w:hAnsi="Times New Roman"/>
          <w:sz w:val="22"/>
          <w:szCs w:val="22"/>
        </w:rPr>
        <w:t xml:space="preserve"> e </w:t>
      </w:r>
      <w:r w:rsidR="00DB2548">
        <w:rPr>
          <w:rFonts w:ascii="Times New Roman" w:hAnsi="Times New Roman"/>
          <w:sz w:val="22"/>
          <w:szCs w:val="22"/>
        </w:rPr>
        <w:t xml:space="preserve">ao </w:t>
      </w:r>
      <w:r w:rsidR="00500084">
        <w:rPr>
          <w:rFonts w:ascii="Times New Roman" w:hAnsi="Times New Roman"/>
          <w:sz w:val="22"/>
          <w:szCs w:val="22"/>
        </w:rPr>
        <w:t>Coordenador Líder</w:t>
      </w:r>
      <w:r w:rsidR="00740768" w:rsidRPr="00BA75E8">
        <w:rPr>
          <w:rFonts w:ascii="Times New Roman" w:hAnsi="Times New Roman"/>
          <w:sz w:val="22"/>
          <w:szCs w:val="22"/>
        </w:rPr>
        <w:t xml:space="preserve">,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752237">
        <w:rPr>
          <w:rFonts w:ascii="Times New Roman" w:hAnsi="Times New Roman"/>
          <w:sz w:val="22"/>
          <w:szCs w:val="22"/>
          <w:u w:val="single"/>
        </w:rPr>
        <w:t>Declaração de Veracidade</w:t>
      </w:r>
      <w:r w:rsidR="00E271F1" w:rsidRPr="00BA75E8">
        <w:rPr>
          <w:rFonts w:ascii="Times New Roman" w:hAnsi="Times New Roman"/>
          <w:sz w:val="22"/>
          <w:szCs w:val="22"/>
        </w:rPr>
        <w:t>”)</w:t>
      </w:r>
      <w:bookmarkEnd w:id="73"/>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9D83D1E" w14:textId="7F0C752D" w:rsidR="00D65D3F" w:rsidRPr="00C2159B" w:rsidRDefault="00D65D3F" w:rsidP="00752237">
      <w:pPr>
        <w:pStyle w:val="alpha4"/>
        <w:numPr>
          <w:ilvl w:val="0"/>
          <w:numId w:val="28"/>
        </w:numPr>
        <w:tabs>
          <w:tab w:val="left" w:pos="567"/>
        </w:tabs>
        <w:spacing w:after="0" w:line="312" w:lineRule="auto"/>
        <w:ind w:left="0" w:firstLine="0"/>
        <w:rPr>
          <w:sz w:val="22"/>
          <w:szCs w:val="22"/>
        </w:rPr>
      </w:pPr>
      <w:r w:rsidRPr="00F07C9C">
        <w:rPr>
          <w:rFonts w:ascii="Times New Roman" w:hAnsi="Times New Roman"/>
          <w:sz w:val="22"/>
          <w:szCs w:val="22"/>
        </w:rPr>
        <w:t>instituição, pela Securitizadora, de regime fiduciário pleno, com a constituição do patrimônio separado</w:t>
      </w:r>
      <w:r w:rsidR="00F07C9C" w:rsidRPr="00F07C9C">
        <w:rPr>
          <w:rFonts w:ascii="Times New Roman" w:hAnsi="Times New Roman"/>
          <w:sz w:val="22"/>
          <w:szCs w:val="22"/>
        </w:rPr>
        <w:t xml:space="preserve">, nos termos da MP </w:t>
      </w:r>
      <w:r w:rsidR="00F07C9C">
        <w:rPr>
          <w:rFonts w:ascii="Times New Roman" w:hAnsi="Times New Roman"/>
          <w:sz w:val="22"/>
          <w:szCs w:val="22"/>
        </w:rPr>
        <w:t xml:space="preserve">nº </w:t>
      </w:r>
      <w:r w:rsidR="00F07C9C" w:rsidRPr="00F07C9C">
        <w:rPr>
          <w:rFonts w:ascii="Times New Roman" w:hAnsi="Times New Roman"/>
          <w:sz w:val="22"/>
          <w:szCs w:val="22"/>
        </w:rPr>
        <w:t>1.103</w:t>
      </w:r>
      <w:r w:rsidR="00F07C9C">
        <w:rPr>
          <w:rFonts w:ascii="Times New Roman" w:hAnsi="Times New Roman"/>
          <w:sz w:val="22"/>
          <w:szCs w:val="22"/>
        </w:rPr>
        <w:t>/22</w:t>
      </w:r>
      <w:r w:rsidRPr="006F235D">
        <w:rPr>
          <w:rFonts w:ascii="Times New Roman" w:hAnsi="Times New Roman"/>
          <w:sz w:val="22"/>
          <w:szCs w:val="22"/>
        </w:rPr>
        <w:t>;</w:t>
      </w:r>
    </w:p>
    <w:p w14:paraId="1D297BDE" w14:textId="77777777" w:rsidR="00752237" w:rsidRDefault="00752237" w:rsidP="00C2159B">
      <w:pPr>
        <w:pStyle w:val="PargrafodaLista"/>
        <w:rPr>
          <w:sz w:val="22"/>
          <w:szCs w:val="22"/>
        </w:rPr>
      </w:pPr>
    </w:p>
    <w:p w14:paraId="1BF83C2E" w14:textId="77777777" w:rsidR="00752237" w:rsidRPr="00F07C9C" w:rsidRDefault="00752237" w:rsidP="00752237">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pedido de autofalência de qualquer sociedade e/ou entidade pertencente ao Grupo Econômico;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pedido de falência formulado por terceiros em face de qualquer sociedade e/ou entidade pertencente ao Grupo Econômico, e não devidamente elidido antes da data da realização da Oferta Restrita; (</w:t>
      </w:r>
      <w:proofErr w:type="spellStart"/>
      <w:r w:rsidRPr="006F235D">
        <w:rPr>
          <w:rFonts w:ascii="Times New Roman" w:hAnsi="Times New Roman"/>
          <w:sz w:val="22"/>
          <w:szCs w:val="22"/>
        </w:rPr>
        <w:t>iv</w:t>
      </w:r>
      <w:proofErr w:type="spellEnd"/>
      <w:r w:rsidRPr="006F235D">
        <w:rPr>
          <w:rFonts w:ascii="Times New Roman" w:hAnsi="Times New Roman"/>
          <w:sz w:val="22"/>
          <w:szCs w:val="22"/>
        </w:rPr>
        <w:t>)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66B99079" w:rsidR="00D65D3F"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quaisquer terceiros, inclusive credores, instituições financeiras e o Banco Nacional de Desenvolvimento Econômico e Social – BNDES, se aplicável; e (</w:t>
      </w:r>
      <w:proofErr w:type="spellStart"/>
      <w:r w:rsidRPr="006F235D">
        <w:rPr>
          <w:rFonts w:ascii="Times New Roman" w:hAnsi="Times New Roman"/>
          <w:sz w:val="22"/>
          <w:szCs w:val="22"/>
        </w:rPr>
        <w:t>iii</w:t>
      </w:r>
      <w:proofErr w:type="spellEnd"/>
      <w:r w:rsidRPr="006F235D">
        <w:rPr>
          <w:rFonts w:ascii="Times New Roman" w:hAnsi="Times New Roman"/>
          <w:sz w:val="22"/>
          <w:szCs w:val="22"/>
        </w:rPr>
        <w:t>) órgão dirigente competente Devedora Locação, Emissora e Credora;</w:t>
      </w:r>
    </w:p>
    <w:p w14:paraId="27C74ABA" w14:textId="77777777" w:rsidR="00F07C9C" w:rsidRDefault="00F07C9C" w:rsidP="00752237">
      <w:pPr>
        <w:pStyle w:val="alpha4"/>
        <w:numPr>
          <w:ilvl w:val="0"/>
          <w:numId w:val="0"/>
        </w:numPr>
        <w:tabs>
          <w:tab w:val="left" w:pos="567"/>
        </w:tabs>
        <w:spacing w:after="0" w:line="312" w:lineRule="auto"/>
        <w:rPr>
          <w:rFonts w:ascii="Times New Roman" w:hAnsi="Times New Roman"/>
          <w:sz w:val="22"/>
          <w:szCs w:val="22"/>
        </w:rPr>
      </w:pPr>
    </w:p>
    <w:p w14:paraId="4996F718" w14:textId="18B03C60"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a Emi</w:t>
      </w:r>
      <w:r w:rsidR="00886AE6">
        <w:rPr>
          <w:rFonts w:ascii="Times New Roman" w:hAnsi="Times New Roman"/>
          <w:sz w:val="22"/>
          <w:szCs w:val="22"/>
        </w:rPr>
        <w:t>ssora</w:t>
      </w:r>
      <w:r w:rsidRPr="00752237">
        <w:rPr>
          <w:rFonts w:ascii="Times New Roman" w:hAnsi="Times New Roman"/>
          <w:sz w:val="22"/>
          <w:szCs w:val="22"/>
        </w:rPr>
        <w:t xml:space="preserve"> arcar com todo</w:t>
      </w:r>
      <w:r w:rsidR="007D0EF4">
        <w:rPr>
          <w:rFonts w:ascii="Times New Roman" w:hAnsi="Times New Roman"/>
          <w:sz w:val="22"/>
          <w:szCs w:val="22"/>
        </w:rPr>
        <w:t>s</w:t>
      </w:r>
      <w:r w:rsidRPr="00752237">
        <w:rPr>
          <w:rFonts w:ascii="Times New Roman" w:hAnsi="Times New Roman"/>
          <w:sz w:val="22"/>
          <w:szCs w:val="22"/>
        </w:rPr>
        <w:t xml:space="preserve"> o</w:t>
      </w:r>
      <w:r w:rsidR="007D0EF4">
        <w:rPr>
          <w:rFonts w:ascii="Times New Roman" w:hAnsi="Times New Roman"/>
          <w:sz w:val="22"/>
          <w:szCs w:val="22"/>
        </w:rPr>
        <w:t>s</w:t>
      </w:r>
      <w:r w:rsidRPr="00752237">
        <w:rPr>
          <w:rFonts w:ascii="Times New Roman" w:hAnsi="Times New Roman"/>
          <w:sz w:val="22"/>
          <w:szCs w:val="22"/>
        </w:rPr>
        <w:t xml:space="preserve"> custo</w:t>
      </w:r>
      <w:r w:rsidR="007D0EF4">
        <w:rPr>
          <w:rFonts w:ascii="Times New Roman" w:hAnsi="Times New Roman"/>
          <w:sz w:val="22"/>
          <w:szCs w:val="22"/>
        </w:rPr>
        <w:t>s</w:t>
      </w:r>
      <w:r w:rsidRPr="00752237">
        <w:rPr>
          <w:rFonts w:ascii="Times New Roman" w:hAnsi="Times New Roman"/>
          <w:sz w:val="22"/>
          <w:szCs w:val="22"/>
        </w:rPr>
        <w:t xml:space="preserve"> da Oferta que seja</w:t>
      </w:r>
      <w:r w:rsidR="007D0EF4">
        <w:rPr>
          <w:rFonts w:ascii="Times New Roman" w:hAnsi="Times New Roman"/>
          <w:sz w:val="22"/>
          <w:szCs w:val="22"/>
        </w:rPr>
        <w:t>m</w:t>
      </w:r>
      <w:r w:rsidRPr="00752237">
        <w:rPr>
          <w:rFonts w:ascii="Times New Roman" w:hAnsi="Times New Roman"/>
          <w:sz w:val="22"/>
          <w:szCs w:val="22"/>
        </w:rPr>
        <w:t xml:space="preserve"> de sua responsabilidade;</w:t>
      </w:r>
    </w:p>
    <w:p w14:paraId="519CAF01" w14:textId="77777777" w:rsidR="00745D09" w:rsidRPr="00745D09" w:rsidRDefault="00745D09" w:rsidP="00752237">
      <w:pPr>
        <w:pStyle w:val="alpha4"/>
        <w:numPr>
          <w:ilvl w:val="0"/>
          <w:numId w:val="0"/>
        </w:numPr>
        <w:tabs>
          <w:tab w:val="left" w:pos="567"/>
        </w:tabs>
        <w:spacing w:after="0" w:line="312" w:lineRule="auto"/>
        <w:rPr>
          <w:sz w:val="22"/>
          <w:szCs w:val="22"/>
        </w:rPr>
      </w:pPr>
    </w:p>
    <w:p w14:paraId="47CB28C1" w14:textId="52EDAA08" w:rsidR="00745D09"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recebimento, pelo Coordenador Líder, de declaração conjunta firmada pela Emi</w:t>
      </w:r>
      <w:r w:rsidR="00387728">
        <w:rPr>
          <w:rFonts w:ascii="Times New Roman" w:hAnsi="Times New Roman"/>
          <w:sz w:val="22"/>
          <w:szCs w:val="22"/>
        </w:rPr>
        <w:t>ssora</w:t>
      </w:r>
      <w:r w:rsidRPr="00752237">
        <w:rPr>
          <w:rFonts w:ascii="Times New Roman" w:hAnsi="Times New Roman"/>
          <w:sz w:val="22"/>
          <w:szCs w:val="22"/>
        </w:rPr>
        <w:t xml:space="preserve"> e pelos Fiadores,  atestando a consistência, veracidade, suficiência, completude e correção das informações enviadas e declarações feitas pela Emi</w:t>
      </w:r>
      <w:r w:rsidR="00E55B95">
        <w:rPr>
          <w:rFonts w:ascii="Times New Roman" w:hAnsi="Times New Roman"/>
          <w:sz w:val="22"/>
          <w:szCs w:val="22"/>
        </w:rPr>
        <w:t>ssora</w:t>
      </w:r>
      <w:r w:rsidRPr="00752237">
        <w:rPr>
          <w:rFonts w:ascii="Times New Roman" w:hAnsi="Times New Roman"/>
          <w:sz w:val="22"/>
          <w:szCs w:val="22"/>
        </w:rPr>
        <w:t xml:space="preserve"> e/ou pelos Fiadores nos Documentos da Operação, bem como aquelas prestadas no âmbito da due diligence; </w:t>
      </w:r>
    </w:p>
    <w:p w14:paraId="57E75512" w14:textId="77777777" w:rsidR="00745D09" w:rsidRDefault="00745D09" w:rsidP="00752237">
      <w:pPr>
        <w:pStyle w:val="PargrafodaLista"/>
        <w:rPr>
          <w:sz w:val="22"/>
          <w:szCs w:val="22"/>
        </w:rPr>
      </w:pPr>
    </w:p>
    <w:p w14:paraId="53F0DE74" w14:textId="60B76F06" w:rsidR="00F07C9C" w:rsidRDefault="00F07C9C" w:rsidP="00745D09">
      <w:pPr>
        <w:pStyle w:val="alpha4"/>
        <w:numPr>
          <w:ilvl w:val="0"/>
          <w:numId w:val="28"/>
        </w:numPr>
        <w:tabs>
          <w:tab w:val="left" w:pos="567"/>
        </w:tabs>
        <w:spacing w:after="0" w:line="312" w:lineRule="auto"/>
        <w:ind w:left="0" w:firstLine="0"/>
        <w:rPr>
          <w:rFonts w:ascii="Times New Roman" w:hAnsi="Times New Roman"/>
          <w:sz w:val="22"/>
          <w:szCs w:val="22"/>
        </w:rPr>
      </w:pPr>
      <w:r w:rsidRPr="00752237">
        <w:rPr>
          <w:rFonts w:ascii="Times New Roman" w:hAnsi="Times New Roman"/>
          <w:sz w:val="22"/>
          <w:szCs w:val="22"/>
        </w:rPr>
        <w:t>não imposição de exigências pela B3, pela ANBIMA e/ou pela CVM que torne a emissão dos CRI impossível ou inviável;</w:t>
      </w:r>
    </w:p>
    <w:p w14:paraId="25D47F5A" w14:textId="71B45183" w:rsidR="00D65D3F" w:rsidRPr="006F235D" w:rsidRDefault="00221F81" w:rsidP="006F235D">
      <w:pPr>
        <w:pStyle w:val="alpha4"/>
        <w:numPr>
          <w:ilvl w:val="0"/>
          <w:numId w:val="0"/>
        </w:numPr>
        <w:tabs>
          <w:tab w:val="left" w:pos="567"/>
        </w:tabs>
        <w:spacing w:after="0" w:line="312" w:lineRule="auto"/>
        <w:rPr>
          <w:sz w:val="22"/>
          <w:szCs w:val="22"/>
        </w:rPr>
      </w:pPr>
      <w:r>
        <w:rPr>
          <w:rFonts w:ascii="Times New Roman" w:hAnsi="Times New Roman"/>
          <w:sz w:val="22"/>
          <w:szCs w:val="22"/>
        </w:rPr>
        <w:t xml:space="preserve"> </w:t>
      </w:r>
    </w:p>
    <w:p w14:paraId="642653FE" w14:textId="3E15A02D"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w:t>
      </w:r>
      <w:r w:rsidR="00E55B95" w:rsidRPr="006F235D">
        <w:rPr>
          <w:rFonts w:ascii="Times New Roman" w:hAnsi="Times New Roman"/>
          <w:sz w:val="22"/>
          <w:szCs w:val="22"/>
        </w:rPr>
        <w:t>Emi</w:t>
      </w:r>
      <w:r w:rsidR="00E55B95">
        <w:rPr>
          <w:rFonts w:ascii="Times New Roman" w:hAnsi="Times New Roman"/>
          <w:sz w:val="22"/>
          <w:szCs w:val="22"/>
        </w:rPr>
        <w:t>ssora</w:t>
      </w:r>
      <w:r w:rsidR="00E55B95" w:rsidRPr="006F235D">
        <w:rPr>
          <w:rFonts w:ascii="Times New Roman" w:hAnsi="Times New Roman"/>
          <w:sz w:val="22"/>
          <w:szCs w:val="22"/>
        </w:rPr>
        <w:t xml:space="preserve"> </w:t>
      </w:r>
      <w:r w:rsidRPr="006F235D">
        <w:rPr>
          <w:rFonts w:ascii="Times New Roman" w:hAnsi="Times New Roman"/>
          <w:sz w:val="22"/>
          <w:szCs w:val="22"/>
        </w:rPr>
        <w:t xml:space="preserve">e pelos </w:t>
      </w:r>
      <w:r w:rsidRPr="00BA75E8">
        <w:rPr>
          <w:rFonts w:ascii="Times New Roman" w:hAnsi="Times New Roman"/>
          <w:sz w:val="22"/>
          <w:szCs w:val="22"/>
        </w:rPr>
        <w:t>Fiadores</w:t>
      </w:r>
      <w:r w:rsidRPr="006F235D">
        <w:rPr>
          <w:rFonts w:ascii="Times New Roman" w:hAnsi="Times New Roman"/>
          <w:sz w:val="22"/>
          <w:szCs w:val="22"/>
        </w:rPr>
        <w:t>: (i) da legislação relativa a ilícitos e crimes ambientais, ao trabalho análogo a escravo, ao trabalho infantil ou ao incentivo à prostituição;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das demais legislações ambiental e trabalhista em vigor, incluindo a Política Nacional do Meio Ambiente, as Resoluções do Conselho Nacional do Meio Ambiente – CONAMA e as demais legislações e regulamentações ambientais supletivas (em conjunto (i) e (</w:t>
      </w:r>
      <w:proofErr w:type="spellStart"/>
      <w:r w:rsidRPr="006F235D">
        <w:rPr>
          <w:rFonts w:ascii="Times New Roman" w:hAnsi="Times New Roman"/>
          <w:sz w:val="22"/>
          <w:szCs w:val="22"/>
        </w:rPr>
        <w:t>ii</w:t>
      </w:r>
      <w:proofErr w:type="spellEnd"/>
      <w:r w:rsidRPr="006F235D">
        <w:rPr>
          <w:rFonts w:ascii="Times New Roman" w:hAnsi="Times New Roman"/>
          <w:sz w:val="22"/>
          <w:szCs w:val="22"/>
        </w:rPr>
        <w:t xml:space="preserve">),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58CAFD61"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D51F23">
        <w:rPr>
          <w:rFonts w:ascii="Times New Roman" w:hAnsi="Times New Roman"/>
          <w:bCs/>
          <w:sz w:val="22"/>
          <w:szCs w:val="22"/>
        </w:rPr>
        <w:t xml:space="preserve"> ou “</w:t>
      </w:r>
      <w:r w:rsidR="00D51F23" w:rsidRPr="000720A1">
        <w:rPr>
          <w:rFonts w:ascii="Times New Roman" w:hAnsi="Times New Roman"/>
          <w:bCs/>
          <w:sz w:val="22"/>
          <w:szCs w:val="22"/>
          <w:u w:val="single"/>
        </w:rPr>
        <w:t>Empresa de Engenharia Independente</w:t>
      </w:r>
      <w:r w:rsidR="00D51F23">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acerca</w:t>
      </w:r>
      <w:r w:rsidR="00A01D18">
        <w:rPr>
          <w:rFonts w:ascii="Times New Roman" w:hAnsi="Times New Roman"/>
          <w:sz w:val="22"/>
          <w:szCs w:val="22"/>
        </w:rPr>
        <w:t>: (i)</w:t>
      </w:r>
      <w:r w:rsidR="00DC74A6" w:rsidRPr="00BA75E8">
        <w:rPr>
          <w:rFonts w:ascii="Times New Roman" w:hAnsi="Times New Roman"/>
          <w:sz w:val="22"/>
          <w:szCs w:val="22"/>
        </w:rPr>
        <w:t xml:space="preserve">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w:t>
      </w:r>
      <w:proofErr w:type="spellStart"/>
      <w:r w:rsidR="00A551DD" w:rsidRPr="00BA75E8">
        <w:rPr>
          <w:rFonts w:ascii="Times New Roman" w:hAnsi="Times New Roman"/>
          <w:sz w:val="22"/>
          <w:szCs w:val="22"/>
        </w:rPr>
        <w:t>CGHs</w:t>
      </w:r>
      <w:proofErr w:type="spellEnd"/>
      <w:r w:rsidR="00A551DD" w:rsidRPr="00BA75E8">
        <w:rPr>
          <w:rFonts w:ascii="Times New Roman" w:hAnsi="Times New Roman"/>
          <w:sz w:val="22"/>
          <w:szCs w:val="22"/>
        </w:rPr>
        <w:t>)</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892973">
        <w:rPr>
          <w:rFonts w:ascii="Times New Roman" w:hAnsi="Times New Roman"/>
          <w:sz w:val="22"/>
          <w:szCs w:val="22"/>
        </w:rPr>
        <w:t>Bernoulli e pela Ouvidor</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A01D18">
        <w:rPr>
          <w:rFonts w:ascii="Times New Roman" w:hAnsi="Times New Roman"/>
          <w:sz w:val="22"/>
          <w:szCs w:val="22"/>
        </w:rPr>
        <w:t xml:space="preserve">; </w:t>
      </w:r>
      <w:r w:rsidR="003B0035">
        <w:rPr>
          <w:rFonts w:ascii="Times New Roman" w:hAnsi="Times New Roman"/>
          <w:sz w:val="22"/>
          <w:szCs w:val="22"/>
        </w:rPr>
        <w:t xml:space="preserve">e </w:t>
      </w:r>
      <w:r w:rsidR="00611B52">
        <w:rPr>
          <w:rFonts w:ascii="Times New Roman" w:hAnsi="Times New Roman"/>
          <w:sz w:val="22"/>
          <w:szCs w:val="22"/>
        </w:rPr>
        <w:t>(</w:t>
      </w:r>
      <w:proofErr w:type="spellStart"/>
      <w:r w:rsidR="00611B52">
        <w:rPr>
          <w:rFonts w:ascii="Times New Roman" w:hAnsi="Times New Roman"/>
          <w:sz w:val="22"/>
          <w:szCs w:val="22"/>
        </w:rPr>
        <w:t>ii</w:t>
      </w:r>
      <w:proofErr w:type="spellEnd"/>
      <w:r w:rsidR="00611B52">
        <w:rPr>
          <w:rFonts w:ascii="Times New Roman" w:hAnsi="Times New Roman"/>
          <w:sz w:val="22"/>
          <w:szCs w:val="22"/>
        </w:rPr>
        <w:t xml:space="preserve">) valores necessários para término das obras desenvolvidas pela Bernoulli e pela Ouvidor </w:t>
      </w:r>
      <w:r w:rsidR="00611B52" w:rsidRPr="00BA75E8">
        <w:rPr>
          <w:rFonts w:ascii="Times New Roman" w:hAnsi="Times New Roman"/>
          <w:sz w:val="22"/>
          <w:szCs w:val="22"/>
        </w:rPr>
        <w:t>e respectivas investidas</w:t>
      </w:r>
      <w:r w:rsidR="00611B52">
        <w:rPr>
          <w:rFonts w:ascii="Times New Roman" w:hAnsi="Times New Roman"/>
          <w:sz w:val="22"/>
          <w:szCs w:val="22"/>
        </w:rPr>
        <w:t xml:space="preserve">, sendo certo que o Fundo de Obra deverá ser suficiente para cumprir com tal valor; </w:t>
      </w:r>
      <w:r w:rsidR="00611B52">
        <w:rPr>
          <w:rFonts w:ascii="Times New Roman" w:hAnsi="Times New Roman"/>
          <w:sz w:val="22"/>
          <w:szCs w:val="22"/>
        </w:rPr>
        <w:lastRenderedPageBreak/>
        <w:t>(</w:t>
      </w:r>
      <w:proofErr w:type="spellStart"/>
      <w:r w:rsidR="00611B52">
        <w:rPr>
          <w:rFonts w:ascii="Times New Roman" w:hAnsi="Times New Roman"/>
          <w:sz w:val="22"/>
          <w:szCs w:val="22"/>
        </w:rPr>
        <w:t>iii</w:t>
      </w:r>
      <w:proofErr w:type="spellEnd"/>
      <w:r w:rsidR="00611B52">
        <w:rPr>
          <w:rFonts w:ascii="Times New Roman" w:hAnsi="Times New Roman"/>
          <w:sz w:val="22"/>
          <w:szCs w:val="22"/>
        </w:rPr>
        <w:t>) confirmação da viabilidade do cronograma para término das obras</w:t>
      </w:r>
      <w:r w:rsidR="00611B52" w:rsidRPr="00BA75E8">
        <w:rPr>
          <w:rFonts w:ascii="Times New Roman" w:hAnsi="Times New Roman"/>
          <w:sz w:val="22"/>
          <w:szCs w:val="22"/>
        </w:rPr>
        <w:t>.</w:t>
      </w:r>
      <w:r w:rsidR="00611B52">
        <w:rPr>
          <w:rFonts w:ascii="Times New Roman" w:hAnsi="Times New Roman"/>
          <w:sz w:val="22"/>
          <w:szCs w:val="22"/>
        </w:rPr>
        <w:t xml:space="preserve"> Tal relatório deverá ser aprovado a critério exclusivo do Coordenador Líder</w:t>
      </w:r>
      <w:r w:rsidR="00003F6E">
        <w:rPr>
          <w:rFonts w:ascii="Times New Roman" w:hAnsi="Times New Roman"/>
          <w:sz w:val="22"/>
          <w:szCs w:val="22"/>
        </w:rPr>
        <w:t xml:space="preserve"> e da Securitizadora</w:t>
      </w:r>
      <w:r w:rsidR="00611B52">
        <w:rPr>
          <w:rFonts w:ascii="Times New Roman" w:hAnsi="Times New Roman"/>
          <w:sz w:val="22"/>
          <w:szCs w:val="22"/>
        </w:rPr>
        <w:t>.</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4" w:name="_DV_M53"/>
      <w:bookmarkStart w:id="75" w:name="_DV_M59"/>
      <w:bookmarkStart w:id="76" w:name="_DV_M72"/>
      <w:bookmarkEnd w:id="74"/>
      <w:bookmarkEnd w:id="75"/>
      <w:bookmarkEnd w:id="76"/>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w:t>
      </w:r>
      <w:proofErr w:type="spellStart"/>
      <w:r w:rsidRPr="00BA75E8">
        <w:rPr>
          <w:rFonts w:ascii="Times New Roman" w:hAnsi="Times New Roman" w:cs="Times New Roman"/>
          <w:b w:val="0"/>
          <w:bCs w:val="0"/>
          <w:iCs/>
          <w:caps w:val="0"/>
          <w:sz w:val="22"/>
          <w:szCs w:val="22"/>
        </w:rPr>
        <w:t>ii</w:t>
      </w:r>
      <w:proofErr w:type="spellEnd"/>
      <w:r w:rsidRPr="00BA75E8">
        <w:rPr>
          <w:rFonts w:ascii="Times New Roman" w:hAnsi="Times New Roman" w:cs="Times New Roman"/>
          <w:b w:val="0"/>
          <w:bCs w:val="0"/>
          <w:iCs/>
          <w:caps w:val="0"/>
          <w:sz w:val="22"/>
          <w:szCs w:val="22"/>
        </w:rPr>
        <w:t>) garantia de acesso integral às informações mantidas por si ou por terceiros por elas contratados para realizar atividades relacionadas com a escrituração; (</w:t>
      </w:r>
      <w:proofErr w:type="spellStart"/>
      <w:r w:rsidRPr="00BA75E8">
        <w:rPr>
          <w:rFonts w:ascii="Times New Roman" w:hAnsi="Times New Roman" w:cs="Times New Roman"/>
          <w:b w:val="0"/>
          <w:bCs w:val="0"/>
          <w:iCs/>
          <w:caps w:val="0"/>
          <w:sz w:val="22"/>
          <w:szCs w:val="22"/>
        </w:rPr>
        <w:t>iii</w:t>
      </w:r>
      <w:proofErr w:type="spellEnd"/>
      <w:r w:rsidRPr="00BA75E8">
        <w:rPr>
          <w:rFonts w:ascii="Times New Roman" w:hAnsi="Times New Roman" w:cs="Times New Roman"/>
          <w:b w:val="0"/>
          <w:bCs w:val="0"/>
          <w:iCs/>
          <w:caps w:val="0"/>
          <w:sz w:val="22"/>
          <w:szCs w:val="22"/>
        </w:rPr>
        <w:t>) garantia de acesso amplo a informações claras e objetivas aos participantes do mercado, sempre observadas as restrições legais de acesso a informações; e (</w:t>
      </w:r>
      <w:proofErr w:type="spellStart"/>
      <w:r w:rsidRPr="00BA75E8">
        <w:rPr>
          <w:rFonts w:ascii="Times New Roman" w:hAnsi="Times New Roman" w:cs="Times New Roman"/>
          <w:b w:val="0"/>
          <w:bCs w:val="0"/>
          <w:iCs/>
          <w:caps w:val="0"/>
          <w:sz w:val="22"/>
          <w:szCs w:val="22"/>
        </w:rPr>
        <w:t>iv</w:t>
      </w:r>
      <w:proofErr w:type="spellEnd"/>
      <w:r w:rsidRPr="00BA75E8">
        <w:rPr>
          <w:rFonts w:ascii="Times New Roman" w:hAnsi="Times New Roman" w:cs="Times New Roman"/>
          <w:b w:val="0"/>
          <w:bCs w:val="0"/>
          <w:iCs/>
          <w:caps w:val="0"/>
          <w:sz w:val="22"/>
          <w:szCs w:val="22"/>
        </w:rPr>
        <w:t>)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69C51AD8"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FD1FB8">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FD1FB8">
        <w:rPr>
          <w:rFonts w:ascii="Times New Roman" w:eastAsia="Arial Unicode MS" w:hAnsi="Times New Roman" w:cs="Times New Roman"/>
          <w:b w:val="0"/>
          <w:bCs w:val="0"/>
          <w:caps w:val="0"/>
          <w:color w:val="auto"/>
          <w:sz w:val="22"/>
          <w:szCs w:val="22"/>
          <w:lang w:bidi="th-TH"/>
        </w:rPr>
        <w:t>Data de Pagamento</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r w:rsidR="009A6ED5" w:rsidRPr="009A6ED5">
        <w:rPr>
          <w:rFonts w:ascii="Times New Roman" w:eastAsia="Arial Unicode MS" w:hAnsi="Times New Roman" w:cs="Times New Roman"/>
          <w:b w:val="0"/>
          <w:bCs w:val="0"/>
          <w:caps w:val="0"/>
          <w:color w:val="auto"/>
          <w:sz w:val="22"/>
          <w:szCs w:val="22"/>
          <w:lang w:bidi="th-TH"/>
        </w:rPr>
        <w:t xml:space="preserve"> </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VNe</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299570EC"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fator da </w:t>
      </w:r>
      <w:r w:rsidR="00AB36C1" w:rsidRPr="006F235D">
        <w:rPr>
          <w:rFonts w:ascii="Times New Roman" w:eastAsia="Arial Unicode MS" w:hAnsi="Times New Roman" w:cs="Times New Roman"/>
          <w:b w:val="0"/>
          <w:bCs w:val="0"/>
          <w:caps w:val="0"/>
          <w:color w:val="auto"/>
          <w:sz w:val="22"/>
          <w:szCs w:val="22"/>
          <w:lang w:bidi="th-TH"/>
        </w:rPr>
        <w:t>variaç</w:t>
      </w:r>
      <w:r w:rsidR="00AB36C1">
        <w:rPr>
          <w:rFonts w:ascii="Times New Roman" w:eastAsia="Arial Unicode MS" w:hAnsi="Times New Roman" w:cs="Times New Roman"/>
          <w:b w:val="0"/>
          <w:bCs w:val="0"/>
          <w:caps w:val="0"/>
          <w:color w:val="auto"/>
          <w:sz w:val="22"/>
          <w:szCs w:val="22"/>
          <w:lang w:bidi="th-TH"/>
        </w:rPr>
        <w:t>ão</w:t>
      </w:r>
      <w:r w:rsidR="00AB36C1" w:rsidRPr="006F235D">
        <w:rPr>
          <w:rFonts w:ascii="Times New Roman" w:eastAsia="Arial Unicode MS" w:hAnsi="Times New Roman" w:cs="Times New Roman"/>
          <w:b w:val="0"/>
          <w:bCs w:val="0"/>
          <w:caps w:val="0"/>
          <w:color w:val="auto"/>
          <w:sz w:val="22"/>
          <w:szCs w:val="22"/>
          <w:lang w:bidi="th-TH"/>
        </w:rPr>
        <w:t xml:space="preserve"> mensa</w:t>
      </w:r>
      <w:r w:rsidR="00AB36C1">
        <w:rPr>
          <w:rFonts w:ascii="Times New Roman" w:eastAsia="Arial Unicode MS" w:hAnsi="Times New Roman" w:cs="Times New Roman"/>
          <w:b w:val="0"/>
          <w:bCs w:val="0"/>
          <w:caps w:val="0"/>
          <w:color w:val="auto"/>
          <w:sz w:val="22"/>
          <w:szCs w:val="22"/>
          <w:lang w:bidi="th-TH"/>
        </w:rPr>
        <w:t>l</w:t>
      </w:r>
      <w:r w:rsidR="00AB36C1"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do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0CD6980C"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NIk</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r>
      <w:r w:rsidR="00AB36C1" w:rsidRPr="00752237">
        <w:rPr>
          <w:rFonts w:ascii="Times New Roman" w:eastAsia="Arial Unicode MS" w:hAnsi="Times New Roman" w:cs="Times New Roman"/>
          <w:b w:val="0"/>
          <w:bCs w:val="0"/>
          <w:caps w:val="0"/>
          <w:color w:val="auto"/>
          <w:sz w:val="22"/>
          <w:szCs w:val="22"/>
          <w:lang w:bidi="th-TH"/>
        </w:rPr>
        <w:t xml:space="preserve">número-índice do IPCA divulgado no mês da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referente ao mês anterior à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xml:space="preserve">. Após  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 o “</w:t>
      </w:r>
      <w:proofErr w:type="spellStart"/>
      <w:r w:rsidR="00AB36C1" w:rsidRPr="00752237">
        <w:rPr>
          <w:rFonts w:ascii="Times New Roman" w:eastAsia="Arial Unicode MS" w:hAnsi="Times New Roman" w:cs="Times New Roman"/>
          <w:b w:val="0"/>
          <w:bCs w:val="0"/>
          <w:caps w:val="0"/>
          <w:color w:val="auto"/>
          <w:sz w:val="22"/>
          <w:szCs w:val="22"/>
          <w:lang w:bidi="th-TH"/>
        </w:rPr>
        <w:t>Nik</w:t>
      </w:r>
      <w:proofErr w:type="spellEnd"/>
      <w:r w:rsidR="00AB36C1" w:rsidRPr="00752237">
        <w:rPr>
          <w:rFonts w:ascii="Times New Roman" w:eastAsia="Arial Unicode MS" w:hAnsi="Times New Roman" w:cs="Times New Roman"/>
          <w:b w:val="0"/>
          <w:bCs w:val="0"/>
          <w:caps w:val="0"/>
          <w:color w:val="auto"/>
          <w:sz w:val="22"/>
          <w:szCs w:val="22"/>
          <w:lang w:bidi="th-TH"/>
        </w:rPr>
        <w:t xml:space="preserve">” corresponderá ao valor do número índice do IPCA referente ao mês da </w:t>
      </w:r>
      <w:r w:rsidR="00FD1FB8">
        <w:rPr>
          <w:rFonts w:ascii="Times New Roman" w:eastAsia="Arial Unicode MS" w:hAnsi="Times New Roman" w:cs="Times New Roman"/>
          <w:b w:val="0"/>
          <w:bCs w:val="0"/>
          <w:caps w:val="0"/>
          <w:color w:val="auto"/>
          <w:sz w:val="22"/>
          <w:szCs w:val="22"/>
          <w:lang w:bidi="th-TH"/>
        </w:rPr>
        <w:t>Data de Pagamento</w:t>
      </w:r>
      <w:r w:rsidR="00AB36C1" w:rsidRPr="00752237">
        <w:rPr>
          <w:rFonts w:ascii="Times New Roman" w:eastAsia="Arial Unicode MS" w:hAnsi="Times New Roman" w:cs="Times New Roman"/>
          <w:b w:val="0"/>
          <w:bCs w:val="0"/>
          <w:caps w:val="0"/>
          <w:color w:val="auto"/>
          <w:sz w:val="22"/>
          <w:szCs w:val="22"/>
          <w:lang w:bidi="th-TH"/>
        </w:rPr>
        <w:t>;</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04533823"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w:t>
      </w:r>
      <w:r w:rsidR="003C2A25">
        <w:rPr>
          <w:rFonts w:ascii="Times New Roman" w:eastAsia="Arial Unicode MS" w:hAnsi="Times New Roman" w:cs="Times New Roman"/>
          <w:b w:val="0"/>
          <w:bCs w:val="0"/>
          <w:caps w:val="0"/>
          <w:color w:val="auto"/>
          <w:sz w:val="22"/>
          <w:szCs w:val="22"/>
          <w:lang w:bidi="th-TH"/>
        </w:rPr>
        <w:t xml:space="preserve">dos CRI </w:t>
      </w:r>
      <w:r w:rsidRPr="006F235D">
        <w:rPr>
          <w:rFonts w:ascii="Times New Roman" w:eastAsia="Arial Unicode MS" w:hAnsi="Times New Roman" w:cs="Times New Roman"/>
          <w:b w:val="0"/>
          <w:bCs w:val="0"/>
          <w:caps w:val="0"/>
          <w:color w:val="auto"/>
          <w:sz w:val="22"/>
          <w:szCs w:val="22"/>
          <w:lang w:bidi="th-TH"/>
        </w:rPr>
        <w:t xml:space="preserve">ou a última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w:t>
      </w: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um número inteiro. Especificamente para a primeira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 de atualização monetária; e</w:t>
      </w:r>
    </w:p>
    <w:p w14:paraId="320C2D9D"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69D83A1"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e a próxima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exclusive, sendo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um número inteiro. Exclusivamente para a primeira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w:t>
      </w:r>
      <w:proofErr w:type="spellStart"/>
      <w:r w:rsidRPr="006F235D">
        <w:rPr>
          <w:rFonts w:ascii="Times New Roman" w:eastAsia="Arial Unicode MS" w:hAnsi="Times New Roman" w:cs="Times New Roman"/>
          <w:b w:val="0"/>
          <w:bCs w:val="0"/>
          <w:caps w:val="0"/>
          <w:color w:val="auto"/>
          <w:sz w:val="22"/>
          <w:szCs w:val="22"/>
          <w:lang w:bidi="th-TH"/>
        </w:rPr>
        <w:t>dut</w:t>
      </w:r>
      <w:proofErr w:type="spellEnd"/>
      <w:r w:rsidRPr="006F235D">
        <w:rPr>
          <w:rFonts w:ascii="Times New Roman" w:eastAsia="Arial Unicode MS" w:hAnsi="Times New Roman" w:cs="Times New Roman"/>
          <w:b w:val="0"/>
          <w:bCs w:val="0"/>
          <w:caps w:val="0"/>
          <w:color w:val="auto"/>
          <w:sz w:val="22"/>
          <w:szCs w:val="22"/>
          <w:lang w:bidi="th-TH"/>
        </w:rPr>
        <w:t xml:space="preserve">”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68307B1D"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1EEFCF2"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data de </w:t>
      </w:r>
      <w:r w:rsidR="00FD1FB8">
        <w:rPr>
          <w:rFonts w:ascii="Times New Roman" w:eastAsia="Arial Unicode MS" w:hAnsi="Times New Roman" w:cs="Times New Roman"/>
          <w:b w:val="0"/>
          <w:bCs w:val="0"/>
          <w:caps w:val="0"/>
          <w:color w:val="auto"/>
          <w:sz w:val="22"/>
          <w:szCs w:val="22"/>
          <w:lang w:bidi="th-TH"/>
        </w:rPr>
        <w:t>pagamento</w:t>
      </w:r>
      <w:r w:rsidR="00FD1FB8" w:rsidRPr="009D72E3">
        <w:rPr>
          <w:rFonts w:ascii="Times New Roman" w:eastAsia="Arial Unicode MS" w:hAnsi="Times New Roman" w:cs="Times New Roman"/>
          <w:b w:val="0"/>
          <w:bCs w:val="0"/>
          <w:caps w:val="0"/>
          <w:color w:val="auto"/>
          <w:sz w:val="22"/>
          <w:szCs w:val="22"/>
          <w:lang w:bidi="th-TH"/>
        </w:rPr>
        <w:t xml:space="preserve"> </w:t>
      </w:r>
      <w:r w:rsidR="009D72E3" w:rsidRPr="006F235D">
        <w:rPr>
          <w:rFonts w:ascii="Times New Roman" w:eastAsia="Arial Unicode MS" w:hAnsi="Times New Roman" w:cs="Times New Roman"/>
          <w:b w:val="0"/>
          <w:bCs w:val="0"/>
          <w:caps w:val="0"/>
          <w:color w:val="auto"/>
          <w:sz w:val="22"/>
          <w:szCs w:val="22"/>
          <w:lang w:bidi="th-TH"/>
        </w:rPr>
        <w:t>as datas descritas</w:t>
      </w:r>
      <w:r w:rsidR="009D72E3"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009D72E3" w:rsidRPr="006F235D">
        <w:rPr>
          <w:rFonts w:ascii="Times New Roman" w:eastAsia="Arial Unicode MS" w:hAnsi="Times New Roman" w:cs="Times New Roman"/>
          <w:b w:val="0"/>
          <w:bCs w:val="0"/>
          <w:caps w:val="0"/>
          <w:color w:val="auto"/>
          <w:sz w:val="22"/>
          <w:szCs w:val="22"/>
          <w:lang w:bidi="th-TH"/>
        </w:rPr>
        <w:t xml:space="preserve"> no Anexo I</w:t>
      </w:r>
      <w:r w:rsidR="009D72E3" w:rsidRPr="00BA75E8">
        <w:rPr>
          <w:rFonts w:ascii="Times New Roman" w:eastAsia="Arial Unicode MS" w:hAnsi="Times New Roman" w:cs="Times New Roman"/>
          <w:b w:val="0"/>
          <w:bCs w:val="0"/>
          <w:caps w:val="0"/>
          <w:color w:val="auto"/>
          <w:sz w:val="22"/>
          <w:szCs w:val="22"/>
          <w:lang w:bidi="th-TH"/>
        </w:rPr>
        <w:t>II</w:t>
      </w:r>
      <w:r w:rsidR="009D72E3" w:rsidRPr="006F235D">
        <w:rPr>
          <w:rFonts w:ascii="Times New Roman" w:eastAsia="Arial Unicode MS" w:hAnsi="Times New Roman" w:cs="Times New Roman"/>
          <w:b w:val="0"/>
          <w:bCs w:val="0"/>
          <w:caps w:val="0"/>
          <w:color w:val="auto"/>
          <w:sz w:val="22"/>
          <w:szCs w:val="22"/>
          <w:lang w:bidi="th-TH"/>
        </w:rPr>
        <w:t xml:space="preserve"> </w:t>
      </w:r>
      <w:r w:rsidR="009D72E3" w:rsidRPr="00BA75E8">
        <w:rPr>
          <w:rFonts w:ascii="Times New Roman" w:eastAsia="Arial Unicode MS" w:hAnsi="Times New Roman" w:cs="Times New Roman"/>
          <w:b w:val="0"/>
          <w:bCs w:val="0"/>
          <w:caps w:val="0"/>
          <w:color w:val="auto"/>
          <w:sz w:val="22"/>
          <w:szCs w:val="22"/>
          <w:lang w:bidi="th-TH"/>
        </w:rPr>
        <w:t>ao</w:t>
      </w:r>
      <w:r w:rsidR="009D72E3" w:rsidRPr="006F235D">
        <w:rPr>
          <w:rFonts w:ascii="Times New Roman" w:eastAsia="Arial Unicode MS" w:hAnsi="Times New Roman" w:cs="Times New Roman"/>
          <w:b w:val="0"/>
          <w:bCs w:val="0"/>
          <w:caps w:val="0"/>
          <w:color w:val="auto"/>
          <w:sz w:val="22"/>
          <w:szCs w:val="22"/>
          <w:lang w:bidi="th-TH"/>
        </w:rPr>
        <w:t xml:space="preserve"> presente </w:t>
      </w:r>
      <w:r w:rsidR="009D72E3" w:rsidRPr="00BA75E8">
        <w:rPr>
          <w:rFonts w:ascii="Times New Roman" w:eastAsia="Arial Unicode MS" w:hAnsi="Times New Roman" w:cs="Times New Roman"/>
          <w:b w:val="0"/>
          <w:bCs w:val="0"/>
          <w:caps w:val="0"/>
          <w:color w:val="auto"/>
          <w:sz w:val="22"/>
          <w:szCs w:val="22"/>
          <w:lang w:bidi="th-TH"/>
        </w:rPr>
        <w:t>Instrumento</w:t>
      </w:r>
      <w:r w:rsidR="009D72E3" w:rsidRPr="006F235D">
        <w:rPr>
          <w:rFonts w:ascii="Times New Roman" w:eastAsia="Arial Unicode MS" w:hAnsi="Times New Roman" w:cs="Times New Roman"/>
          <w:b w:val="0"/>
          <w:bCs w:val="0"/>
          <w:caps w:val="0"/>
          <w:color w:val="auto"/>
          <w:sz w:val="22"/>
          <w:szCs w:val="22"/>
          <w:lang w:bidi="th-TH"/>
        </w:rPr>
        <w:t xml:space="preserve">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w:t>
      </w:r>
      <w:r w:rsidR="00FD1FB8">
        <w:rPr>
          <w:rFonts w:ascii="Times New Roman" w:eastAsia="Arial Unicode MS" w:hAnsi="Times New Roman" w:cs="Times New Roman"/>
          <w:b w:val="0"/>
          <w:bCs w:val="0"/>
          <w:caps w:val="0"/>
          <w:color w:val="auto"/>
          <w:sz w:val="22"/>
          <w:szCs w:val="22"/>
          <w:u w:val="single"/>
          <w:lang w:bidi="th-TH"/>
        </w:rPr>
        <w:t>(s)</w:t>
      </w:r>
      <w:r w:rsidRPr="006F235D">
        <w:rPr>
          <w:rFonts w:ascii="Times New Roman" w:eastAsia="Arial Unicode MS" w:hAnsi="Times New Roman" w:cs="Times New Roman"/>
          <w:b w:val="0"/>
          <w:bCs w:val="0"/>
          <w:caps w:val="0"/>
          <w:color w:val="auto"/>
          <w:sz w:val="22"/>
          <w:szCs w:val="22"/>
          <w:u w:val="single"/>
          <w:lang w:bidi="th-TH"/>
        </w:rPr>
        <w:t xml:space="preserve"> de </w:t>
      </w:r>
      <w:r w:rsidR="00FD1FB8">
        <w:rPr>
          <w:rFonts w:ascii="Times New Roman" w:eastAsia="Arial Unicode MS" w:hAnsi="Times New Roman" w:cs="Times New Roman"/>
          <w:b w:val="0"/>
          <w:bCs w:val="0"/>
          <w:caps w:val="0"/>
          <w:color w:val="auto"/>
          <w:sz w:val="22"/>
          <w:szCs w:val="22"/>
          <w:u w:val="single"/>
          <w:lang w:bidi="th-TH"/>
        </w:rPr>
        <w:t>Pagamento</w:t>
      </w:r>
      <w:r w:rsidRPr="006F235D">
        <w:rPr>
          <w:rFonts w:ascii="Times New Roman" w:eastAsia="Arial Unicode MS" w:hAnsi="Times New Roman" w:cs="Times New Roman"/>
          <w:b w:val="0"/>
          <w:bCs w:val="0"/>
          <w:caps w:val="0"/>
          <w:color w:val="auto"/>
          <w:sz w:val="22"/>
          <w:szCs w:val="22"/>
          <w:lang w:bidi="th-TH"/>
        </w:rPr>
        <w:t xml:space="preserve">”); </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iv</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vii</w:t>
      </w:r>
      <w:proofErr w:type="spellEnd"/>
      <w:r w:rsidRPr="006F235D">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3A6C596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AB36C1">
        <w:rPr>
          <w:rFonts w:ascii="Times New Roman" w:eastAsia="Arial Unicode MS" w:hAnsi="Times New Roman" w:cs="Times New Roman"/>
          <w:b w:val="0"/>
          <w:bCs w:val="0"/>
          <w:caps w:val="0"/>
          <w:color w:val="auto"/>
          <w:sz w:val="22"/>
          <w:szCs w:val="22"/>
          <w:lang w:bidi="th-TH"/>
        </w:rPr>
        <w:t>a variação d</w:t>
      </w:r>
      <w:r w:rsidRPr="006F235D">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7E2F06">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17FDDBA0" w:rsidR="00085620" w:rsidRPr="006F235D" w:rsidRDefault="00085620" w:rsidP="007E2F06">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não haja acordo sobre a Taxa Substitutiva, a Emissora deverá, no prazo de 20 (vinte) Dias Úteis contados (i) da data de encerramento da respectiva assembleia geral dos titulares de CRI; (</w:t>
      </w:r>
      <w:proofErr w:type="spellStart"/>
      <w:r w:rsidRPr="006F235D">
        <w:rPr>
          <w:rFonts w:ascii="Times New Roman" w:eastAsia="Arial Unicode MS" w:hAnsi="Times New Roman" w:cs="Times New Roman"/>
          <w:b w:val="0"/>
          <w:bCs w:val="0"/>
          <w:caps w:val="0"/>
          <w:color w:val="auto"/>
          <w:sz w:val="22"/>
          <w:szCs w:val="22"/>
          <w:lang w:bidi="th-TH"/>
        </w:rPr>
        <w:t>ii</w:t>
      </w:r>
      <w:proofErr w:type="spellEnd"/>
      <w:r w:rsidRPr="006F235D">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486A79F3"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w:t>
      </w:r>
      <w:r w:rsidR="00500084">
        <w:rPr>
          <w:rFonts w:ascii="Times New Roman" w:eastAsia="Arial Unicode MS" w:hAnsi="Times New Roman" w:cs="Times New Roman"/>
          <w:b w:val="0"/>
          <w:bCs w:val="0"/>
          <w:caps w:val="0"/>
          <w:color w:val="auto"/>
          <w:sz w:val="22"/>
          <w:szCs w:val="22"/>
          <w:lang w:bidi="th-TH"/>
        </w:rPr>
        <w:t>9</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FD1FB8">
        <w:rPr>
          <w:rFonts w:ascii="Times New Roman" w:eastAsia="Arial Unicode MS" w:hAnsi="Times New Roman" w:cs="Times New Roman"/>
          <w:b w:val="0"/>
          <w:bCs w:val="0"/>
          <w:caps w:val="0"/>
          <w:color w:val="auto"/>
          <w:sz w:val="22"/>
          <w:szCs w:val="22"/>
          <w:lang w:bidi="th-TH"/>
        </w:rPr>
        <w:t>Data de Pagamento</w:t>
      </w:r>
      <w:r w:rsidRPr="006F235D">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J = </w:t>
      </w:r>
      <w:proofErr w:type="spellStart"/>
      <w:r w:rsidRPr="006F235D">
        <w:rPr>
          <w:rFonts w:ascii="Times New Roman" w:hAnsi="Times New Roman" w:cs="Times New Roman"/>
          <w:color w:val="auto"/>
          <w:sz w:val="22"/>
          <w:szCs w:val="22"/>
          <w:lang w:bidi="th-TH"/>
        </w:rPr>
        <w:t>VNa</w:t>
      </w:r>
      <w:proofErr w:type="spellEnd"/>
      <w:r w:rsidRPr="006F235D">
        <w:rPr>
          <w:rFonts w:ascii="Times New Roman" w:hAnsi="Times New Roman" w:cs="Times New Roman"/>
          <w:color w:val="auto"/>
          <w:sz w:val="22"/>
          <w:szCs w:val="22"/>
          <w:lang w:bidi="th-TH"/>
        </w:rPr>
        <w:t xml:space="preserve">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6F235D">
        <w:rPr>
          <w:rFonts w:ascii="Times New Roman" w:eastAsia="Arial Unicode MS" w:hAnsi="Times New Roman" w:cs="Times New Roman"/>
          <w:b w:val="0"/>
          <w:bCs w:val="0"/>
          <w:caps w:val="0"/>
          <w:color w:val="auto"/>
          <w:sz w:val="22"/>
          <w:szCs w:val="22"/>
          <w:lang w:bidi="th-TH"/>
        </w:rPr>
        <w:t>ésimo</w:t>
      </w:r>
      <w:proofErr w:type="spellEnd"/>
      <w:r w:rsidRPr="006F235D">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3E0662D9"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00D93A49">
        <w:rPr>
          <w:rFonts w:ascii="Times New Roman" w:hAnsi="Times New Roman" w:cs="Times New Roman"/>
          <w:color w:val="auto"/>
          <w:sz w:val="22"/>
          <w:szCs w:val="22"/>
          <w:lang w:bidi="th-TH"/>
        </w:rPr>
        <w:t xml:space="preserve">, observada a </w:t>
      </w:r>
      <w:r w:rsidR="00790524">
        <w:rPr>
          <w:rFonts w:ascii="Times New Roman" w:hAnsi="Times New Roman" w:cs="Times New Roman"/>
          <w:color w:val="auto"/>
          <w:sz w:val="22"/>
          <w:szCs w:val="22"/>
          <w:lang w:bidi="th-TH"/>
        </w:rPr>
        <w:t>Repactuação Programada</w:t>
      </w:r>
      <w:r w:rsidRPr="006F235D">
        <w:rPr>
          <w:rFonts w:ascii="Times New Roman" w:hAnsi="Times New Roman" w:cs="Times New Roman"/>
          <w:color w:val="auto"/>
          <w:sz w:val="22"/>
          <w:szCs w:val="22"/>
          <w:lang w:bidi="th-TH"/>
        </w:rPr>
        <w:t>;</w:t>
      </w:r>
      <w:r w:rsidR="00590119">
        <w:rPr>
          <w:rFonts w:ascii="Times New Roman" w:hAnsi="Times New Roman" w:cs="Times New Roman"/>
          <w:color w:val="auto"/>
          <w:sz w:val="22"/>
          <w:szCs w:val="22"/>
          <w:lang w:bidi="th-TH"/>
        </w:rPr>
        <w:t xml:space="preserve"> </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DF302E2" w:rsidR="00C80D6E" w:rsidRPr="006F235D" w:rsidRDefault="00C80D6E" w:rsidP="0069603A">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dup</w:t>
      </w:r>
      <w:proofErr w:type="spellEnd"/>
      <w:r w:rsidRPr="006F235D">
        <w:rPr>
          <w:rFonts w:ascii="Times New Roman" w:eastAsia="Arial Unicode MS" w:hAnsi="Times New Roman" w:cs="Times New Roman"/>
          <w:b w:val="0"/>
          <w:bCs w:val="0"/>
          <w:caps w:val="0"/>
          <w:color w:val="auto"/>
          <w:sz w:val="22"/>
          <w:szCs w:val="22"/>
          <w:lang w:bidi="th-TH"/>
        </w:rPr>
        <w:t xml:space="preserve">: </w:t>
      </w:r>
      <w:r w:rsidR="008A7931">
        <w:rPr>
          <w:rFonts w:ascii="Times New Roman" w:eastAsia="Arial Unicode MS" w:hAnsi="Times New Roman" w:cs="Times New Roman"/>
          <w:b w:val="0"/>
          <w:bCs w:val="0"/>
          <w:caps w:val="0"/>
          <w:color w:val="auto"/>
          <w:sz w:val="22"/>
          <w:szCs w:val="22"/>
          <w:lang w:bidi="th-TH"/>
        </w:rPr>
        <w:t>conforme acima</w:t>
      </w:r>
      <w:r w:rsidR="00677CC2">
        <w:rPr>
          <w:rFonts w:ascii="Times New Roman" w:eastAsia="Arial Unicode MS" w:hAnsi="Times New Roman" w:cs="Times New Roman"/>
          <w:b w:val="0"/>
          <w:bCs w:val="0"/>
          <w:caps w:val="0"/>
          <w:color w:val="auto"/>
          <w:sz w:val="22"/>
          <w:szCs w:val="22"/>
          <w:lang w:bidi="th-TH"/>
        </w:rPr>
        <w:t xml:space="preserve"> definido</w:t>
      </w:r>
      <w:r w:rsidRPr="006F235D">
        <w:rPr>
          <w:rFonts w:ascii="Times New Roman" w:eastAsia="Arial Unicode MS" w:hAnsi="Times New Roman" w:cs="Times New Roman"/>
          <w:b w:val="0"/>
          <w:bCs w:val="0"/>
          <w:caps w:val="0"/>
          <w:color w:val="auto"/>
          <w:sz w:val="22"/>
          <w:szCs w:val="22"/>
          <w:lang w:bidi="th-TH"/>
        </w:rPr>
        <w:t>;</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7D520855" w:rsidR="00C80D6E" w:rsidRPr="006F235D" w:rsidRDefault="00C80D6E" w:rsidP="0069603A">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 Remuneração será paga sempre nos dias previstos no cronograma de pagamento da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500084">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500084">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7"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7"/>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AMi</w:t>
      </w:r>
      <w:proofErr w:type="spellEnd"/>
      <w:r w:rsidRPr="006F235D">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roofErr w:type="spellStart"/>
      <w:r w:rsidRPr="006F235D">
        <w:rPr>
          <w:rFonts w:ascii="Times New Roman" w:eastAsia="Arial Unicode MS" w:hAnsi="Times New Roman" w:cs="Times New Roman"/>
          <w:b w:val="0"/>
          <w:bCs w:val="0"/>
          <w:caps w:val="0"/>
          <w:color w:val="auto"/>
          <w:sz w:val="22"/>
          <w:szCs w:val="22"/>
          <w:lang w:bidi="th-TH"/>
        </w:rPr>
        <w:t>VNa</w:t>
      </w:r>
      <w:proofErr w:type="spellEnd"/>
      <w:r w:rsidRPr="006F235D">
        <w:rPr>
          <w:rFonts w:ascii="Times New Roman" w:eastAsia="Arial Unicode MS" w:hAnsi="Times New Roman" w:cs="Times New Roman"/>
          <w:b w:val="0"/>
          <w:bCs w:val="0"/>
          <w:caps w:val="0"/>
          <w:color w:val="auto"/>
          <w:sz w:val="22"/>
          <w:szCs w:val="22"/>
          <w:lang w:bidi="th-TH"/>
        </w:rPr>
        <w:t xml:space="preserve">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Tai = i-</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8" w:name="_DV_M139"/>
      <w:bookmarkEnd w:id="78"/>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31831711"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9" w:name="_DV_M140"/>
      <w:bookmarkEnd w:id="79"/>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80" w:name="_DV_M145"/>
      <w:bookmarkStart w:id="81" w:name="_DV_M150"/>
      <w:bookmarkStart w:id="82" w:name="_DV_M154"/>
      <w:bookmarkStart w:id="83" w:name="_DV_M155"/>
      <w:bookmarkEnd w:id="80"/>
      <w:bookmarkEnd w:id="81"/>
      <w:bookmarkEnd w:id="82"/>
      <w:bookmarkEnd w:id="83"/>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78F6B54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r w:rsidR="00745D09">
        <w:rPr>
          <w:rFonts w:ascii="Times New Roman" w:hAnsi="Times New Roman" w:cs="Times New Roman"/>
          <w:b/>
          <w:bCs/>
          <w:sz w:val="22"/>
          <w:szCs w:val="22"/>
        </w:rPr>
        <w:t xml:space="preserve"> </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4EA0C1FE"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D1421E">
        <w:rPr>
          <w:color w:val="000000"/>
          <w:sz w:val="22"/>
          <w:szCs w:val="22"/>
        </w:rPr>
        <w:t>2</w:t>
      </w:r>
      <w:r w:rsidRPr="00BA75E8">
        <w:rPr>
          <w:color w:val="000000"/>
          <w:sz w:val="22"/>
          <w:szCs w:val="22"/>
        </w:rPr>
        <w:t>.1.</w:t>
      </w:r>
      <w:r w:rsidR="00316085" w:rsidRPr="00BA75E8">
        <w:rPr>
          <w:color w:val="000000"/>
          <w:sz w:val="22"/>
          <w:szCs w:val="22"/>
        </w:rPr>
        <w:t>1</w:t>
      </w:r>
      <w:r w:rsidR="00316085" w:rsidRPr="00752237">
        <w:rPr>
          <w:color w:val="000000"/>
          <w:sz w:val="22"/>
          <w:szCs w:val="22"/>
        </w:rPr>
        <w:t>.</w:t>
      </w:r>
      <w:r w:rsidRPr="00752237">
        <w:rPr>
          <w:color w:val="000000"/>
          <w:sz w:val="22"/>
          <w:szCs w:val="22"/>
        </w:rPr>
        <w:t xml:space="preserve"> </w:t>
      </w:r>
      <w:r w:rsidR="005077A4" w:rsidRPr="00752237">
        <w:rPr>
          <w:color w:val="000000"/>
          <w:sz w:val="22"/>
          <w:szCs w:val="22"/>
        </w:rPr>
        <w:t>A</w:t>
      </w:r>
      <w:r w:rsidR="005077A4" w:rsidRPr="00500084">
        <w:rPr>
          <w:rFonts w:eastAsia="Arial Unicode MS"/>
          <w:sz w:val="22"/>
          <w:szCs w:val="22"/>
          <w:lang w:bidi="th-TH"/>
        </w:rPr>
        <w:t xml:space="preserve"> Emissora</w:t>
      </w:r>
      <w:r w:rsidR="005077A4" w:rsidRPr="006F235D">
        <w:rPr>
          <w:rFonts w:eastAsia="Arial Unicode MS"/>
          <w:sz w:val="22"/>
          <w:szCs w:val="22"/>
          <w:lang w:bidi="th-TH"/>
        </w:rPr>
        <w:t xml:space="preserve">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xml:space="preserve">”) (i) na ocorrência de </w:t>
      </w:r>
      <w:r w:rsidR="005077A4" w:rsidRPr="006F235D">
        <w:rPr>
          <w:rFonts w:eastAsia="Arial Unicode MS"/>
          <w:sz w:val="22"/>
          <w:szCs w:val="22"/>
          <w:lang w:bidi="th-TH"/>
        </w:rPr>
        <w:lastRenderedPageBreak/>
        <w:t xml:space="preserve">um Evento de Vencimento Antecipado das Notas Comerciais ou </w:t>
      </w:r>
      <w:r w:rsidR="001619F2" w:rsidRPr="006F235D">
        <w:rPr>
          <w:rFonts w:eastAsia="Arial Unicode MS"/>
          <w:sz w:val="22"/>
          <w:szCs w:val="22"/>
          <w:lang w:bidi="th-TH"/>
        </w:rPr>
        <w:t>(i) na ocorrência de um Evento de Vencimento Antecipado das Notas Comerciais</w:t>
      </w:r>
      <w:r w:rsidR="001619F2">
        <w:rPr>
          <w:rFonts w:eastAsia="Arial Unicode MS"/>
          <w:sz w:val="22"/>
          <w:szCs w:val="22"/>
          <w:lang w:bidi="th-TH"/>
        </w:rPr>
        <w:t>, conforme descrito abaixo,</w:t>
      </w:r>
      <w:r w:rsidR="001619F2" w:rsidRPr="006F235D">
        <w:rPr>
          <w:rFonts w:eastAsia="Arial Unicode MS"/>
          <w:sz w:val="22"/>
          <w:szCs w:val="22"/>
          <w:lang w:bidi="th-TH"/>
        </w:rPr>
        <w:t xml:space="preserve"> ou (</w:t>
      </w:r>
      <w:proofErr w:type="spellStart"/>
      <w:r w:rsidR="001619F2" w:rsidRPr="006F235D">
        <w:rPr>
          <w:rFonts w:eastAsia="Arial Unicode MS"/>
          <w:sz w:val="22"/>
          <w:szCs w:val="22"/>
          <w:lang w:bidi="th-TH"/>
        </w:rPr>
        <w:t>ii</w:t>
      </w:r>
      <w:proofErr w:type="spellEnd"/>
      <w:r w:rsidR="001619F2" w:rsidRPr="006F235D">
        <w:rPr>
          <w:rFonts w:eastAsia="Arial Unicode MS"/>
          <w:sz w:val="22"/>
          <w:szCs w:val="22"/>
          <w:lang w:bidi="th-TH"/>
        </w:rPr>
        <w:t>) ou ainda quando os Titulares dos CR</w:t>
      </w:r>
      <w:r w:rsidR="001619F2" w:rsidRPr="00BA75E8">
        <w:rPr>
          <w:rFonts w:eastAsia="Arial Unicode MS"/>
          <w:sz w:val="22"/>
          <w:szCs w:val="22"/>
          <w:lang w:bidi="th-TH"/>
        </w:rPr>
        <w:t>I</w:t>
      </w:r>
      <w:r w:rsidR="001619F2" w:rsidRPr="006F235D">
        <w:rPr>
          <w:rFonts w:eastAsia="Arial Unicode MS"/>
          <w:sz w:val="22"/>
          <w:szCs w:val="22"/>
          <w:lang w:bidi="th-TH"/>
        </w:rPr>
        <w:t xml:space="preserve"> e a Emissora não chegarem a um consenso quanto à Taxa Substitutiva</w:t>
      </w:r>
      <w:r w:rsidR="005077A4" w:rsidRPr="006F235D">
        <w:rPr>
          <w:rFonts w:eastAsia="Arial Unicode MS"/>
          <w:sz w:val="22"/>
          <w:szCs w:val="22"/>
          <w:lang w:bidi="th-TH"/>
        </w:rPr>
        <w:t>.</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430285B9"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881834" w:rsidRPr="006F235D">
        <w:rPr>
          <w:b/>
          <w:bCs/>
          <w:sz w:val="22"/>
          <w:szCs w:val="22"/>
        </w:rPr>
        <w:t>1</w:t>
      </w:r>
      <w:r w:rsidR="00881834">
        <w:rPr>
          <w:b/>
          <w:bCs/>
          <w:sz w:val="22"/>
          <w:szCs w:val="22"/>
        </w:rPr>
        <w:t>2</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694B9140"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4.12.2.2 </w:t>
      </w:r>
      <w:r w:rsidR="00AC0EBA" w:rsidRPr="00752237">
        <w:rPr>
          <w:sz w:val="22"/>
          <w:szCs w:val="22"/>
        </w:rPr>
        <w:t>A Emissora realizará o Resgate Antecipado Facultativo da totalidade das Notas Comerciais por meio de comunicação endereçada à Credora e ao Agente Fiduciário dos CRI, nos termos desta Escritura (“</w:t>
      </w:r>
      <w:r w:rsidR="00AC0EBA" w:rsidRPr="00752237">
        <w:rPr>
          <w:sz w:val="22"/>
          <w:szCs w:val="22"/>
          <w:u w:val="single"/>
        </w:rPr>
        <w:t>Comunicação de Resgate Antecipado</w:t>
      </w:r>
      <w:r w:rsidR="00AC0EBA" w:rsidRPr="00752237">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w:t>
      </w:r>
      <w:proofErr w:type="spellStart"/>
      <w:r w:rsidR="00AC0EBA" w:rsidRPr="00752237">
        <w:rPr>
          <w:sz w:val="22"/>
          <w:szCs w:val="22"/>
        </w:rPr>
        <w:t>ii</w:t>
      </w:r>
      <w:proofErr w:type="spellEnd"/>
      <w:r w:rsidR="00AC0EBA" w:rsidRPr="00752237">
        <w:rPr>
          <w:sz w:val="22"/>
          <w:szCs w:val="22"/>
        </w:rPr>
        <w:t>)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5A7B480C" w:rsidR="00AC0EBA" w:rsidRPr="00752237" w:rsidRDefault="00881834"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4.12.2.3.</w:t>
      </w:r>
      <w:r>
        <w:rPr>
          <w:sz w:val="22"/>
          <w:szCs w:val="22"/>
        </w:rPr>
        <w:t xml:space="preserve"> </w:t>
      </w:r>
      <w:r w:rsidR="0036324B" w:rsidRPr="00752237">
        <w:rPr>
          <w:sz w:val="22"/>
          <w:szCs w:val="22"/>
        </w:rPr>
        <w:t>O valor a ser pago à Credora a título de Resgate Antecipado será, sem prejuízo da quitação das demais Obrigações Garantidas, o maior entre (“</w:t>
      </w:r>
      <w:r w:rsidR="0036324B" w:rsidRPr="00752237">
        <w:rPr>
          <w:sz w:val="22"/>
          <w:szCs w:val="22"/>
          <w:u w:val="single"/>
        </w:rPr>
        <w:t>Valor do Resgate Antecipado Facultativo</w:t>
      </w:r>
      <w:r w:rsidR="0036324B" w:rsidRPr="00752237">
        <w:rPr>
          <w:sz w:val="22"/>
          <w:szCs w:val="22"/>
        </w:rPr>
        <w:t xml:space="preserve">”): (i) o </w:t>
      </w:r>
      <w:r w:rsidR="0036324B">
        <w:rPr>
          <w:sz w:val="22"/>
          <w:szCs w:val="22"/>
        </w:rPr>
        <w:t>Valor Nominal Atualizado</w:t>
      </w:r>
      <w:r w:rsidR="0036324B" w:rsidRPr="00752237">
        <w:rPr>
          <w:sz w:val="22"/>
          <w:szCs w:val="22"/>
        </w:rPr>
        <w:t xml:space="preserve"> dos CRI acrescido da Remuneração e de quaisquer encargos moratórios, se aplicável, e de prêmio equivalente a 2,50% (dois inteiros e cinquenta centésimos por cento)</w:t>
      </w:r>
      <w:r w:rsidR="0036324B">
        <w:rPr>
          <w:sz w:val="22"/>
          <w:szCs w:val="22"/>
        </w:rPr>
        <w:t xml:space="preserve"> incidentes sobre </w:t>
      </w:r>
      <w:r w:rsidR="0036324B" w:rsidRPr="00BA75E8">
        <w:rPr>
          <w:sz w:val="22"/>
          <w:szCs w:val="22"/>
        </w:rPr>
        <w:t xml:space="preserve">o </w:t>
      </w:r>
      <w:r w:rsidR="0036324B">
        <w:rPr>
          <w:sz w:val="22"/>
          <w:szCs w:val="22"/>
        </w:rPr>
        <w:t>Valor Nominal</w:t>
      </w:r>
      <w:r w:rsidR="0036324B" w:rsidRPr="00BA75E8">
        <w:rPr>
          <w:sz w:val="22"/>
          <w:szCs w:val="22"/>
        </w:rPr>
        <w:t xml:space="preserve"> </w:t>
      </w:r>
      <w:r w:rsidR="0036324B">
        <w:rPr>
          <w:sz w:val="22"/>
          <w:szCs w:val="22"/>
        </w:rPr>
        <w:t>A</w:t>
      </w:r>
      <w:r w:rsidR="0036324B" w:rsidRPr="00BA75E8">
        <w:rPr>
          <w:sz w:val="22"/>
          <w:szCs w:val="22"/>
        </w:rPr>
        <w:t>tualizado dos CRI acrescido da Remuneração</w:t>
      </w:r>
      <w:r w:rsidR="0036324B" w:rsidRPr="00752237">
        <w:rPr>
          <w:sz w:val="22"/>
          <w:szCs w:val="22"/>
        </w:rPr>
        <w:t xml:space="preserve"> (“</w:t>
      </w:r>
      <w:r w:rsidR="0036324B" w:rsidRPr="00752237">
        <w:rPr>
          <w:sz w:val="22"/>
          <w:szCs w:val="22"/>
          <w:u w:val="single"/>
        </w:rPr>
        <w:t>Prêmio</w:t>
      </w:r>
      <w:r w:rsidR="0036324B" w:rsidRPr="00752237">
        <w:rPr>
          <w:sz w:val="22"/>
          <w:szCs w:val="22"/>
        </w:rPr>
        <w:t>”); e (</w:t>
      </w:r>
      <w:proofErr w:type="spellStart"/>
      <w:r w:rsidR="0036324B" w:rsidRPr="00752237">
        <w:rPr>
          <w:sz w:val="22"/>
          <w:szCs w:val="22"/>
        </w:rPr>
        <w:t>ii</w:t>
      </w:r>
      <w:proofErr w:type="spellEnd"/>
      <w:r w:rsidR="0036324B" w:rsidRPr="00752237">
        <w:rPr>
          <w:sz w:val="22"/>
          <w:szCs w:val="22"/>
        </w:rPr>
        <w:t xml:space="preserve">) o valor presente das parcelas remanescentes de pagamento de amortização do Valor Nominal Unitário Atualizado das Notas Comerciais, ou do seu saldo, e das parcelas de Remuneração, devidamente atualizados monetariamente até a data do Resgate Antecipado, utilizando como taxa de desconto o cupom do título público Tesouro IPCA+ com juros semestrais (NTN-B), com vencimento mais próxima a </w:t>
      </w:r>
      <w:proofErr w:type="spellStart"/>
      <w:r w:rsidR="0036324B" w:rsidRPr="00752237">
        <w:rPr>
          <w:i/>
          <w:iCs/>
          <w:sz w:val="22"/>
          <w:szCs w:val="22"/>
        </w:rPr>
        <w:t>duration</w:t>
      </w:r>
      <w:proofErr w:type="spellEnd"/>
      <w:r w:rsidR="0036324B" w:rsidRPr="00752237">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AC0EBA" w:rsidRPr="00752237">
        <w:rPr>
          <w:sz w:val="22"/>
          <w:szCs w:val="22"/>
        </w:rPr>
        <w:t>:</w:t>
      </w:r>
      <w:r w:rsidR="0036324B">
        <w:rPr>
          <w:sz w:val="22"/>
          <w:szCs w:val="22"/>
        </w:rPr>
        <w:t xml:space="preserve"> </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 corresponde ao valor para a k-</w:t>
      </w:r>
      <w:proofErr w:type="spellStart"/>
      <w:r w:rsidRPr="006F235D">
        <w:rPr>
          <w:rFonts w:ascii="Times New Roman" w:eastAsia="Arial Unicode MS" w:hAnsi="Times New Roman" w:cs="Times New Roman"/>
          <w:b w:val="0"/>
          <w:bCs w:val="0"/>
          <w:caps w:val="0"/>
          <w:color w:val="auto"/>
          <w:sz w:val="22"/>
          <w:szCs w:val="22"/>
          <w:lang w:bidi="th-TH"/>
        </w:rPr>
        <w:t>ésima</w:t>
      </w:r>
      <w:proofErr w:type="spellEnd"/>
      <w:r w:rsidRPr="006F235D">
        <w:rPr>
          <w:rFonts w:ascii="Times New Roman" w:eastAsia="Arial Unicode MS" w:hAnsi="Times New Roman" w:cs="Times New Roman"/>
          <w:b w:val="0"/>
          <w:bCs w:val="0"/>
          <w:caps w:val="0"/>
          <w:color w:val="auto"/>
          <w:sz w:val="22"/>
          <w:szCs w:val="22"/>
          <w:lang w:bidi="th-TH"/>
        </w:rPr>
        <w:t xml:space="preserve">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4" w:name="_Hlk104481079"/>
      <w:r w:rsidRPr="00BA75E8">
        <w:rPr>
          <w:rFonts w:ascii="Times New Roman" w:eastAsia="Arial Unicode MS" w:hAnsi="Times New Roman" w:cs="Times New Roman"/>
          <w:b w:val="0"/>
          <w:bCs w:val="0"/>
          <w:caps w:val="0"/>
          <w:color w:val="auto"/>
          <w:sz w:val="22"/>
          <w:szCs w:val="22"/>
          <w:lang w:bidi="th-TH"/>
        </w:rPr>
        <w:t>Nota Comercial</w:t>
      </w:r>
      <w:bookmarkEnd w:id="84"/>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E73856"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32D211A5"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proofErr w:type="spellStart"/>
      <w:r w:rsidRPr="006F235D">
        <w:rPr>
          <w:rFonts w:ascii="Times New Roman" w:eastAsia="Arial Unicode MS" w:hAnsi="Times New Roman" w:cs="Times New Roman"/>
          <w:b w:val="0"/>
          <w:bCs w:val="0"/>
          <w:i/>
          <w:iCs/>
          <w:caps w:val="0"/>
          <w:color w:val="auto"/>
          <w:sz w:val="22"/>
          <w:szCs w:val="22"/>
          <w:lang w:bidi="th-TH"/>
        </w:rPr>
        <w:t>duration</w:t>
      </w:r>
      <w:proofErr w:type="spellEnd"/>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w:t>
      </w:r>
      <w:proofErr w:type="spellStart"/>
      <w:r w:rsidRPr="006F235D">
        <w:rPr>
          <w:rFonts w:ascii="Times New Roman" w:eastAsia="Arial Unicode MS" w:hAnsi="Times New Roman" w:cs="Times New Roman"/>
          <w:b w:val="0"/>
          <w:bCs w:val="0"/>
          <w:caps w:val="0"/>
          <w:color w:val="auto"/>
          <w:sz w:val="22"/>
          <w:szCs w:val="22"/>
          <w:lang w:bidi="th-TH"/>
        </w:rPr>
        <w:t>nk</w:t>
      </w:r>
      <w:proofErr w:type="spellEnd"/>
      <w:r w:rsidRPr="006F235D">
        <w:rPr>
          <w:rFonts w:ascii="Times New Roman" w:eastAsia="Arial Unicode MS" w:hAnsi="Times New Roman" w:cs="Times New Roman"/>
          <w:b w:val="0"/>
          <w:bCs w:val="0"/>
          <w:caps w:val="0"/>
          <w:color w:val="auto"/>
          <w:sz w:val="22"/>
          <w:szCs w:val="22"/>
          <w:lang w:bidi="th-TH"/>
        </w:rPr>
        <w:t xml:space="preserve">” corresponde ao número de Dias Úteis entre a data do Resgate Antecipado Facultativo e a data de pagamento da respectiva </w:t>
      </w:r>
      <w:proofErr w:type="spellStart"/>
      <w:r w:rsidRPr="006F235D">
        <w:rPr>
          <w:rFonts w:ascii="Times New Roman" w:eastAsia="Arial Unicode MS" w:hAnsi="Times New Roman" w:cs="Times New Roman"/>
          <w:b w:val="0"/>
          <w:bCs w:val="0"/>
          <w:caps w:val="0"/>
          <w:color w:val="auto"/>
          <w:sz w:val="22"/>
          <w:szCs w:val="22"/>
          <w:lang w:bidi="th-TH"/>
        </w:rPr>
        <w:t>PMTk</w:t>
      </w:r>
      <w:proofErr w:type="spellEnd"/>
      <w:r w:rsidRPr="006F235D">
        <w:rPr>
          <w:rFonts w:ascii="Times New Roman" w:eastAsia="Arial Unicode MS" w:hAnsi="Times New Roman" w:cs="Times New Roman"/>
          <w:b w:val="0"/>
          <w:bCs w:val="0"/>
          <w:caps w:val="0"/>
          <w:color w:val="auto"/>
          <w:sz w:val="22"/>
          <w:szCs w:val="22"/>
          <w:lang w:bidi="th-TH"/>
        </w:rPr>
        <w:t>.</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378129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 xml:space="preserve">4.12.2.4. </w:t>
      </w:r>
      <w:r w:rsidR="00AC0EBA" w:rsidRPr="00752237">
        <w:rPr>
          <w:sz w:val="22"/>
          <w:szCs w:val="22"/>
        </w:rPr>
        <w:t>As Notas Comerciais 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41119858"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w:t>
      </w:r>
      <w:r w:rsidRPr="00752237">
        <w:rPr>
          <w:b/>
          <w:bCs/>
          <w:sz w:val="22"/>
          <w:szCs w:val="22"/>
        </w:rPr>
        <w:t xml:space="preserve">2.2.5. </w:t>
      </w:r>
      <w:r w:rsidR="00AC0EBA" w:rsidRPr="00752237">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57C82289" w:rsidR="00AC0EBA" w:rsidRPr="00752237" w:rsidRDefault="00831832" w:rsidP="00752237">
      <w:pPr>
        <w:widowControl w:val="0"/>
        <w:tabs>
          <w:tab w:val="left" w:pos="993"/>
        </w:tabs>
        <w:autoSpaceDE w:val="0"/>
        <w:autoSpaceDN w:val="0"/>
        <w:adjustRightInd w:val="0"/>
        <w:spacing w:line="312" w:lineRule="auto"/>
        <w:jc w:val="both"/>
        <w:rPr>
          <w:sz w:val="22"/>
          <w:szCs w:val="22"/>
        </w:rPr>
      </w:pPr>
      <w:r w:rsidRPr="00752237">
        <w:rPr>
          <w:b/>
          <w:bCs/>
          <w:sz w:val="22"/>
          <w:szCs w:val="22"/>
        </w:rPr>
        <w:t>14.</w:t>
      </w:r>
      <w:r w:rsidR="006A37F0">
        <w:rPr>
          <w:b/>
          <w:bCs/>
          <w:sz w:val="22"/>
          <w:szCs w:val="22"/>
        </w:rPr>
        <w:t>12</w:t>
      </w:r>
      <w:r w:rsidRPr="00752237">
        <w:rPr>
          <w:b/>
          <w:bCs/>
          <w:sz w:val="22"/>
          <w:szCs w:val="22"/>
        </w:rPr>
        <w:t xml:space="preserve">.2.6. </w:t>
      </w:r>
      <w:r w:rsidR="00AC0EBA" w:rsidRPr="00752237">
        <w:rPr>
          <w:sz w:val="22"/>
          <w:szCs w:val="22"/>
        </w:rPr>
        <w:t>A Credora deverá promover o resgate total dos CRI, em função do resgate total das Notas Comerciais pela Emissora.</w:t>
      </w:r>
    </w:p>
    <w:p w14:paraId="720850D2" w14:textId="7BCB8C89" w:rsidR="00BD4E5D" w:rsidRPr="00BA75E8" w:rsidRDefault="00BD4E5D" w:rsidP="00AC0EBA">
      <w:pPr>
        <w:pStyle w:val="Level2"/>
        <w:numPr>
          <w:ilvl w:val="0"/>
          <w:numId w:val="0"/>
        </w:numPr>
        <w:tabs>
          <w:tab w:val="left" w:pos="1701"/>
        </w:tabs>
        <w:spacing w:line="312" w:lineRule="auto"/>
        <w:jc w:val="both"/>
        <w:rPr>
          <w:sz w:val="22"/>
          <w:szCs w:val="22"/>
        </w:rPr>
      </w:pP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249C489F"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3</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140FA">
        <w:rPr>
          <w:bCs/>
          <w:sz w:val="22"/>
          <w:szCs w:val="22"/>
        </w:rPr>
        <w:t>e</w:t>
      </w:r>
      <w:r w:rsidR="00910AFA">
        <w:rPr>
          <w:bCs/>
          <w:sz w:val="22"/>
          <w:szCs w:val="22"/>
        </w:rPr>
        <w:t>, cumulativamente</w:t>
      </w:r>
      <w:r w:rsidR="001140FA">
        <w:rPr>
          <w:bCs/>
          <w:sz w:val="22"/>
          <w:szCs w:val="22"/>
        </w:rPr>
        <w:t xml:space="preserv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w:t>
      </w:r>
      <w:r w:rsidR="001C6FBA" w:rsidRPr="006F235D">
        <w:rPr>
          <w:rFonts w:eastAsia="Arial Unicode MS"/>
          <w:kern w:val="32"/>
          <w:sz w:val="22"/>
          <w:szCs w:val="22"/>
          <w:lang w:bidi="th-TH"/>
        </w:rPr>
        <w:lastRenderedPageBreak/>
        <w:t xml:space="preserve">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pro rata temporis</w:t>
      </w:r>
      <w:r w:rsidR="001C6FBA" w:rsidRPr="00BA75E8">
        <w:rPr>
          <w:rFonts w:eastAsia="Arial Unicode MS"/>
          <w:sz w:val="22"/>
          <w:szCs w:val="22"/>
          <w:lang w:bidi="th-TH"/>
        </w:rPr>
        <w:t xml:space="preserve"> por dias decorridos, desde a </w:t>
      </w:r>
      <w:r w:rsidR="00FD1FB8">
        <w:rPr>
          <w:rFonts w:eastAsia="Arial Unicode MS"/>
          <w:sz w:val="22"/>
          <w:szCs w:val="22"/>
          <w:lang w:bidi="th-TH"/>
        </w:rPr>
        <w:t>Data de Pagamento</w:t>
      </w:r>
      <w:r w:rsidR="001C6FBA" w:rsidRPr="00BA75E8">
        <w:rPr>
          <w:rFonts w:eastAsia="Arial Unicode MS"/>
          <w:sz w:val="22"/>
          <w:szCs w:val="22"/>
          <w:lang w:bidi="th-TH"/>
        </w:rPr>
        <w:t xml:space="preserve"> imediatamente anterior, inclusive, conforme o caso, até a data de cálculo</w:t>
      </w:r>
      <w:r w:rsidR="006A37F0">
        <w:rPr>
          <w:rFonts w:eastAsia="Arial Unicode MS"/>
          <w:sz w:val="22"/>
          <w:szCs w:val="22"/>
          <w:lang w:bidi="th-TH"/>
        </w:rPr>
        <w:t xml:space="preserve"> (exclusive)</w:t>
      </w:r>
      <w:r w:rsidR="001C6FBA" w:rsidRPr="00BA75E8">
        <w:rPr>
          <w:rFonts w:eastAsia="Arial Unicode MS"/>
          <w:sz w:val="22"/>
          <w:szCs w:val="22"/>
          <w:lang w:bidi="th-TH"/>
        </w:rPr>
        <w:t xml:space="preserve">, conforme fórmula </w:t>
      </w:r>
      <w:r w:rsidR="001C6FBA" w:rsidRPr="006F235D">
        <w:rPr>
          <w:rFonts w:eastAsia="Arial Unicode MS"/>
          <w:kern w:val="32"/>
          <w:sz w:val="22"/>
          <w:szCs w:val="22"/>
          <w:lang w:bidi="th-TH"/>
        </w:rPr>
        <w:t>prevista na cláusula 14.16.1 acima.</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C43E87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6A37F0" w:rsidRPr="006F235D">
        <w:rPr>
          <w:b/>
          <w:bCs/>
          <w:color w:val="000000"/>
          <w:sz w:val="22"/>
          <w:szCs w:val="22"/>
        </w:rPr>
        <w:t>1</w:t>
      </w:r>
      <w:r w:rsidR="006A37F0">
        <w:rPr>
          <w:b/>
          <w:bCs/>
          <w:color w:val="000000"/>
          <w:sz w:val="22"/>
          <w:szCs w:val="22"/>
        </w:rPr>
        <w:t>4</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w:t>
      </w:r>
      <w:proofErr w:type="spellStart"/>
      <w:r w:rsidRPr="00BA75E8">
        <w:rPr>
          <w:b/>
          <w:sz w:val="22"/>
          <w:szCs w:val="22"/>
        </w:rPr>
        <w:t>ii</w:t>
      </w:r>
      <w:proofErr w:type="spellEnd"/>
      <w:r w:rsidRPr="00BA75E8">
        <w:rPr>
          <w:b/>
          <w:sz w:val="22"/>
          <w:szCs w:val="22"/>
        </w:rPr>
        <w:t>)</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3439F127"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6A37F0" w:rsidRPr="006F235D">
        <w:rPr>
          <w:b/>
          <w:iCs/>
          <w:color w:val="000000"/>
          <w:sz w:val="22"/>
          <w:szCs w:val="22"/>
        </w:rPr>
        <w:t>1</w:t>
      </w:r>
      <w:r w:rsidR="006A37F0">
        <w:rPr>
          <w:b/>
          <w:iCs/>
          <w:color w:val="000000"/>
          <w:sz w:val="22"/>
          <w:szCs w:val="22"/>
        </w:rPr>
        <w:t>5</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 xml:space="preserve">ou de quaisquer terceiros, sem correlação direta com a presente Emissão, à Emissora não será </w:t>
      </w:r>
      <w:r w:rsidRPr="00BA75E8">
        <w:rPr>
          <w:rFonts w:eastAsia="Arial Unicode MS"/>
          <w:sz w:val="22"/>
          <w:szCs w:val="22"/>
          <w:lang w:bidi="th-TH"/>
        </w:rPr>
        <w:lastRenderedPageBreak/>
        <w:t>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2DE5296E"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6A37F0" w:rsidRPr="00DB1F13">
        <w:rPr>
          <w:b/>
          <w:sz w:val="22"/>
          <w:szCs w:val="22"/>
        </w:rPr>
        <w:t>1</w:t>
      </w:r>
      <w:r w:rsidR="006A37F0">
        <w:rPr>
          <w:b/>
          <w:sz w:val="22"/>
          <w:szCs w:val="22"/>
        </w:rPr>
        <w:t>6</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5" w:name="_DV_M164"/>
      <w:bookmarkStart w:id="86" w:name="_DV_M166"/>
      <w:bookmarkStart w:id="87" w:name="_DV_M167"/>
      <w:bookmarkStart w:id="88" w:name="_DV_M169"/>
      <w:bookmarkStart w:id="89" w:name="_DV_M168"/>
      <w:bookmarkStart w:id="90" w:name="_DV_M181"/>
      <w:bookmarkStart w:id="91" w:name="_DV_M183"/>
      <w:bookmarkStart w:id="92" w:name="_Toc224745191"/>
      <w:bookmarkStart w:id="93" w:name="_Toc264552492"/>
      <w:bookmarkStart w:id="94" w:name="_Toc303356021"/>
      <w:bookmarkStart w:id="95" w:name="_Toc482089797"/>
      <w:bookmarkStart w:id="96" w:name="_Toc486445795"/>
      <w:bookmarkStart w:id="97" w:name="_Toc486448704"/>
      <w:bookmarkStart w:id="98" w:name="_Toc534701397"/>
      <w:bookmarkStart w:id="99" w:name="_Toc505003742"/>
      <w:bookmarkEnd w:id="85"/>
      <w:bookmarkEnd w:id="86"/>
      <w:bookmarkEnd w:id="87"/>
      <w:bookmarkEnd w:id="88"/>
      <w:bookmarkEnd w:id="89"/>
      <w:bookmarkEnd w:id="90"/>
      <w:bookmarkEnd w:id="91"/>
      <w:r w:rsidRPr="00BA75E8">
        <w:rPr>
          <w:rFonts w:ascii="Times New Roman" w:hAnsi="Times New Roman" w:cs="Times New Roman"/>
          <w:caps w:val="0"/>
          <w:sz w:val="22"/>
          <w:szCs w:val="22"/>
        </w:rPr>
        <w:t>EVENTOS DE VENCIMENTO ANTECIPADO</w:t>
      </w:r>
      <w:bookmarkEnd w:id="92"/>
      <w:bookmarkEnd w:id="93"/>
      <w:bookmarkEnd w:id="94"/>
      <w:bookmarkEnd w:id="95"/>
      <w:bookmarkEnd w:id="96"/>
      <w:bookmarkEnd w:id="97"/>
      <w:bookmarkEnd w:id="98"/>
      <w:bookmarkEnd w:id="99"/>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752237">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sz w:val="22"/>
          <w:szCs w:val="22"/>
        </w:rPr>
        <w:t>5.1.1.</w:t>
      </w:r>
      <w:r w:rsidRPr="00BA75E8">
        <w:rPr>
          <w:sz w:val="22"/>
          <w:szCs w:val="22"/>
        </w:rPr>
        <w:t xml:space="preserve"> </w:t>
      </w:r>
      <w:r w:rsidR="00816B86" w:rsidRPr="00BA75E8">
        <w:rPr>
          <w:sz w:val="22"/>
          <w:szCs w:val="22"/>
        </w:rPr>
        <w:t xml:space="preserve">Observado o disposto a seguir, </w:t>
      </w:r>
      <w:r w:rsidR="0094758A" w:rsidRPr="00BA75E8">
        <w:rPr>
          <w:sz w:val="22"/>
          <w:szCs w:val="22"/>
        </w:rPr>
        <w:t>a Credora</w:t>
      </w:r>
      <w:r w:rsidR="00967825" w:rsidRPr="00BA75E8">
        <w:rPr>
          <w:sz w:val="22"/>
          <w:szCs w:val="22"/>
        </w:rPr>
        <w:t xml:space="preserve">, </w:t>
      </w:r>
      <w:r w:rsidR="005207B1" w:rsidRPr="00BA75E8">
        <w:rPr>
          <w:sz w:val="22"/>
          <w:szCs w:val="22"/>
        </w:rPr>
        <w:t>deverá, independentemente de aviso ou notificação judicial ou extrajudicial à Emissora ou consulta aos titulares de Notas Comerciais</w:t>
      </w:r>
      <w:r w:rsidR="00DC1C81" w:rsidRPr="00BA75E8">
        <w:rPr>
          <w:sz w:val="22"/>
          <w:szCs w:val="22"/>
        </w:rPr>
        <w:t xml:space="preserve"> </w:t>
      </w:r>
      <w:r w:rsidR="00816B86" w:rsidRPr="00BA75E8">
        <w:rPr>
          <w:sz w:val="22"/>
          <w:szCs w:val="22"/>
        </w:rPr>
        <w:t xml:space="preserve">declarar antecipadamente vencidas </w:t>
      </w:r>
      <w:r w:rsidR="00552517" w:rsidRPr="00BA75E8">
        <w:rPr>
          <w:sz w:val="22"/>
          <w:szCs w:val="22"/>
        </w:rPr>
        <w:t xml:space="preserve">automaticamente </w:t>
      </w:r>
      <w:r w:rsidR="00816B86" w:rsidRPr="00BA75E8">
        <w:rPr>
          <w:sz w:val="22"/>
          <w:szCs w:val="22"/>
        </w:rPr>
        <w:t>todas as obrigações constantes dest</w:t>
      </w:r>
      <w:r w:rsidR="000738E5" w:rsidRPr="00BA75E8">
        <w:rPr>
          <w:sz w:val="22"/>
          <w:szCs w:val="22"/>
        </w:rPr>
        <w:t>e Instrumento</w:t>
      </w:r>
      <w:r w:rsidR="00816B86" w:rsidRPr="00BA75E8">
        <w:rPr>
          <w:sz w:val="22"/>
          <w:szCs w:val="22"/>
        </w:rPr>
        <w:t xml:space="preserve"> de Emissão (“</w:t>
      </w:r>
      <w:r w:rsidR="00816B86" w:rsidRPr="00BA75E8">
        <w:rPr>
          <w:sz w:val="22"/>
          <w:szCs w:val="22"/>
          <w:u w:val="single"/>
        </w:rPr>
        <w:t>Vencimento Antecipado</w:t>
      </w:r>
      <w:r w:rsidR="00816B86" w:rsidRPr="00BA75E8">
        <w:rPr>
          <w:sz w:val="22"/>
          <w:szCs w:val="22"/>
        </w:rPr>
        <w:t xml:space="preserve">”) na ocorrência de qualquer um dos </w:t>
      </w:r>
      <w:r w:rsidR="00816B86" w:rsidRPr="00BA75E8">
        <w:rPr>
          <w:rStyle w:val="DeltaViewDeletion"/>
          <w:strike w:val="0"/>
          <w:color w:val="auto"/>
          <w:sz w:val="22"/>
          <w:szCs w:val="22"/>
        </w:rPr>
        <w:t>eventos listados nesta Cláusula 5.1.1 (“</w:t>
      </w:r>
      <w:r w:rsidR="00816B86" w:rsidRPr="00BA75E8">
        <w:rPr>
          <w:rStyle w:val="DeltaViewDeletion"/>
          <w:strike w:val="0"/>
          <w:color w:val="auto"/>
          <w:sz w:val="22"/>
          <w:szCs w:val="22"/>
          <w:u w:val="single"/>
        </w:rPr>
        <w:t>Eventos de Vencimento Antecipado</w:t>
      </w:r>
      <w:r w:rsidR="00552517" w:rsidRPr="00BA75E8">
        <w:rPr>
          <w:rStyle w:val="DeltaViewDeletion"/>
          <w:strike w:val="0"/>
          <w:color w:val="auto"/>
          <w:sz w:val="22"/>
          <w:szCs w:val="22"/>
          <w:u w:val="single"/>
        </w:rPr>
        <w:t xml:space="preserve"> Automático</w:t>
      </w:r>
      <w:r w:rsidR="00816B86" w:rsidRPr="00BA75E8">
        <w:rPr>
          <w:rStyle w:val="DeltaViewDeletion"/>
          <w:strike w:val="0"/>
          <w:color w:val="auto"/>
          <w:sz w:val="22"/>
          <w:szCs w:val="22"/>
        </w:rPr>
        <w:t xml:space="preserve">”), </w:t>
      </w:r>
      <w:r w:rsidR="0033509D" w:rsidRPr="00BA75E8">
        <w:rPr>
          <w:rStyle w:val="DeltaViewDeletion"/>
          <w:strike w:val="0"/>
          <w:color w:val="auto"/>
          <w:sz w:val="22"/>
          <w:szCs w:val="22"/>
        </w:rPr>
        <w:t xml:space="preserve">hipótese em que </w:t>
      </w:r>
      <w:r w:rsidR="00816B86" w:rsidRPr="00BA75E8">
        <w:rPr>
          <w:rStyle w:val="DeltaViewDeletion"/>
          <w:strike w:val="0"/>
          <w:color w:val="auto"/>
          <w:sz w:val="22"/>
          <w:szCs w:val="22"/>
        </w:rPr>
        <w:t xml:space="preserve">serão declaradas vencidas antecipadamente todas as obrigações </w:t>
      </w:r>
      <w:r w:rsidR="00816B86" w:rsidRPr="00BA75E8">
        <w:rPr>
          <w:rFonts w:eastAsia="Arial Unicode MS"/>
          <w:sz w:val="22"/>
          <w:szCs w:val="22"/>
          <w:lang w:bidi="th-TH"/>
        </w:rPr>
        <w:t>constantes</w:t>
      </w:r>
      <w:r w:rsidR="00816B86" w:rsidRPr="00BA75E8">
        <w:rPr>
          <w:rStyle w:val="DeltaViewDeletion"/>
          <w:strike w:val="0"/>
          <w:color w:val="auto"/>
          <w:sz w:val="22"/>
          <w:szCs w:val="22"/>
        </w:rPr>
        <w:t xml:space="preserve"> dest</w:t>
      </w:r>
      <w:r w:rsidR="000738E5" w:rsidRPr="00BA75E8">
        <w:rPr>
          <w:rStyle w:val="DeltaViewDeletion"/>
          <w:strike w:val="0"/>
          <w:color w:val="auto"/>
          <w:sz w:val="22"/>
          <w:szCs w:val="22"/>
        </w:rPr>
        <w:t>e</w:t>
      </w:r>
      <w:r w:rsidR="00816B86" w:rsidRPr="00BA75E8">
        <w:rPr>
          <w:rStyle w:val="DeltaViewDeletion"/>
          <w:strike w:val="0"/>
          <w:color w:val="auto"/>
          <w:sz w:val="22"/>
          <w:szCs w:val="22"/>
        </w:rPr>
        <w:t xml:space="preserve"> </w:t>
      </w:r>
      <w:r w:rsidR="000738E5" w:rsidRPr="00BA75E8">
        <w:rPr>
          <w:rStyle w:val="DeltaViewDeletion"/>
          <w:strike w:val="0"/>
          <w:color w:val="auto"/>
          <w:sz w:val="22"/>
          <w:szCs w:val="22"/>
        </w:rPr>
        <w:t xml:space="preserve">Instrumento </w:t>
      </w:r>
      <w:r w:rsidR="00816B86" w:rsidRPr="00BA75E8">
        <w:rPr>
          <w:rStyle w:val="DeltaViewDeletion"/>
          <w:strike w:val="0"/>
          <w:color w:val="auto"/>
          <w:sz w:val="22"/>
          <w:szCs w:val="22"/>
        </w:rPr>
        <w:t xml:space="preserve">de Emissão, devendo </w:t>
      </w:r>
      <w:r w:rsidR="0033509D" w:rsidRPr="00BA75E8">
        <w:rPr>
          <w:rStyle w:val="DeltaViewDeletion"/>
          <w:strike w:val="0"/>
          <w:color w:val="auto"/>
          <w:sz w:val="22"/>
          <w:szCs w:val="22"/>
        </w:rPr>
        <w:t xml:space="preserve">a Emissora </w:t>
      </w:r>
      <w:r w:rsidR="00816B86" w:rsidRPr="00BA75E8">
        <w:rPr>
          <w:rStyle w:val="DeltaViewDeletion"/>
          <w:strike w:val="0"/>
          <w:color w:val="auto"/>
          <w:sz w:val="22"/>
          <w:szCs w:val="22"/>
        </w:rPr>
        <w:t xml:space="preserve">pagar </w:t>
      </w:r>
      <w:r w:rsidR="00170EC3" w:rsidRPr="00BA75E8">
        <w:rPr>
          <w:rStyle w:val="DeltaViewDeletion"/>
          <w:strike w:val="0"/>
          <w:color w:val="auto"/>
          <w:sz w:val="22"/>
          <w:szCs w:val="22"/>
        </w:rPr>
        <w:t>à Credora</w:t>
      </w:r>
      <w:r w:rsidR="00816B86" w:rsidRPr="00BA75E8">
        <w:rPr>
          <w:rStyle w:val="DeltaViewDeletion"/>
          <w:strike w:val="0"/>
          <w:color w:val="auto"/>
          <w:sz w:val="22"/>
          <w:szCs w:val="22"/>
        </w:rPr>
        <w:t>, de forma definitiva, irrevogável e irretratável, o valor a ser determinado na forma da Cláusula 5.1.</w:t>
      </w:r>
      <w:r w:rsidR="00AC6B87" w:rsidRPr="00BA75E8">
        <w:rPr>
          <w:rStyle w:val="DeltaViewDeletion"/>
          <w:strike w:val="0"/>
          <w:color w:val="auto"/>
          <w:sz w:val="22"/>
          <w:szCs w:val="22"/>
        </w:rPr>
        <w:t xml:space="preserve">4 </w:t>
      </w:r>
      <w:r w:rsidR="00816B86" w:rsidRPr="00BA75E8">
        <w:rPr>
          <w:rStyle w:val="DeltaViewDeletion"/>
          <w:strike w:val="0"/>
          <w:color w:val="auto"/>
          <w:sz w:val="22"/>
          <w:szCs w:val="22"/>
        </w:rPr>
        <w:t>abaixo</w:t>
      </w:r>
      <w:r w:rsidR="00816B86" w:rsidRPr="00BA75E8">
        <w:rPr>
          <w:sz w:val="22"/>
          <w:szCs w:val="22"/>
        </w:rPr>
        <w:t>:</w:t>
      </w:r>
      <w:r w:rsidR="00110FD6" w:rsidRPr="00BA75E8">
        <w:rPr>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100" w:name="_Hlk58933442"/>
    </w:p>
    <w:p w14:paraId="433E3F7C" w14:textId="1F40EA26"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B379CD">
        <w:rPr>
          <w:sz w:val="22"/>
          <w:szCs w:val="22"/>
        </w:rPr>
        <w:t xml:space="preserve"> </w:t>
      </w:r>
    </w:p>
    <w:p w14:paraId="46164FDD" w14:textId="77777777" w:rsidR="007770FC" w:rsidRPr="00BA75E8" w:rsidRDefault="007770FC" w:rsidP="00C97DEE">
      <w:pPr>
        <w:pStyle w:val="PargrafodaLista"/>
        <w:spacing w:line="312" w:lineRule="auto"/>
        <w:ind w:left="0"/>
        <w:jc w:val="both"/>
        <w:rPr>
          <w:sz w:val="22"/>
          <w:szCs w:val="22"/>
        </w:rPr>
      </w:pPr>
    </w:p>
    <w:p w14:paraId="5AEADAA7" w14:textId="38E58DAD"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163C1E7F"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1A9ACFD5"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 xml:space="preserve">ilegalidade, nulidade, ineficácia ou inexequibilidade </w:t>
      </w:r>
      <w:r w:rsidR="00C102F4" w:rsidRPr="00BA75E8">
        <w:rPr>
          <w:sz w:val="22"/>
          <w:szCs w:val="22"/>
        </w:rPr>
        <w:t>d</w:t>
      </w:r>
      <w:r w:rsidR="00C102F4">
        <w:rPr>
          <w:sz w:val="22"/>
          <w:szCs w:val="22"/>
        </w:rPr>
        <w:t>os</w:t>
      </w:r>
      <w:r w:rsidR="00C102F4" w:rsidRPr="00BA75E8">
        <w:rPr>
          <w:sz w:val="22"/>
          <w:szCs w:val="22"/>
        </w:rPr>
        <w:t xml:space="preserve"> </w:t>
      </w:r>
      <w:r w:rsidRPr="00BA75E8">
        <w:rPr>
          <w:sz w:val="22"/>
          <w:szCs w:val="22"/>
        </w:rPr>
        <w:t>Instrumento</w:t>
      </w:r>
      <w:r w:rsidR="00C102F4">
        <w:rPr>
          <w:sz w:val="22"/>
          <w:szCs w:val="22"/>
        </w:rPr>
        <w:t>s</w:t>
      </w:r>
      <w:r w:rsidRPr="00BA75E8">
        <w:rPr>
          <w:sz w:val="22"/>
          <w:szCs w:val="22"/>
        </w:rPr>
        <w:t xml:space="preserve">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1FC659D9" w:rsidR="008711C7" w:rsidRPr="00BA75E8" w:rsidRDefault="00AA6F72" w:rsidP="00C97DEE">
      <w:pPr>
        <w:pStyle w:val="PargrafodaLista"/>
        <w:numPr>
          <w:ilvl w:val="0"/>
          <w:numId w:val="33"/>
        </w:numPr>
        <w:spacing w:line="312" w:lineRule="auto"/>
        <w:ind w:left="0" w:firstLine="0"/>
        <w:jc w:val="both"/>
        <w:rPr>
          <w:sz w:val="22"/>
          <w:szCs w:val="22"/>
        </w:rPr>
      </w:pPr>
      <w:bookmarkStart w:id="101" w:name="_Hlk12029823"/>
      <w:r w:rsidRPr="00BA75E8">
        <w:rPr>
          <w:sz w:val="22"/>
          <w:szCs w:val="22"/>
        </w:rPr>
        <w:t xml:space="preserve">pagamento de dividendos, juros sobre o capital próprio ou qualquer outra participação nos lucros prevista dos documentos societários </w:t>
      </w:r>
      <w:r w:rsidR="00F009B1">
        <w:rPr>
          <w:sz w:val="22"/>
          <w:szCs w:val="22"/>
        </w:rPr>
        <w:t xml:space="preserve">das Devedoras, sendo </w:t>
      </w:r>
      <w:r w:rsidR="006918ED">
        <w:rPr>
          <w:sz w:val="22"/>
          <w:szCs w:val="22"/>
        </w:rPr>
        <w:t xml:space="preserve">que no âmbito dos Fiadores, será considerado </w:t>
      </w:r>
      <w:r w:rsidR="00016B77">
        <w:rPr>
          <w:sz w:val="22"/>
          <w:szCs w:val="22"/>
        </w:rPr>
        <w:t xml:space="preserve">apenas caso </w:t>
      </w:r>
      <w:r w:rsidR="006679DD">
        <w:rPr>
          <w:sz w:val="22"/>
          <w:szCs w:val="22"/>
        </w:rPr>
        <w:t xml:space="preserve">o </w:t>
      </w:r>
      <w:r w:rsidR="006918ED">
        <w:rPr>
          <w:sz w:val="22"/>
          <w:szCs w:val="22"/>
        </w:rPr>
        <w:t>pagamento de dividendos</w:t>
      </w:r>
      <w:r w:rsidR="009C158D">
        <w:rPr>
          <w:sz w:val="22"/>
          <w:szCs w:val="22"/>
        </w:rPr>
        <w:t xml:space="preserve"> caso as Devedoras estejam em mora relativamente ao cumprimento de quaisquer de suas obrigações pecuniárias </w:t>
      </w:r>
      <w:r w:rsidR="00FB4A89">
        <w:rPr>
          <w:sz w:val="22"/>
          <w:szCs w:val="22"/>
        </w:rPr>
        <w:t>previstas nos Instrumentos de Emissão ou esteja em curso quaisquer dos Eventos de Vencimento Antecipado</w:t>
      </w:r>
      <w:r w:rsidR="00004AF9">
        <w:rPr>
          <w:sz w:val="22"/>
          <w:szCs w:val="22"/>
        </w:rPr>
        <w:t xml:space="preserve"> definidos nos Instrumentos de E</w:t>
      </w:r>
      <w:r w:rsidR="00F20B7A">
        <w:rPr>
          <w:sz w:val="22"/>
          <w:szCs w:val="22"/>
        </w:rPr>
        <w:t>m</w:t>
      </w:r>
      <w:r w:rsidR="00004AF9">
        <w:rPr>
          <w:sz w:val="22"/>
          <w:szCs w:val="22"/>
        </w:rPr>
        <w:t>issão</w:t>
      </w:r>
      <w:bookmarkEnd w:id="101"/>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A0D97FF"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2"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2"/>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w:t>
      </w:r>
      <w:r w:rsidR="00F15C23">
        <w:rPr>
          <w:sz w:val="22"/>
          <w:szCs w:val="22"/>
        </w:rPr>
        <w:t>os</w:t>
      </w:r>
      <w:r w:rsidR="00F15C23" w:rsidRPr="00BA75E8">
        <w:rPr>
          <w:sz w:val="22"/>
          <w:szCs w:val="22"/>
        </w:rPr>
        <w:t xml:space="preserve"> </w:t>
      </w:r>
      <w:r w:rsidR="00BF777F" w:rsidRPr="00BA75E8">
        <w:rPr>
          <w:sz w:val="22"/>
          <w:szCs w:val="22"/>
        </w:rPr>
        <w:t>Instrumento</w:t>
      </w:r>
      <w:r w:rsidR="00F15C23">
        <w:rPr>
          <w:sz w:val="22"/>
          <w:szCs w:val="22"/>
        </w:rPr>
        <w:t>s</w:t>
      </w:r>
      <w:r w:rsidR="00BF777F" w:rsidRPr="00BA75E8">
        <w:rPr>
          <w:sz w:val="22"/>
          <w:szCs w:val="22"/>
        </w:rPr>
        <w:t xml:space="preserve">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5DE44F87"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F15C23">
        <w:rPr>
          <w:sz w:val="22"/>
          <w:szCs w:val="22"/>
        </w:rPr>
        <w:t>das Devedoras</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1ACBCB2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lastRenderedPageBreak/>
        <w:t xml:space="preserve">caso </w:t>
      </w:r>
      <w:r w:rsidR="00F15C23">
        <w:rPr>
          <w:sz w:val="22"/>
          <w:szCs w:val="22"/>
        </w:rPr>
        <w:t>qualquer dos</w:t>
      </w:r>
      <w:r w:rsidR="00F15C23" w:rsidRPr="00BA75E8">
        <w:rPr>
          <w:sz w:val="22"/>
          <w:szCs w:val="22"/>
        </w:rPr>
        <w:t xml:space="preserve"> </w:t>
      </w:r>
      <w:r w:rsidRPr="00BA75E8">
        <w:rPr>
          <w:sz w:val="22"/>
          <w:szCs w:val="22"/>
        </w:rPr>
        <w:t>Instrumento</w:t>
      </w:r>
      <w:r w:rsidR="00F15C23">
        <w:rPr>
          <w:sz w:val="22"/>
          <w:szCs w:val="22"/>
        </w:rPr>
        <w:t>s</w:t>
      </w:r>
      <w:r w:rsidRPr="00BA75E8">
        <w:rPr>
          <w:sz w:val="22"/>
          <w:szCs w:val="22"/>
        </w:rPr>
        <w:t xml:space="preserve"> de Emissão seja</w:t>
      </w:r>
      <w:r w:rsidR="00F15C23">
        <w:rPr>
          <w:sz w:val="22"/>
          <w:szCs w:val="22"/>
        </w:rPr>
        <w:t>m</w:t>
      </w:r>
      <w:r w:rsidRPr="00BA75E8">
        <w:rPr>
          <w:sz w:val="22"/>
          <w:szCs w:val="22"/>
        </w:rPr>
        <w:t xml:space="preserve">,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521E8A82"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w:t>
      </w:r>
      <w:r w:rsidR="00F15C23">
        <w:rPr>
          <w:sz w:val="22"/>
          <w:szCs w:val="22"/>
        </w:rPr>
        <w:t>s</w:t>
      </w:r>
      <w:r w:rsidRPr="00BA75E8">
        <w:rPr>
          <w:sz w:val="22"/>
          <w:szCs w:val="22"/>
        </w:rPr>
        <w:t xml:space="preserve"> Instrumento</w:t>
      </w:r>
      <w:r w:rsidR="00F15C23">
        <w:rPr>
          <w:sz w:val="22"/>
          <w:szCs w:val="22"/>
        </w:rPr>
        <w:t>s</w:t>
      </w:r>
      <w:r w:rsidRPr="00BA75E8">
        <w:rPr>
          <w:sz w:val="22"/>
          <w:szCs w:val="22"/>
        </w:rPr>
        <w:t xml:space="preserve"> de Emissão, qualquer das Garantias ou qualquer dos Documentos da Operação for objeto de questionamento </w:t>
      </w:r>
      <w:r w:rsidR="00F15C23">
        <w:rPr>
          <w:sz w:val="22"/>
          <w:szCs w:val="22"/>
        </w:rPr>
        <w:t>administrativo e/ou arbitral</w:t>
      </w:r>
      <w:r w:rsidR="00F15C23" w:rsidRPr="00BA75E8">
        <w:rPr>
          <w:sz w:val="22"/>
          <w:szCs w:val="22"/>
        </w:rPr>
        <w:t xml:space="preserve"> </w:t>
      </w:r>
      <w:r w:rsidRPr="00BA75E8">
        <w:rPr>
          <w:sz w:val="22"/>
          <w:szCs w:val="22"/>
        </w:rPr>
        <w:t>pela Emissora, pelos Fiadores ou qualquer parte a ela relacionada;</w:t>
      </w:r>
    </w:p>
    <w:p w14:paraId="4909E687" w14:textId="77777777" w:rsidR="00172CF3" w:rsidRPr="00BA75E8" w:rsidRDefault="00172CF3" w:rsidP="00F478D6">
      <w:pPr>
        <w:pStyle w:val="PargrafodaLista"/>
        <w:spacing w:line="312" w:lineRule="auto"/>
        <w:ind w:left="0"/>
        <w:jc w:val="both"/>
        <w:rPr>
          <w:sz w:val="22"/>
          <w:szCs w:val="22"/>
        </w:rPr>
      </w:pPr>
    </w:p>
    <w:p w14:paraId="2353AC08" w14:textId="77777777" w:rsidR="00172CF3" w:rsidRPr="00BA75E8" w:rsidRDefault="00172CF3" w:rsidP="00F478D6">
      <w:pPr>
        <w:pStyle w:val="PargrafodaLista"/>
        <w:spacing w:line="312" w:lineRule="auto"/>
        <w:ind w:left="0"/>
        <w:jc w:val="both"/>
        <w:rPr>
          <w:sz w:val="22"/>
          <w:szCs w:val="22"/>
        </w:rPr>
      </w:pPr>
    </w:p>
    <w:p w14:paraId="5BFB6D2C"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caso os 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PargrafodaLista"/>
        <w:spacing w:line="312" w:lineRule="auto"/>
        <w:rPr>
          <w:sz w:val="22"/>
          <w:szCs w:val="22"/>
        </w:rPr>
      </w:pPr>
    </w:p>
    <w:p w14:paraId="6A9A1F3C" w14:textId="47B00FDE"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cessão, promessa de cessão ou qualquer forma de transferência ou promessa de transferência a terceiros, no todo ou em parte, pela Emissora e/ou pelos Fiadores, de qualquer de suas obrigações nos termos </w:t>
      </w:r>
      <w:r w:rsidR="00F15C23">
        <w:rPr>
          <w:sz w:val="22"/>
          <w:szCs w:val="22"/>
        </w:rPr>
        <w:t>dos Instrumentos</w:t>
      </w:r>
      <w:r w:rsidRPr="00BA75E8">
        <w:rPr>
          <w:sz w:val="22"/>
          <w:szCs w:val="22"/>
        </w:rPr>
        <w:t xml:space="preserve">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02F1D1C" w14:textId="77777777" w:rsidR="00832BA3" w:rsidRPr="00BA75E8" w:rsidRDefault="00832BA3" w:rsidP="006F235D">
      <w:pPr>
        <w:pStyle w:val="PargrafodaLista"/>
        <w:spacing w:line="312" w:lineRule="auto"/>
        <w:ind w:left="0"/>
        <w:jc w:val="both"/>
        <w:rPr>
          <w:sz w:val="22"/>
          <w:szCs w:val="22"/>
        </w:rPr>
      </w:pPr>
    </w:p>
    <w:p w14:paraId="230C83B6" w14:textId="77777777" w:rsidR="00832BA3" w:rsidRPr="00BA75E8" w:rsidRDefault="00832BA3" w:rsidP="006F235D">
      <w:pPr>
        <w:pStyle w:val="PargrafodaLista"/>
        <w:spacing w:line="312" w:lineRule="auto"/>
        <w:ind w:left="0"/>
        <w:jc w:val="both"/>
        <w:rPr>
          <w:sz w:val="22"/>
          <w:szCs w:val="22"/>
        </w:rPr>
      </w:pPr>
    </w:p>
    <w:p w14:paraId="12EB3167" w14:textId="5FB61768" w:rsidR="00832BA3"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r w:rsidR="000C001B" w:rsidRPr="000C001B">
        <w:rPr>
          <w:sz w:val="22"/>
          <w:szCs w:val="22"/>
        </w:rPr>
        <w:t xml:space="preserve"> </w:t>
      </w:r>
      <w:r w:rsidR="000C001B" w:rsidRPr="00BA75E8">
        <w:rPr>
          <w:sz w:val="22"/>
          <w:szCs w:val="22"/>
        </w:rPr>
        <w:t>ficando permitida a alteração para inclusão e/ou exclusão de atividades não preponderantes ao objeto social ou mediante autorização expressa pela Credora, conforme deliberação dos titulares dos CRI</w:t>
      </w:r>
      <w:r w:rsidRPr="00BA75E8">
        <w:rPr>
          <w:sz w:val="22"/>
          <w:szCs w:val="22"/>
        </w:rPr>
        <w:t>;</w:t>
      </w:r>
    </w:p>
    <w:p w14:paraId="3CF2CD26" w14:textId="77777777" w:rsidR="00F554A2" w:rsidRPr="00752237" w:rsidRDefault="00F554A2" w:rsidP="00752237">
      <w:pPr>
        <w:pStyle w:val="PargrafodaLista"/>
        <w:rPr>
          <w:sz w:val="22"/>
          <w:szCs w:val="22"/>
        </w:rPr>
      </w:pPr>
    </w:p>
    <w:p w14:paraId="385F5954" w14:textId="59E03BC6" w:rsidR="00F554A2" w:rsidRDefault="00F554A2" w:rsidP="006F235D">
      <w:pPr>
        <w:pStyle w:val="PargrafodaLista"/>
        <w:numPr>
          <w:ilvl w:val="0"/>
          <w:numId w:val="33"/>
        </w:numPr>
        <w:spacing w:line="312" w:lineRule="auto"/>
        <w:ind w:left="0" w:firstLine="0"/>
        <w:jc w:val="both"/>
        <w:rPr>
          <w:sz w:val="22"/>
          <w:szCs w:val="22"/>
        </w:rPr>
      </w:pPr>
      <w:r w:rsidRPr="00BA75E8">
        <w:rPr>
          <w:sz w:val="22"/>
          <w:szCs w:val="22"/>
        </w:rPr>
        <w:lastRenderedPageBreak/>
        <w:t>caso a Emissora, o Fiduciante, os Fiadores, ou qualquer pessoa pertencente ao seu Grupo Econômico adote qualquer medida que prejudique ou vise prejudicar os Recebíveis;</w:t>
      </w:r>
    </w:p>
    <w:p w14:paraId="5FB5646F" w14:textId="77777777" w:rsidR="00C97C30" w:rsidRPr="00752237" w:rsidRDefault="00C97C30" w:rsidP="00752237">
      <w:pPr>
        <w:pStyle w:val="PargrafodaLista"/>
        <w:rPr>
          <w:sz w:val="22"/>
          <w:szCs w:val="22"/>
        </w:rPr>
      </w:pPr>
    </w:p>
    <w:p w14:paraId="53222369" w14:textId="4582C797" w:rsidR="00C97C30" w:rsidRDefault="00BB587E" w:rsidP="006F235D">
      <w:pPr>
        <w:pStyle w:val="PargrafodaLista"/>
        <w:numPr>
          <w:ilvl w:val="0"/>
          <w:numId w:val="33"/>
        </w:numPr>
        <w:spacing w:line="312" w:lineRule="auto"/>
        <w:ind w:left="0" w:firstLine="0"/>
        <w:jc w:val="both"/>
        <w:rPr>
          <w:sz w:val="22"/>
          <w:szCs w:val="22"/>
        </w:rPr>
      </w:pPr>
      <w:r w:rsidRPr="00752237">
        <w:rPr>
          <w:sz w:val="22"/>
          <w:szCs w:val="22"/>
        </w:rPr>
        <w:t xml:space="preserve">se </w:t>
      </w:r>
      <w:r>
        <w:rPr>
          <w:sz w:val="22"/>
          <w:szCs w:val="22"/>
        </w:rPr>
        <w:t xml:space="preserve">a Emissora, o Fiduciante, </w:t>
      </w:r>
      <w:r w:rsidRPr="00752237">
        <w:rPr>
          <w:sz w:val="22"/>
          <w:szCs w:val="22"/>
        </w:rPr>
        <w:t>os Fiadores</w:t>
      </w:r>
      <w:r>
        <w:rPr>
          <w:sz w:val="22"/>
          <w:szCs w:val="22"/>
        </w:rPr>
        <w:t>, ou qualquer pessoa pertencente ao seu Grupo Econômico,</w:t>
      </w:r>
      <w:r w:rsidRPr="00752237">
        <w:rPr>
          <w:sz w:val="22"/>
          <w:szCs w:val="22"/>
        </w:rPr>
        <w:t xml:space="preserve"> alterarem ou tentar alterar a forma de pagamento dos Direitos Creditórios sem autorização dos titulares dos CRI</w:t>
      </w:r>
      <w:r w:rsidR="00C97C30">
        <w:rPr>
          <w:sz w:val="22"/>
          <w:szCs w:val="22"/>
        </w:rPr>
        <w:t>;</w:t>
      </w:r>
    </w:p>
    <w:p w14:paraId="7CEE91BC" w14:textId="44050052" w:rsidR="00CE7BCB" w:rsidRPr="00752237" w:rsidRDefault="00CE7BCB" w:rsidP="00752237">
      <w:pPr>
        <w:pStyle w:val="PargrafodaLista"/>
        <w:rPr>
          <w:sz w:val="22"/>
          <w:szCs w:val="22"/>
        </w:rPr>
      </w:pPr>
    </w:p>
    <w:p w14:paraId="7187AC6C" w14:textId="72A82ADE" w:rsidR="00CE7BCB" w:rsidRDefault="0038797E" w:rsidP="006F235D">
      <w:pPr>
        <w:pStyle w:val="PargrafodaLista"/>
        <w:numPr>
          <w:ilvl w:val="0"/>
          <w:numId w:val="33"/>
        </w:numPr>
        <w:spacing w:line="312" w:lineRule="auto"/>
        <w:ind w:left="0" w:firstLine="0"/>
        <w:jc w:val="both"/>
        <w:rPr>
          <w:sz w:val="22"/>
          <w:szCs w:val="22"/>
        </w:rPr>
      </w:pPr>
      <w:r w:rsidRPr="00BA75E8">
        <w:rPr>
          <w:sz w:val="22"/>
          <w:szCs w:val="22"/>
        </w:rPr>
        <w:t>caso as contas de destino dos Recebíveis sejam modificadas para qualquer conta diversa da</w:t>
      </w:r>
      <w:r w:rsidR="00A17882">
        <w:rPr>
          <w:sz w:val="22"/>
          <w:szCs w:val="22"/>
        </w:rPr>
        <w:t>s</w:t>
      </w:r>
      <w:r w:rsidRPr="00BA75E8">
        <w:rPr>
          <w:sz w:val="22"/>
          <w:szCs w:val="22"/>
        </w:rPr>
        <w:t xml:space="preserve"> Conta</w:t>
      </w:r>
      <w:r w:rsidR="00A17882">
        <w:rPr>
          <w:sz w:val="22"/>
          <w:szCs w:val="22"/>
        </w:rPr>
        <w:t>s</w:t>
      </w:r>
      <w:r w:rsidRPr="00BA75E8">
        <w:rPr>
          <w:sz w:val="22"/>
          <w:szCs w:val="22"/>
        </w:rPr>
        <w:t xml:space="preserve"> Vinculada</w:t>
      </w:r>
      <w:r w:rsidR="00A17882">
        <w:rPr>
          <w:sz w:val="22"/>
          <w:szCs w:val="22"/>
        </w:rPr>
        <w:t>s</w:t>
      </w:r>
      <w:r w:rsidRPr="00BA75E8">
        <w:rPr>
          <w:sz w:val="22"/>
          <w:szCs w:val="22"/>
        </w:rPr>
        <w:t>, sem a prévia e expressa aprovação da Credora</w:t>
      </w:r>
      <w:r>
        <w:rPr>
          <w:sz w:val="22"/>
          <w:szCs w:val="22"/>
        </w:rPr>
        <w:t xml:space="preserve">, </w:t>
      </w:r>
      <w:r w:rsidRPr="00BA75E8">
        <w:rPr>
          <w:sz w:val="22"/>
          <w:szCs w:val="22"/>
        </w:rPr>
        <w:t>conforme deliberação dos titulares dos CRI</w:t>
      </w:r>
      <w:r w:rsidR="002214C3">
        <w:rPr>
          <w:sz w:val="22"/>
          <w:szCs w:val="22"/>
        </w:rPr>
        <w:t>; e</w:t>
      </w:r>
    </w:p>
    <w:p w14:paraId="26005E2F" w14:textId="77777777" w:rsidR="002214C3" w:rsidRPr="00752237" w:rsidRDefault="002214C3" w:rsidP="00752237">
      <w:pPr>
        <w:pStyle w:val="PargrafodaLista"/>
        <w:rPr>
          <w:sz w:val="22"/>
          <w:szCs w:val="22"/>
        </w:rPr>
      </w:pPr>
    </w:p>
    <w:p w14:paraId="1D321946" w14:textId="6557D532" w:rsidR="002214C3" w:rsidRPr="00BA75E8" w:rsidRDefault="002214C3" w:rsidP="00752237">
      <w:pPr>
        <w:pStyle w:val="PargrafodaLista"/>
        <w:numPr>
          <w:ilvl w:val="0"/>
          <w:numId w:val="33"/>
        </w:numPr>
        <w:tabs>
          <w:tab w:val="left" w:pos="851"/>
        </w:tabs>
        <w:spacing w:line="312" w:lineRule="auto"/>
        <w:ind w:left="0" w:firstLine="0"/>
        <w:jc w:val="both"/>
        <w:rPr>
          <w:sz w:val="22"/>
          <w:szCs w:val="22"/>
        </w:rPr>
      </w:pPr>
      <w:r>
        <w:rPr>
          <w:sz w:val="22"/>
          <w:szCs w:val="22"/>
        </w:rPr>
        <w:t xml:space="preserve">caso </w:t>
      </w:r>
      <w:r w:rsidR="00EC25A3">
        <w:rPr>
          <w:sz w:val="22"/>
          <w:szCs w:val="22"/>
        </w:rPr>
        <w:t xml:space="preserve"> os contratos de arrendamento dos imóveis onde estão sendo desenvolvidos os Empreendimentos Imobiliários</w:t>
      </w:r>
      <w:r w:rsidR="00F15C23">
        <w:rPr>
          <w:sz w:val="22"/>
          <w:szCs w:val="22"/>
        </w:rPr>
        <w:t xml:space="preserve"> sejam por qualquer motivo, integral ou parcialmente resilidos, rescindidos ou por qualquer outra forma extintos.</w:t>
      </w:r>
    </w:p>
    <w:p w14:paraId="30C8070E" w14:textId="36A7496A" w:rsidR="004A35B4" w:rsidRDefault="004A35B4" w:rsidP="00C97DEE">
      <w:pPr>
        <w:pStyle w:val="PargrafodaLista"/>
        <w:spacing w:line="312" w:lineRule="auto"/>
        <w:ind w:left="0"/>
        <w:jc w:val="both"/>
        <w:rPr>
          <w:sz w:val="22"/>
          <w:szCs w:val="22"/>
        </w:rPr>
      </w:pPr>
    </w:p>
    <w:p w14:paraId="799A251B" w14:textId="77777777" w:rsidR="007C1837" w:rsidRPr="00BA75E8" w:rsidRDefault="007C1837"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57BCD3CA" w:rsidR="000B5724" w:rsidRPr="00BA75E8"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21355BD9" w14:textId="4DEF8BDA" w:rsidR="003C5791" w:rsidRDefault="003C5791" w:rsidP="000720A1">
      <w:pPr>
        <w:pStyle w:val="Level1"/>
        <w:numPr>
          <w:ilvl w:val="0"/>
          <w:numId w:val="56"/>
        </w:numPr>
        <w:spacing w:line="290" w:lineRule="auto"/>
        <w:ind w:left="0" w:firstLine="0"/>
        <w:jc w:val="both"/>
        <w:rPr>
          <w:sz w:val="22"/>
          <w:szCs w:val="22"/>
        </w:rPr>
      </w:pPr>
      <w:bookmarkStart w:id="103" w:name="_Hlk85186560"/>
      <w:r w:rsidRPr="00CA14B3">
        <w:rPr>
          <w:sz w:val="22"/>
          <w:szCs w:val="22"/>
        </w:rPr>
        <w:t>realização de redução do capital social da</w:t>
      </w:r>
      <w:r>
        <w:rPr>
          <w:sz w:val="22"/>
          <w:szCs w:val="22"/>
        </w:rPr>
        <w:t xml:space="preserve"> Emissora</w:t>
      </w:r>
      <w:r w:rsidRPr="00DB470A">
        <w:rPr>
          <w:sz w:val="22"/>
          <w:szCs w:val="22"/>
        </w:rPr>
        <w:t xml:space="preserve"> </w:t>
      </w:r>
      <w:r w:rsidRPr="00CA14B3">
        <w:rPr>
          <w:sz w:val="22"/>
          <w:szCs w:val="22"/>
        </w:rPr>
        <w:t>ou d</w:t>
      </w:r>
      <w:r>
        <w:rPr>
          <w:sz w:val="22"/>
          <w:szCs w:val="22"/>
        </w:rPr>
        <w:t xml:space="preserve">os Fiadores </w:t>
      </w:r>
      <w:r w:rsidRPr="00CA14B3">
        <w:rPr>
          <w:sz w:val="22"/>
          <w:szCs w:val="22"/>
        </w:rPr>
        <w:t xml:space="preserve">sem anuência prévia da Securitizadora a ser obtida após consulta formal aos </w:t>
      </w:r>
      <w:r>
        <w:rPr>
          <w:sz w:val="22"/>
          <w:szCs w:val="22"/>
        </w:rPr>
        <w:t>t</w:t>
      </w:r>
      <w:r w:rsidRPr="00CA14B3">
        <w:rPr>
          <w:sz w:val="22"/>
          <w:szCs w:val="22"/>
        </w:rPr>
        <w:t>itulares de CRI</w:t>
      </w:r>
      <w:bookmarkEnd w:id="103"/>
      <w:r w:rsidRPr="00CA14B3">
        <w:rPr>
          <w:sz w:val="22"/>
          <w:szCs w:val="22"/>
        </w:rPr>
        <w:t>;</w:t>
      </w:r>
    </w:p>
    <w:p w14:paraId="1FA378A0" w14:textId="77777777" w:rsidR="00947255" w:rsidRPr="00BA75E8" w:rsidRDefault="00947255" w:rsidP="0015636E">
      <w:pPr>
        <w:pStyle w:val="PargrafodaLista"/>
        <w:spacing w:line="312" w:lineRule="auto"/>
        <w:ind w:left="0"/>
        <w:jc w:val="both"/>
        <w:rPr>
          <w:sz w:val="22"/>
          <w:szCs w:val="22"/>
        </w:rPr>
      </w:pPr>
    </w:p>
    <w:p w14:paraId="556BED72" w14:textId="370E7494"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w:t>
      </w:r>
    </w:p>
    <w:p w14:paraId="7E1485EE" w14:textId="77777777" w:rsidR="00FE67D6" w:rsidRPr="00BA75E8" w:rsidRDefault="00FE67D6" w:rsidP="00CC0363">
      <w:pPr>
        <w:pStyle w:val="PargrafodaLista"/>
        <w:rPr>
          <w:sz w:val="22"/>
          <w:szCs w:val="22"/>
        </w:rPr>
      </w:pPr>
    </w:p>
    <w:p w14:paraId="32FDE8F3" w14:textId="4D4C8DA9"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lastRenderedPageBreak/>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w:t>
      </w:r>
    </w:p>
    <w:p w14:paraId="60BAF7B1" w14:textId="77777777" w:rsidR="004C5B30" w:rsidRPr="00BA75E8" w:rsidRDefault="004C5B30" w:rsidP="002759C3">
      <w:pPr>
        <w:pStyle w:val="PargrafodaLista"/>
        <w:spacing w:line="312" w:lineRule="auto"/>
        <w:ind w:left="0"/>
        <w:jc w:val="both"/>
        <w:rPr>
          <w:sz w:val="22"/>
          <w:szCs w:val="22"/>
        </w:rPr>
      </w:pPr>
    </w:p>
    <w:p w14:paraId="7D370877" w14:textId="0B100EB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p>
    <w:p w14:paraId="434CC154" w14:textId="77777777" w:rsidR="00947255" w:rsidRPr="00BA75E8" w:rsidRDefault="00947255" w:rsidP="002759C3">
      <w:pPr>
        <w:pStyle w:val="PargrafodaLista"/>
        <w:spacing w:line="312" w:lineRule="auto"/>
        <w:ind w:left="0"/>
        <w:jc w:val="both"/>
        <w:rPr>
          <w:sz w:val="22"/>
          <w:szCs w:val="22"/>
        </w:rPr>
      </w:pPr>
    </w:p>
    <w:p w14:paraId="72A19658" w14:textId="6E7BB9D6"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w:t>
      </w:r>
      <w:r w:rsidR="003C5791">
        <w:rPr>
          <w:sz w:val="22"/>
          <w:szCs w:val="22"/>
        </w:rPr>
        <w:t>nos Instrumentos de Emissão</w:t>
      </w:r>
      <w:r w:rsidRPr="00BA75E8">
        <w:rPr>
          <w:sz w:val="22"/>
          <w:szCs w:val="22"/>
        </w:rPr>
        <w:t>, que (i) não seja devidamente sanada no prazo de cura específico aplicável àquela obrigação; ou (</w:t>
      </w:r>
      <w:proofErr w:type="spellStart"/>
      <w:r w:rsidRPr="00BA75E8">
        <w:rPr>
          <w:sz w:val="22"/>
          <w:szCs w:val="22"/>
        </w:rPr>
        <w:t>ii</w:t>
      </w:r>
      <w:proofErr w:type="spellEnd"/>
      <w:r w:rsidRPr="00BA75E8">
        <w:rPr>
          <w:sz w:val="22"/>
          <w:szCs w:val="22"/>
        </w:rPr>
        <w:t xml:space="preserve">)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xml:space="preserve">) dias corridos contados </w:t>
      </w:r>
      <w:r w:rsidR="0052406D" w:rsidRPr="00BA75E8">
        <w:rPr>
          <w:sz w:val="22"/>
          <w:szCs w:val="22"/>
        </w:rPr>
        <w:t>do</w:t>
      </w:r>
      <w:r w:rsidRPr="00BA75E8">
        <w:rPr>
          <w:sz w:val="22"/>
          <w:szCs w:val="22"/>
        </w:rPr>
        <w:t xml:space="preserve"> descumprimento; </w:t>
      </w:r>
      <w:r w:rsidR="00B379CD">
        <w:rPr>
          <w:sz w:val="22"/>
          <w:szCs w:val="22"/>
        </w:rPr>
        <w:t xml:space="preserve"> </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B953663"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w:t>
      </w:r>
      <w:r w:rsidR="003C5791">
        <w:rPr>
          <w:sz w:val="22"/>
          <w:szCs w:val="22"/>
        </w:rPr>
        <w:t>s</w:t>
      </w:r>
      <w:r w:rsidR="00220043" w:rsidRPr="00BA75E8">
        <w:rPr>
          <w:sz w:val="22"/>
          <w:szCs w:val="22"/>
        </w:rPr>
        <w:t xml:space="preserve"> </w:t>
      </w:r>
      <w:r w:rsidR="003C5791">
        <w:rPr>
          <w:sz w:val="22"/>
          <w:szCs w:val="22"/>
        </w:rPr>
        <w:t>Devedoras</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04"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5" w:name="_Hlk12030812"/>
      <w:bookmarkEnd w:id="104"/>
      <w:r w:rsidRPr="00BA75E8">
        <w:rPr>
          <w:sz w:val="22"/>
          <w:szCs w:val="22"/>
        </w:rPr>
        <w:t xml:space="preserve">, que não sejam sanados nos prazos de cura previstos nos respectivos contratos; </w:t>
      </w:r>
    </w:p>
    <w:bookmarkEnd w:id="105"/>
    <w:p w14:paraId="2D838EE6" w14:textId="77777777" w:rsidR="00B07D22" w:rsidRPr="00BA75E8" w:rsidRDefault="00B07D22" w:rsidP="002759C3">
      <w:pPr>
        <w:pStyle w:val="PargrafodaLista"/>
        <w:spacing w:line="312" w:lineRule="auto"/>
        <w:ind w:left="0"/>
        <w:jc w:val="both"/>
        <w:rPr>
          <w:sz w:val="22"/>
          <w:szCs w:val="22"/>
        </w:rPr>
      </w:pPr>
    </w:p>
    <w:p w14:paraId="73747047" w14:textId="3C20AB08"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p>
    <w:p w14:paraId="1A5B65CB" w14:textId="77777777" w:rsidR="001F3C45" w:rsidRPr="00BA75E8" w:rsidRDefault="001F3C45" w:rsidP="001764C0">
      <w:pPr>
        <w:rPr>
          <w:sz w:val="22"/>
          <w:szCs w:val="22"/>
        </w:rPr>
      </w:pPr>
    </w:p>
    <w:p w14:paraId="1EDB54A2" w14:textId="09BD4C21" w:rsidR="00B07D22" w:rsidRPr="00BA75E8" w:rsidRDefault="003C5791" w:rsidP="002759C3">
      <w:pPr>
        <w:pStyle w:val="PargrafodaLista"/>
        <w:numPr>
          <w:ilvl w:val="0"/>
          <w:numId w:val="56"/>
        </w:numPr>
        <w:spacing w:line="312" w:lineRule="auto"/>
        <w:ind w:left="0" w:firstLine="0"/>
        <w:jc w:val="both"/>
        <w:rPr>
          <w:sz w:val="22"/>
          <w:szCs w:val="22"/>
        </w:rPr>
      </w:pPr>
      <w:r w:rsidRPr="002F0B3C">
        <w:rPr>
          <w:sz w:val="22"/>
          <w:szCs w:val="22"/>
        </w:rPr>
        <w:lastRenderedPageBreak/>
        <w:t>caso haja descumprimento, conforme ato decisório proferido por autoridade competente, ou caso qualquer autoridade no Brasil ou no exterior ingresse com qualquer ação, procedimento, processo (judicial ou administrativo)</w:t>
      </w:r>
      <w:r w:rsidRPr="003C5791">
        <w:rPr>
          <w:sz w:val="22"/>
        </w:rPr>
        <w:t xml:space="preserve"> e/ou </w:t>
      </w:r>
      <w:r w:rsidRPr="002F0B3C">
        <w:rPr>
          <w:sz w:val="22"/>
          <w:szCs w:val="22"/>
        </w:rPr>
        <w:t xml:space="preserve">adote qualquer medida punitiva </w:t>
      </w:r>
      <w:r>
        <w:rPr>
          <w:sz w:val="22"/>
          <w:szCs w:val="22"/>
        </w:rPr>
        <w:t xml:space="preserve">contra </w:t>
      </w:r>
      <w:r w:rsidR="00213CAA">
        <w:rPr>
          <w:sz w:val="22"/>
          <w:szCs w:val="22"/>
        </w:rPr>
        <w:t>a Emissora</w:t>
      </w:r>
      <w:r w:rsidRPr="00DB470A">
        <w:rPr>
          <w:sz w:val="22"/>
          <w:szCs w:val="22"/>
        </w:rPr>
        <w:t xml:space="preserve"> e/ou os</w:t>
      </w:r>
      <w:r w:rsidRPr="003C5791">
        <w:rPr>
          <w:sz w:val="22"/>
        </w:rPr>
        <w:t xml:space="preserve"> Fiadores, suas Controladas e Controladores, administradores e/ou acionistas agindo em nome </w:t>
      </w:r>
      <w:r w:rsidRPr="00BA75E8">
        <w:rPr>
          <w:sz w:val="22"/>
          <w:szCs w:val="22"/>
        </w:rPr>
        <w:t>da Emissora</w:t>
      </w:r>
      <w:r w:rsidRPr="003C5791">
        <w:rPr>
          <w:sz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3C5791">
        <w:rPr>
          <w:sz w:val="22"/>
          <w:u w:val="single"/>
        </w:rPr>
        <w:t>Leis Anticorrupção</w:t>
      </w:r>
      <w:r w:rsidRPr="003C5791">
        <w:rPr>
          <w:sz w:val="22"/>
        </w:rPr>
        <w:t>”), conforme aplicáveis</w:t>
      </w:r>
      <w:r w:rsidR="00B07D22" w:rsidRPr="00BA75E8">
        <w:rPr>
          <w:sz w:val="22"/>
          <w:szCs w:val="22"/>
        </w:rPr>
        <w:t xml:space="preserve">;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6D754EBD" w:rsidR="00B07D22" w:rsidRPr="00BA75E8" w:rsidRDefault="00B07D22" w:rsidP="002759C3">
      <w:pPr>
        <w:pStyle w:val="PargrafodaLista"/>
        <w:numPr>
          <w:ilvl w:val="0"/>
          <w:numId w:val="56"/>
        </w:numPr>
        <w:spacing w:line="312" w:lineRule="auto"/>
        <w:ind w:left="0" w:firstLine="0"/>
        <w:jc w:val="both"/>
        <w:rPr>
          <w:b/>
          <w:bCs/>
          <w:sz w:val="22"/>
          <w:szCs w:val="22"/>
        </w:rPr>
      </w:pPr>
      <w:bookmarkStart w:id="106"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w:t>
      </w:r>
      <w:r w:rsidR="00213CAA">
        <w:rPr>
          <w:sz w:val="22"/>
          <w:szCs w:val="22"/>
        </w:rPr>
        <w:t>es</w:t>
      </w:r>
      <w:r w:rsidRPr="00BA75E8">
        <w:rPr>
          <w:sz w:val="22"/>
          <w:szCs w:val="22"/>
        </w:rPr>
        <w:t xml:space="preserve">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844D61">
        <w:rPr>
          <w:sz w:val="22"/>
          <w:szCs w:val="22"/>
        </w:rPr>
        <w:t xml:space="preserve">, </w:t>
      </w:r>
      <w:r w:rsidR="00844D61" w:rsidRPr="007E2F06">
        <w:rPr>
          <w:sz w:val="22"/>
          <w:szCs w:val="22"/>
        </w:rPr>
        <w:t>desde que realizado de forma subordinada às Notas Comerciais</w:t>
      </w:r>
      <w:r w:rsidR="005B253D" w:rsidRPr="005B253D">
        <w:rPr>
          <w:sz w:val="22"/>
          <w:szCs w:val="22"/>
        </w:rPr>
        <w:t xml:space="preserve"> </w:t>
      </w:r>
      <w:r w:rsidR="005B253D">
        <w:rPr>
          <w:sz w:val="22"/>
          <w:szCs w:val="22"/>
        </w:rPr>
        <w:t>e com prazo de pagamento posterior à Data de Vencimento dos CRI</w:t>
      </w:r>
      <w:r w:rsidR="00D35966" w:rsidRPr="00BA75E8">
        <w:rPr>
          <w:sz w:val="22"/>
          <w:szCs w:val="22"/>
        </w:rPr>
        <w:t xml:space="preserve">; </w:t>
      </w:r>
      <w:bookmarkEnd w:id="106"/>
    </w:p>
    <w:p w14:paraId="1A1FE728" w14:textId="5D5BAECB" w:rsidR="001F3C45" w:rsidRPr="00BA75E8" w:rsidRDefault="001F3C45" w:rsidP="001764C0">
      <w:pPr>
        <w:pStyle w:val="PargrafodaLista"/>
        <w:rPr>
          <w:sz w:val="22"/>
          <w:szCs w:val="22"/>
        </w:rPr>
      </w:pPr>
    </w:p>
    <w:p w14:paraId="22400A97" w14:textId="40D78B25"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213CAA">
        <w:rPr>
          <w:sz w:val="22"/>
          <w:szCs w:val="22"/>
        </w:rPr>
        <w:t>pelas Devedoras</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7" w:name="_Hlk104485705"/>
      <w:r w:rsidR="00DF1162" w:rsidRPr="00BA75E8">
        <w:rPr>
          <w:sz w:val="22"/>
          <w:szCs w:val="22"/>
        </w:rPr>
        <w:t>titulares dos CRI</w:t>
      </w:r>
      <w:bookmarkEnd w:id="107"/>
      <w:r w:rsidR="00DF1162" w:rsidRPr="00BA75E8">
        <w:rPr>
          <w:sz w:val="22"/>
          <w:szCs w:val="22"/>
        </w:rPr>
        <w:t>;</w:t>
      </w:r>
      <w:r w:rsidR="00D762ED">
        <w:rPr>
          <w:sz w:val="22"/>
          <w:szCs w:val="22"/>
        </w:rPr>
        <w:t xml:space="preserve"> </w:t>
      </w:r>
    </w:p>
    <w:p w14:paraId="1C771F12" w14:textId="77777777" w:rsidR="00454158" w:rsidRPr="00BA75E8" w:rsidRDefault="00454158" w:rsidP="00CC0363">
      <w:pPr>
        <w:pStyle w:val="PargrafodaLista"/>
        <w:rPr>
          <w:sz w:val="22"/>
          <w:szCs w:val="22"/>
        </w:rPr>
      </w:pPr>
    </w:p>
    <w:p w14:paraId="58BE6D62" w14:textId="4F3AEF4D"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w:t>
      </w:r>
      <w:r w:rsidR="00213CAA">
        <w:rPr>
          <w:sz w:val="22"/>
          <w:szCs w:val="22"/>
        </w:rPr>
        <w:t>pelas Devedoras</w:t>
      </w:r>
      <w:r w:rsidR="003B1008" w:rsidRPr="00BA75E8">
        <w:rPr>
          <w:sz w:val="22"/>
          <w:szCs w:val="22"/>
        </w:rPr>
        <w:t xml:space="preserve"> ou por suas investidas</w:t>
      </w:r>
      <w:r w:rsidR="004646B5" w:rsidRPr="00BA75E8">
        <w:rPr>
          <w:sz w:val="22"/>
          <w:szCs w:val="22"/>
        </w:rPr>
        <w:t xml:space="preserve">,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13CAA">
        <w:rPr>
          <w:sz w:val="22"/>
          <w:szCs w:val="22"/>
        </w:rPr>
        <w:t>das Devedoras</w:t>
      </w:r>
      <w:r w:rsidR="00370D7C" w:rsidRPr="00BA75E8">
        <w:rPr>
          <w:sz w:val="22"/>
          <w:szCs w:val="22"/>
        </w:rPr>
        <w:t xml:space="preserve">, em benefício de qualquer terceiro exceto se autorizado em assembleia de titulares dos CRI; </w:t>
      </w:r>
    </w:p>
    <w:p w14:paraId="4F151E41" w14:textId="77777777" w:rsidR="007F297E" w:rsidRPr="00BA75E8" w:rsidRDefault="007F297E" w:rsidP="002759C3">
      <w:pPr>
        <w:pStyle w:val="PargrafodaLista"/>
        <w:spacing w:line="312" w:lineRule="auto"/>
        <w:ind w:left="0"/>
        <w:jc w:val="both"/>
        <w:rPr>
          <w:sz w:val="22"/>
          <w:szCs w:val="22"/>
        </w:rPr>
      </w:pPr>
    </w:p>
    <w:p w14:paraId="29F48E65" w14:textId="22FB32B1"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BA75E8">
        <w:rPr>
          <w:sz w:val="22"/>
          <w:szCs w:val="22"/>
        </w:rPr>
        <w:t>vii</w:t>
      </w:r>
      <w:proofErr w:type="spellEnd"/>
      <w:r w:rsidRPr="00BA75E8">
        <w:rPr>
          <w:sz w:val="22"/>
          <w:szCs w:val="22"/>
        </w:rPr>
        <w:t xml:space="preserve">) da Cláusula 5.1.1 acima, deste Instrumento de Emissão, anulando total ou parcialmente, questionando, revisando, cancelando, descaracterizando ou repudiando a validade de cláusulas ou revisando total ou parcialmente os termos e condições </w:t>
      </w:r>
      <w:r w:rsidR="00213CAA">
        <w:rPr>
          <w:sz w:val="22"/>
          <w:szCs w:val="22"/>
        </w:rPr>
        <w:t>dos Instrumentos de Emissão</w:t>
      </w:r>
      <w:r w:rsidRPr="00BA75E8">
        <w:rPr>
          <w:sz w:val="22"/>
          <w:szCs w:val="22"/>
        </w:rPr>
        <w:t>,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 xml:space="preserve">desapropriação, confisco ou qualquer outra medida de qualquer entidade governamental brasileira que resulte (a) na incapacidade da Emissora e/ou dos Fiadores de gerir seus negócios, desde que tal </w:t>
      </w:r>
      <w:r w:rsidRPr="00BA75E8">
        <w:rPr>
          <w:sz w:val="22"/>
          <w:szCs w:val="22"/>
        </w:rPr>
        <w:lastRenderedPageBreak/>
        <w:t>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08"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8"/>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7FF29282"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 xml:space="preserve">que implique mudança de controle (conforme a definição prevista no artigo 116 da Lei das Sociedades por Ações) </w:t>
      </w:r>
      <w:r w:rsidR="00213CAA">
        <w:rPr>
          <w:sz w:val="22"/>
          <w:szCs w:val="22"/>
        </w:rPr>
        <w:t>das Devedoras</w:t>
      </w:r>
      <w:r w:rsidRPr="00BA75E8">
        <w:rPr>
          <w:sz w:val="22"/>
          <w:szCs w:val="22"/>
        </w:rPr>
        <w:t>, exceto (a) no caso de incorporação pela</w:t>
      </w:r>
      <w:r w:rsidR="00213CAA">
        <w:rPr>
          <w:sz w:val="22"/>
          <w:szCs w:val="22"/>
        </w:rPr>
        <w:t>s</w:t>
      </w:r>
      <w:r w:rsidRPr="00BA75E8">
        <w:rPr>
          <w:sz w:val="22"/>
          <w:szCs w:val="22"/>
        </w:rPr>
        <w:t xml:space="preserve"> </w:t>
      </w:r>
      <w:r w:rsidR="00213CAA">
        <w:rPr>
          <w:sz w:val="22"/>
          <w:szCs w:val="22"/>
        </w:rPr>
        <w:t>Devedoras</w:t>
      </w:r>
      <w:r w:rsidR="00213CAA" w:rsidRPr="00BA75E8">
        <w:rPr>
          <w:sz w:val="22"/>
          <w:szCs w:val="22"/>
        </w:rPr>
        <w:t xml:space="preserve"> </w:t>
      </w:r>
      <w:r w:rsidRPr="00BA75E8">
        <w:rPr>
          <w:sz w:val="22"/>
          <w:szCs w:val="22"/>
        </w:rPr>
        <w:t>de qualquer Controlada, incluindo os Fiadores; (b) no caso de criação de subsidiárias e filial, pela</w:t>
      </w:r>
      <w:r w:rsidR="00213CAA">
        <w:rPr>
          <w:sz w:val="22"/>
          <w:szCs w:val="22"/>
        </w:rPr>
        <w:t>s</w:t>
      </w:r>
      <w:r w:rsidRPr="00BA75E8">
        <w:rPr>
          <w:sz w:val="22"/>
          <w:szCs w:val="22"/>
        </w:rPr>
        <w:t xml:space="preserve"> </w:t>
      </w:r>
      <w:r w:rsidR="00213CAA">
        <w:rPr>
          <w:sz w:val="22"/>
          <w:szCs w:val="22"/>
        </w:rPr>
        <w:t>Devedoras</w:t>
      </w:r>
      <w:r w:rsidRPr="00BA75E8">
        <w:rPr>
          <w:sz w:val="22"/>
          <w:szCs w:val="22"/>
        </w:rPr>
        <w:t>;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p>
    <w:p w14:paraId="47A1443D" w14:textId="77777777" w:rsidR="001F3C45" w:rsidRPr="00BA75E8" w:rsidRDefault="001F3C45" w:rsidP="001764C0">
      <w:pPr>
        <w:pStyle w:val="PargrafodaLista"/>
        <w:rPr>
          <w:sz w:val="22"/>
          <w:szCs w:val="22"/>
        </w:rPr>
      </w:pPr>
    </w:p>
    <w:p w14:paraId="6380B06D" w14:textId="66A25E6E" w:rsidR="00B07D22" w:rsidRPr="00BA75E8" w:rsidRDefault="00213CAA" w:rsidP="002759C3">
      <w:pPr>
        <w:pStyle w:val="PargrafodaLista"/>
        <w:numPr>
          <w:ilvl w:val="0"/>
          <w:numId w:val="56"/>
        </w:numPr>
        <w:spacing w:line="312" w:lineRule="auto"/>
        <w:ind w:left="0" w:firstLine="0"/>
        <w:jc w:val="both"/>
        <w:rPr>
          <w:sz w:val="22"/>
          <w:szCs w:val="22"/>
        </w:rPr>
      </w:pPr>
      <w:r w:rsidRPr="002F0B3C">
        <w:rPr>
          <w:sz w:val="22"/>
          <w:szCs w:val="22"/>
        </w:rPr>
        <w:t>caso haja descumprimento, conforme ato decisório proferido por autoridade competente</w:t>
      </w:r>
      <w:r w:rsidRPr="00213CAA">
        <w:rPr>
          <w:sz w:val="22"/>
        </w:rPr>
        <w:t xml:space="preserve">, ou </w:t>
      </w:r>
      <w:r w:rsidRPr="002F0B3C">
        <w:rPr>
          <w:sz w:val="22"/>
          <w:szCs w:val="22"/>
        </w:rPr>
        <w:t xml:space="preserve">caso </w:t>
      </w:r>
      <w:r w:rsidRPr="00213CAA">
        <w:rPr>
          <w:sz w:val="22"/>
        </w:rPr>
        <w:t xml:space="preserve">qualquer </w:t>
      </w:r>
      <w:r w:rsidRPr="002F0B3C">
        <w:rPr>
          <w:sz w:val="22"/>
          <w:szCs w:val="22"/>
        </w:rPr>
        <w:t>autoridade no Brasil ingresse com qualquer ação, procedimento, processo (judicial</w:t>
      </w:r>
      <w:r w:rsidRPr="00213CAA">
        <w:rPr>
          <w:sz w:val="22"/>
        </w:rPr>
        <w:t xml:space="preserve"> ou </w:t>
      </w:r>
      <w:r w:rsidRPr="002F0B3C">
        <w:rPr>
          <w:sz w:val="22"/>
          <w:szCs w:val="22"/>
        </w:rPr>
        <w:t>administrativo) e/ou adote qualquer medida punitiva</w:t>
      </w:r>
      <w:r w:rsidRPr="00213CAA">
        <w:rPr>
          <w:sz w:val="22"/>
        </w:rPr>
        <w:t xml:space="preserve"> referente a descumprimento, </w:t>
      </w:r>
      <w:r w:rsidRPr="00BA75E8">
        <w:rPr>
          <w:sz w:val="22"/>
          <w:szCs w:val="22"/>
        </w:rPr>
        <w:t>pela Emissora</w:t>
      </w:r>
      <w:r w:rsidRPr="00213CAA">
        <w:rPr>
          <w:sz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B07D22" w:rsidRPr="00BA75E8">
        <w:rPr>
          <w:sz w:val="22"/>
          <w:szCs w:val="22"/>
        </w:rPr>
        <w:t xml:space="preserve">;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6480A29A"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w:t>
      </w:r>
      <w:proofErr w:type="spellStart"/>
      <w:r w:rsidR="00EC452A" w:rsidRPr="00BA75E8">
        <w:rPr>
          <w:sz w:val="22"/>
          <w:szCs w:val="22"/>
        </w:rPr>
        <w:t>ii</w:t>
      </w:r>
      <w:proofErr w:type="spellEnd"/>
      <w:r w:rsidR="00EC452A" w:rsidRPr="00BA75E8">
        <w:rPr>
          <w:sz w:val="22"/>
          <w:szCs w:val="22"/>
        </w:rPr>
        <w:t xml:space="preserve">)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proofErr w:type="spellStart"/>
      <w:r w:rsidR="00C81EE4" w:rsidRPr="00BA75E8">
        <w:rPr>
          <w:sz w:val="22"/>
          <w:szCs w:val="22"/>
        </w:rPr>
        <w:t>iii</w:t>
      </w:r>
      <w:proofErr w:type="spellEnd"/>
      <w:r w:rsidR="00C81EE4" w:rsidRPr="00BA75E8">
        <w:rPr>
          <w:sz w:val="22"/>
          <w:szCs w:val="22"/>
        </w:rPr>
        <w:t xml:space="preserve">)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w:t>
      </w:r>
      <w:proofErr w:type="spellStart"/>
      <w:r w:rsidR="008E198E" w:rsidRPr="00BA75E8">
        <w:rPr>
          <w:sz w:val="22"/>
          <w:szCs w:val="22"/>
        </w:rPr>
        <w:t>iv</w:t>
      </w:r>
      <w:proofErr w:type="spellEnd"/>
      <w:r w:rsidR="008E198E" w:rsidRPr="00BA75E8">
        <w:rPr>
          <w:sz w:val="22"/>
          <w:szCs w:val="22"/>
        </w:rPr>
        <w:t xml:space="preserve">)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w:t>
      </w:r>
      <w:r w:rsidR="005057C2" w:rsidRPr="00BA75E8">
        <w:rPr>
          <w:sz w:val="22"/>
          <w:szCs w:val="22"/>
        </w:rPr>
        <w:lastRenderedPageBreak/>
        <w:t>da presente data</w:t>
      </w:r>
      <w:r w:rsidR="00693708" w:rsidRPr="00BA75E8">
        <w:rPr>
          <w:sz w:val="22"/>
          <w:szCs w:val="22"/>
        </w:rPr>
        <w:t>; (</w:t>
      </w:r>
      <w:proofErr w:type="spellStart"/>
      <w:r w:rsidR="00693708" w:rsidRPr="00BA75E8">
        <w:rPr>
          <w:sz w:val="22"/>
          <w:szCs w:val="22"/>
        </w:rPr>
        <w:t>vi</w:t>
      </w:r>
      <w:r w:rsidR="00331988" w:rsidRPr="00BA75E8">
        <w:rPr>
          <w:sz w:val="22"/>
          <w:szCs w:val="22"/>
        </w:rPr>
        <w:t>i</w:t>
      </w:r>
      <w:proofErr w:type="spellEnd"/>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w:t>
      </w:r>
      <w:proofErr w:type="spellStart"/>
      <w:r w:rsidR="00693708" w:rsidRPr="00BA75E8">
        <w:rPr>
          <w:sz w:val="22"/>
          <w:szCs w:val="22"/>
        </w:rPr>
        <w:t>vi</w:t>
      </w:r>
      <w:r w:rsidR="00331988" w:rsidRPr="00BA75E8">
        <w:rPr>
          <w:sz w:val="22"/>
          <w:szCs w:val="22"/>
        </w:rPr>
        <w:t>i</w:t>
      </w:r>
      <w:r w:rsidR="00693708" w:rsidRPr="00BA75E8">
        <w:rPr>
          <w:sz w:val="22"/>
          <w:szCs w:val="22"/>
        </w:rPr>
        <w:t>i</w:t>
      </w:r>
      <w:proofErr w:type="spellEnd"/>
      <w:r w:rsidR="00693708" w:rsidRPr="00BA75E8">
        <w:rPr>
          <w:sz w:val="22"/>
          <w:szCs w:val="22"/>
        </w:rPr>
        <w:t xml:space="preserve">)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proofErr w:type="spellStart"/>
      <w:r w:rsidR="00331988" w:rsidRPr="00BA75E8">
        <w:rPr>
          <w:sz w:val="22"/>
          <w:szCs w:val="22"/>
        </w:rPr>
        <w:t>ix</w:t>
      </w:r>
      <w:proofErr w:type="spellEnd"/>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FF62CC">
        <w:rPr>
          <w:sz w:val="22"/>
          <w:szCs w:val="22"/>
        </w:rPr>
        <w:t>; e (x)</w:t>
      </w:r>
      <w:r w:rsidR="003979B9">
        <w:rPr>
          <w:sz w:val="22"/>
          <w:szCs w:val="22"/>
        </w:rPr>
        <w:t xml:space="preserve"> dos Instrumentos de Emissão </w:t>
      </w:r>
      <w:r w:rsidR="0038797E" w:rsidRPr="00BA75E8">
        <w:rPr>
          <w:sz w:val="22"/>
          <w:szCs w:val="22"/>
        </w:rPr>
        <w:t xml:space="preserve">no prazo de 30 (trinta) dias corridos da presente data </w:t>
      </w:r>
      <w:r w:rsidR="003979B9">
        <w:rPr>
          <w:sz w:val="22"/>
          <w:szCs w:val="22"/>
        </w:rPr>
        <w:t>perante os</w:t>
      </w:r>
      <w:r w:rsidR="003979B9" w:rsidRPr="003979B9">
        <w:rPr>
          <w:sz w:val="22"/>
          <w:szCs w:val="22"/>
        </w:rPr>
        <w:t xml:space="preserve"> </w:t>
      </w:r>
      <w:r w:rsidR="003979B9" w:rsidRPr="00BA75E8">
        <w:rPr>
          <w:sz w:val="22"/>
          <w:szCs w:val="22"/>
        </w:rPr>
        <w:t>cartórios de registro de títulos e documentos das comarcas competentes</w:t>
      </w:r>
      <w:r w:rsidR="00462F89">
        <w:rPr>
          <w:sz w:val="22"/>
          <w:szCs w:val="22"/>
        </w:rPr>
        <w:t>;</w:t>
      </w:r>
      <w:r w:rsidR="003979B9">
        <w:rPr>
          <w:sz w:val="22"/>
          <w:szCs w:val="22"/>
        </w:rPr>
        <w:t xml:space="preserve"> </w:t>
      </w:r>
      <w:r w:rsidR="00E85A05" w:rsidRPr="00BA75E8">
        <w:rPr>
          <w:sz w:val="22"/>
          <w:szCs w:val="22"/>
        </w:rPr>
        <w:t xml:space="preserve"> </w:t>
      </w:r>
    </w:p>
    <w:p w14:paraId="59FC9CC7" w14:textId="77777777" w:rsidR="003D56E6" w:rsidRPr="00BA75E8" w:rsidRDefault="003D56E6" w:rsidP="0042578D">
      <w:pPr>
        <w:pStyle w:val="PargrafodaLista"/>
        <w:spacing w:line="312" w:lineRule="auto"/>
        <w:ind w:left="0"/>
        <w:jc w:val="both"/>
        <w:rPr>
          <w:sz w:val="22"/>
          <w:szCs w:val="22"/>
        </w:rPr>
      </w:pPr>
    </w:p>
    <w:p w14:paraId="74C77B25" w14:textId="7E0D89F5"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xml:space="preserve">, por qualquer razão, caso </w:t>
      </w:r>
      <w:r w:rsidR="00A33472">
        <w:rPr>
          <w:sz w:val="22"/>
          <w:szCs w:val="22"/>
        </w:rPr>
        <w:t>as Devedoras</w:t>
      </w:r>
      <w:r w:rsidRPr="00BA75E8">
        <w:rPr>
          <w:sz w:val="22"/>
          <w:szCs w:val="22"/>
        </w:rPr>
        <w:t xml:space="preserve"> não realize</w:t>
      </w:r>
      <w:r w:rsidR="00A33472">
        <w:rPr>
          <w:sz w:val="22"/>
          <w:szCs w:val="22"/>
        </w:rPr>
        <w:t>m</w:t>
      </w:r>
      <w:r w:rsidRPr="00BA75E8">
        <w:rPr>
          <w:sz w:val="22"/>
          <w:szCs w:val="22"/>
        </w:rPr>
        <w:t xml:space="preserve"> a recomposição ou constituição de nova garantia pela Emissora e/ou pelos Fiadores;</w:t>
      </w:r>
    </w:p>
    <w:bookmarkEnd w:id="100"/>
    <w:p w14:paraId="58D9D4A0" w14:textId="77777777" w:rsidR="004E5420" w:rsidRPr="00BA75E8" w:rsidRDefault="004E5420" w:rsidP="007E2F06">
      <w:pPr>
        <w:pStyle w:val="PargrafodaLista"/>
        <w:spacing w:line="312" w:lineRule="auto"/>
        <w:ind w:left="0"/>
        <w:jc w:val="both"/>
        <w:rPr>
          <w:sz w:val="22"/>
          <w:szCs w:val="22"/>
        </w:rPr>
      </w:pPr>
    </w:p>
    <w:p w14:paraId="0BE48548" w14:textId="68721F39"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 xml:space="preserve">caso </w:t>
      </w:r>
      <w:r w:rsidR="00A33472">
        <w:rPr>
          <w:sz w:val="22"/>
          <w:szCs w:val="22"/>
        </w:rPr>
        <w:t>as Devedoras</w:t>
      </w:r>
      <w:r w:rsidR="00E17E7F" w:rsidRPr="00BA75E8">
        <w:rPr>
          <w:sz w:val="22"/>
          <w:szCs w:val="22"/>
        </w:rPr>
        <w:t>, venha</w:t>
      </w:r>
      <w:r w:rsidR="00A33472">
        <w:rPr>
          <w:sz w:val="22"/>
          <w:szCs w:val="22"/>
        </w:rPr>
        <w:t>m</w:t>
      </w:r>
      <w:r w:rsidR="00E17E7F" w:rsidRPr="00BA75E8">
        <w:rPr>
          <w:sz w:val="22"/>
          <w:szCs w:val="22"/>
        </w:rPr>
        <w:t xml:space="preserve">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p>
    <w:p w14:paraId="025DD2E7" w14:textId="77777777" w:rsidR="00E530FB" w:rsidRPr="00BA75E8" w:rsidRDefault="00E530FB" w:rsidP="00E530FB">
      <w:pPr>
        <w:pStyle w:val="PargrafodaLista"/>
        <w:spacing w:line="312" w:lineRule="auto"/>
        <w:ind w:left="0"/>
        <w:jc w:val="both"/>
        <w:rPr>
          <w:sz w:val="22"/>
          <w:szCs w:val="22"/>
        </w:rPr>
      </w:pPr>
    </w:p>
    <w:p w14:paraId="6470A967" w14:textId="05FF6C3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se qualquer das obrigações assumidas pelo Fiduciante no âmbito da Alienação Fiduciária de Quotas não for cumprida na forma e quando devida, ou se 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Pr="00BA75E8">
        <w:rPr>
          <w:rFonts w:ascii="Times New Roman" w:hAnsi="Times New Roman"/>
          <w:sz w:val="22"/>
          <w:szCs w:val="22"/>
          <w:lang w:val="pt-BR"/>
        </w:rPr>
        <w:t>efetuar</w:t>
      </w:r>
      <w:r w:rsidR="00A33472">
        <w:rPr>
          <w:rFonts w:ascii="Times New Roman" w:hAnsi="Times New Roman"/>
          <w:sz w:val="22"/>
          <w:szCs w:val="22"/>
          <w:lang w:val="pt-BR"/>
        </w:rPr>
        <w:t>em</w:t>
      </w:r>
      <w:r w:rsidRPr="00BA75E8">
        <w:rPr>
          <w:rFonts w:ascii="Times New Roman" w:hAnsi="Times New Roman"/>
          <w:sz w:val="22"/>
          <w:szCs w:val="22"/>
          <w:lang w:val="pt-BR"/>
        </w:rPr>
        <w:t xml:space="preserve">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2E7073E"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t>se não forem mantidos em dia os pagamentos de todos os tributos, impostos, taxas ou quaisquer outras contribuições pela</w:t>
      </w:r>
      <w:r w:rsidR="00A33472">
        <w:rPr>
          <w:sz w:val="22"/>
          <w:szCs w:val="22"/>
        </w:rPr>
        <w:t>s</w:t>
      </w:r>
      <w:r w:rsidRPr="00BA75E8">
        <w:rPr>
          <w:sz w:val="22"/>
          <w:szCs w:val="22"/>
        </w:rPr>
        <w:t xml:space="preserve"> </w:t>
      </w:r>
      <w:r w:rsidR="00A33472">
        <w:rPr>
          <w:sz w:val="22"/>
          <w:szCs w:val="22"/>
        </w:rPr>
        <w:t>Devedoras</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640DB521"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w:t>
      </w:r>
      <w:r w:rsidR="00A33472">
        <w:rPr>
          <w:sz w:val="22"/>
          <w:szCs w:val="22"/>
        </w:rPr>
        <w:t>s</w:t>
      </w:r>
      <w:r w:rsidRPr="00BA75E8">
        <w:rPr>
          <w:sz w:val="22"/>
          <w:szCs w:val="22"/>
        </w:rPr>
        <w:t xml:space="preserve"> Fiduciante</w:t>
      </w:r>
      <w:r w:rsidR="00A33472">
        <w:rPr>
          <w:sz w:val="22"/>
          <w:szCs w:val="22"/>
        </w:rPr>
        <w:t>s</w:t>
      </w:r>
      <w:r w:rsidRPr="00BA75E8">
        <w:rPr>
          <w:sz w:val="22"/>
          <w:szCs w:val="22"/>
        </w:rPr>
        <w:t xml:space="preserve"> ou pela</w:t>
      </w:r>
      <w:r w:rsidR="00A33472">
        <w:rPr>
          <w:sz w:val="22"/>
          <w:szCs w:val="22"/>
        </w:rPr>
        <w:t>s</w:t>
      </w:r>
      <w:r w:rsidRPr="00BA75E8">
        <w:rPr>
          <w:sz w:val="22"/>
          <w:szCs w:val="22"/>
        </w:rPr>
        <w:t xml:space="preserve"> </w:t>
      </w:r>
      <w:r w:rsidR="00A33472">
        <w:rPr>
          <w:sz w:val="22"/>
          <w:szCs w:val="22"/>
        </w:rPr>
        <w:t>Devedoras</w:t>
      </w:r>
      <w:r w:rsidRPr="00BA75E8">
        <w:rPr>
          <w:sz w:val="22"/>
          <w:szCs w:val="22"/>
        </w:rPr>
        <w:t xml:space="preserve">, </w:t>
      </w:r>
      <w:r w:rsidR="00A33472">
        <w:rPr>
          <w:sz w:val="22"/>
          <w:szCs w:val="22"/>
        </w:rPr>
        <w:t xml:space="preserve">conforme aplicável, </w:t>
      </w:r>
      <w:r w:rsidRPr="00BA75E8">
        <w:rPr>
          <w:sz w:val="22"/>
          <w:szCs w:val="22"/>
        </w:rPr>
        <w:t>no prazo e forma determinados em lei</w:t>
      </w:r>
      <w:r w:rsidR="00E530FB" w:rsidRPr="00BA75E8">
        <w:rPr>
          <w:sz w:val="22"/>
          <w:szCs w:val="22"/>
        </w:rPr>
        <w:t>;</w:t>
      </w:r>
    </w:p>
    <w:p w14:paraId="3B3801BA" w14:textId="77777777" w:rsidR="0022152A" w:rsidRPr="007E2F06" w:rsidRDefault="0022152A" w:rsidP="007E2F06">
      <w:pPr>
        <w:pStyle w:val="PargrafodaLista"/>
        <w:rPr>
          <w:sz w:val="22"/>
          <w:szCs w:val="22"/>
        </w:rPr>
      </w:pPr>
    </w:p>
    <w:p w14:paraId="0BAC6A88" w14:textId="77777777" w:rsidR="000A6BAD" w:rsidRPr="00D47685" w:rsidRDefault="000A6BAD" w:rsidP="00D47685">
      <w:pPr>
        <w:pStyle w:val="PargrafodaLista"/>
        <w:rPr>
          <w:sz w:val="22"/>
          <w:szCs w:val="22"/>
        </w:rPr>
      </w:pPr>
    </w:p>
    <w:p w14:paraId="0B97FF48" w14:textId="2AFE467C" w:rsidR="00E530FB" w:rsidRPr="00BA75E8" w:rsidRDefault="00C82AFD" w:rsidP="00E530FB">
      <w:pPr>
        <w:pStyle w:val="Recuonormal"/>
        <w:numPr>
          <w:ilvl w:val="0"/>
          <w:numId w:val="56"/>
        </w:numPr>
        <w:spacing w:line="300" w:lineRule="auto"/>
        <w:ind w:left="0" w:firstLine="0"/>
        <w:jc w:val="both"/>
        <w:rPr>
          <w:rFonts w:ascii="Times New Roman" w:hAnsi="Times New Roman"/>
          <w:sz w:val="22"/>
          <w:szCs w:val="22"/>
          <w:lang w:val="pt-BR"/>
        </w:rPr>
      </w:pPr>
      <w:r>
        <w:rPr>
          <w:sz w:val="22"/>
          <w:szCs w:val="22"/>
        </w:rPr>
        <w:t xml:space="preserve"> </w:t>
      </w:r>
      <w:r w:rsidR="00E530FB"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00A33472">
        <w:rPr>
          <w:rFonts w:ascii="Times New Roman" w:hAnsi="Times New Roman"/>
          <w:sz w:val="22"/>
          <w:szCs w:val="22"/>
          <w:lang w:val="pt-BR"/>
        </w:rPr>
        <w:t>s</w:t>
      </w:r>
      <w:r w:rsidR="00E530FB" w:rsidRPr="00BA75E8">
        <w:rPr>
          <w:rFonts w:ascii="Times New Roman" w:hAnsi="Times New Roman"/>
          <w:sz w:val="22"/>
          <w:szCs w:val="22"/>
          <w:lang w:val="pt-BR"/>
        </w:rPr>
        <w:t xml:space="preserve"> Fiduciante</w:t>
      </w:r>
      <w:r w:rsidR="00A33472">
        <w:rPr>
          <w:rFonts w:ascii="Times New Roman" w:hAnsi="Times New Roman"/>
          <w:sz w:val="22"/>
          <w:szCs w:val="22"/>
          <w:lang w:val="pt-BR"/>
        </w:rPr>
        <w:t>s</w:t>
      </w:r>
      <w:r w:rsidR="00E530FB" w:rsidRPr="00BA75E8">
        <w:rPr>
          <w:rFonts w:ascii="Times New Roman" w:hAnsi="Times New Roman"/>
          <w:sz w:val="22"/>
          <w:szCs w:val="22"/>
          <w:lang w:val="pt-BR"/>
        </w:rPr>
        <w:t xml:space="preserve"> ceder</w:t>
      </w:r>
      <w:r w:rsidR="00A33472">
        <w:rPr>
          <w:rFonts w:ascii="Times New Roman" w:hAnsi="Times New Roman"/>
          <w:sz w:val="22"/>
          <w:szCs w:val="22"/>
          <w:lang w:val="pt-BR"/>
        </w:rPr>
        <w:t>em</w:t>
      </w:r>
      <w:r w:rsidR="00E530FB" w:rsidRPr="00BA75E8">
        <w:rPr>
          <w:rFonts w:ascii="Times New Roman" w:hAnsi="Times New Roman"/>
          <w:sz w:val="22"/>
          <w:szCs w:val="22"/>
          <w:lang w:val="pt-BR"/>
        </w:rPr>
        <w:t xml:space="preserve"> ou transferir</w:t>
      </w:r>
      <w:r w:rsidR="00A33472">
        <w:rPr>
          <w:rFonts w:ascii="Times New Roman" w:hAnsi="Times New Roman"/>
          <w:sz w:val="22"/>
          <w:szCs w:val="22"/>
          <w:lang w:val="pt-BR"/>
        </w:rPr>
        <w:t>em</w:t>
      </w:r>
      <w:r w:rsidR="00E530FB" w:rsidRPr="00BA75E8">
        <w:rPr>
          <w:rFonts w:ascii="Times New Roman" w:hAnsi="Times New Roman"/>
          <w:sz w:val="22"/>
          <w:szCs w:val="22"/>
          <w:lang w:val="pt-BR"/>
        </w:rPr>
        <w:t xml:space="preserve">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55807A92"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w:t>
      </w:r>
      <w:r w:rsidR="00A33472">
        <w:rPr>
          <w:rFonts w:ascii="Times New Roman" w:hAnsi="Times New Roman"/>
          <w:sz w:val="22"/>
          <w:szCs w:val="22"/>
          <w:lang w:val="pt-BR"/>
        </w:rPr>
        <w:t>das Devedoras</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56A04906"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ocorrência de quaisquer um dos eventos de vencimento antecipado previstos na Cláusula Sétima do Contrato de Alienação Fiduciária de Quotas; </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3CEB126C" w:rsidR="00E530FB"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a aprovação de qualquer deliberação societária que implique em redução de capital, cisão, liquidação, incorporação ou qualquer outro evento que altere a situação das quotas e dos direitos da</w:t>
      </w:r>
      <w:r w:rsidR="00A33472">
        <w:rPr>
          <w:rFonts w:ascii="Times New Roman" w:hAnsi="Times New Roman"/>
          <w:sz w:val="22"/>
          <w:szCs w:val="22"/>
          <w:lang w:val="pt-BR"/>
        </w:rPr>
        <w:t>s</w:t>
      </w:r>
      <w:r w:rsidRPr="00BA75E8">
        <w:rPr>
          <w:rFonts w:ascii="Times New Roman" w:hAnsi="Times New Roman"/>
          <w:sz w:val="22"/>
          <w:szCs w:val="22"/>
          <w:lang w:val="pt-BR"/>
        </w:rPr>
        <w:t xml:space="preserve"> </w:t>
      </w:r>
      <w:r w:rsidR="00A33472">
        <w:rPr>
          <w:rFonts w:ascii="Times New Roman" w:hAnsi="Times New Roman"/>
          <w:sz w:val="22"/>
          <w:szCs w:val="22"/>
          <w:lang w:val="pt-BR"/>
        </w:rPr>
        <w:t>Devedoras</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004673F5">
        <w:rPr>
          <w:rFonts w:ascii="Times New Roman" w:hAnsi="Times New Roman"/>
          <w:sz w:val="22"/>
          <w:szCs w:val="22"/>
          <w:lang w:val="pt-BR"/>
        </w:rPr>
        <w:t>;</w:t>
      </w:r>
    </w:p>
    <w:p w14:paraId="3ABAFC93" w14:textId="77777777" w:rsidR="004673F5" w:rsidRDefault="004673F5" w:rsidP="00752237">
      <w:pPr>
        <w:pStyle w:val="PargrafodaLista"/>
        <w:rPr>
          <w:sz w:val="22"/>
          <w:szCs w:val="22"/>
        </w:rPr>
      </w:pPr>
    </w:p>
    <w:p w14:paraId="751ED414" w14:textId="212E9BD8" w:rsidR="004673F5" w:rsidRDefault="00B97D08" w:rsidP="00E530FB">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c</w:t>
      </w:r>
      <w:r w:rsidR="004673F5">
        <w:rPr>
          <w:rFonts w:ascii="Times New Roman" w:hAnsi="Times New Roman"/>
          <w:sz w:val="22"/>
          <w:szCs w:val="22"/>
          <w:lang w:val="pt-BR"/>
        </w:rPr>
        <w:t>aso a</w:t>
      </w:r>
      <w:r w:rsidR="00A33472">
        <w:rPr>
          <w:rFonts w:ascii="Times New Roman" w:hAnsi="Times New Roman"/>
          <w:sz w:val="22"/>
          <w:szCs w:val="22"/>
          <w:lang w:val="pt-BR"/>
        </w:rPr>
        <w:t>s</w:t>
      </w:r>
      <w:r w:rsidR="004673F5">
        <w:rPr>
          <w:rFonts w:ascii="Times New Roman" w:hAnsi="Times New Roman"/>
          <w:sz w:val="22"/>
          <w:szCs w:val="22"/>
          <w:lang w:val="pt-BR"/>
        </w:rPr>
        <w:t xml:space="preserve"> </w:t>
      </w:r>
      <w:r w:rsidR="00A33472">
        <w:rPr>
          <w:rFonts w:ascii="Times New Roman" w:hAnsi="Times New Roman"/>
          <w:sz w:val="22"/>
          <w:szCs w:val="22"/>
          <w:lang w:val="pt-BR"/>
        </w:rPr>
        <w:t xml:space="preserve">Devedoras </w:t>
      </w:r>
      <w:r w:rsidR="004673F5">
        <w:rPr>
          <w:rFonts w:ascii="Times New Roman" w:hAnsi="Times New Roman"/>
          <w:sz w:val="22"/>
          <w:szCs w:val="22"/>
          <w:lang w:val="pt-BR"/>
        </w:rPr>
        <w:t>venha</w:t>
      </w:r>
      <w:r w:rsidR="00A33472">
        <w:rPr>
          <w:rFonts w:ascii="Times New Roman" w:hAnsi="Times New Roman"/>
          <w:sz w:val="22"/>
          <w:szCs w:val="22"/>
          <w:lang w:val="pt-BR"/>
        </w:rPr>
        <w:t>m</w:t>
      </w:r>
      <w:r w:rsidR="004673F5">
        <w:rPr>
          <w:rFonts w:ascii="Times New Roman" w:hAnsi="Times New Roman"/>
          <w:sz w:val="22"/>
          <w:szCs w:val="22"/>
          <w:lang w:val="pt-BR"/>
        </w:rPr>
        <w:t xml:space="preserve"> a desenvolver de forma </w:t>
      </w:r>
      <w:r w:rsidR="00E1785C">
        <w:rPr>
          <w:rFonts w:ascii="Times New Roman" w:hAnsi="Times New Roman"/>
          <w:sz w:val="22"/>
          <w:szCs w:val="22"/>
          <w:lang w:val="pt-BR"/>
        </w:rPr>
        <w:t>concomitante, outro projeto de geração de energia além do que será desenvolvido no Empreendimento Imobiliário</w:t>
      </w:r>
      <w:r w:rsidR="00920A59">
        <w:rPr>
          <w:rFonts w:ascii="Times New Roman" w:hAnsi="Times New Roman"/>
          <w:sz w:val="22"/>
          <w:szCs w:val="22"/>
          <w:lang w:val="pt-BR"/>
        </w:rPr>
        <w:t>, sem a prévia e expressa anuência da Credora, mediante deliberação dos Titulares dos CRI;</w:t>
      </w:r>
      <w:r w:rsidR="009A3F33">
        <w:rPr>
          <w:rFonts w:ascii="Times New Roman" w:hAnsi="Times New Roman"/>
          <w:sz w:val="22"/>
          <w:szCs w:val="22"/>
          <w:lang w:val="pt-BR"/>
        </w:rPr>
        <w:t xml:space="preserve"> e</w:t>
      </w:r>
    </w:p>
    <w:p w14:paraId="376EAB7A" w14:textId="77777777" w:rsidR="00910A95" w:rsidRDefault="00910A95" w:rsidP="00752237">
      <w:pPr>
        <w:pStyle w:val="PargrafodaLista"/>
        <w:rPr>
          <w:sz w:val="22"/>
          <w:szCs w:val="22"/>
        </w:rPr>
      </w:pPr>
    </w:p>
    <w:p w14:paraId="24345003" w14:textId="61B853C9" w:rsidR="00F777AE" w:rsidRPr="00BA75E8" w:rsidRDefault="00E64D4A" w:rsidP="00F777AE">
      <w:pPr>
        <w:pStyle w:val="Recuonormal"/>
        <w:numPr>
          <w:ilvl w:val="0"/>
          <w:numId w:val="56"/>
        </w:numPr>
        <w:spacing w:line="300" w:lineRule="auto"/>
        <w:ind w:left="0" w:firstLine="0"/>
        <w:jc w:val="both"/>
        <w:rPr>
          <w:rFonts w:ascii="Times New Roman" w:hAnsi="Times New Roman"/>
          <w:sz w:val="22"/>
          <w:szCs w:val="22"/>
          <w:lang w:val="pt-BR"/>
        </w:rPr>
      </w:pPr>
      <w:r>
        <w:rPr>
          <w:rFonts w:ascii="Times New Roman" w:hAnsi="Times New Roman"/>
          <w:sz w:val="22"/>
          <w:szCs w:val="22"/>
          <w:lang w:val="pt-BR"/>
        </w:rPr>
        <w:t xml:space="preserve">decorridos </w:t>
      </w:r>
      <w:r w:rsidR="007B1238">
        <w:rPr>
          <w:rFonts w:ascii="Times New Roman" w:hAnsi="Times New Roman"/>
          <w:sz w:val="22"/>
          <w:szCs w:val="22"/>
          <w:lang w:val="pt-BR"/>
        </w:rPr>
        <w:t>[</w:t>
      </w:r>
      <w:r w:rsidR="007B1238" w:rsidRPr="008E3237">
        <w:rPr>
          <w:rFonts w:ascii="Times New Roman" w:hAnsi="Times New Roman"/>
          <w:sz w:val="22"/>
          <w:szCs w:val="22"/>
          <w:highlight w:val="yellow"/>
          <w:lang w:val="pt-BR"/>
        </w:rPr>
        <w:t>completar</w:t>
      </w:r>
      <w:r w:rsidR="007B1238">
        <w:rPr>
          <w:rFonts w:ascii="Times New Roman" w:hAnsi="Times New Roman"/>
          <w:sz w:val="22"/>
          <w:szCs w:val="22"/>
          <w:lang w:val="pt-BR"/>
        </w:rPr>
        <w:t>]</w:t>
      </w:r>
      <w:r>
        <w:rPr>
          <w:rFonts w:ascii="Times New Roman" w:hAnsi="Times New Roman"/>
          <w:sz w:val="22"/>
          <w:szCs w:val="22"/>
          <w:lang w:val="pt-BR"/>
        </w:rPr>
        <w:t xml:space="preserve"> meses após a conclusão da obra ter sido atestada pela Empresa de Engenharia, deixe de ser observado </w:t>
      </w:r>
      <w:r w:rsidR="00373620">
        <w:rPr>
          <w:rFonts w:ascii="Times New Roman" w:hAnsi="Times New Roman"/>
          <w:sz w:val="22"/>
          <w:szCs w:val="22"/>
          <w:lang w:val="pt-BR"/>
        </w:rPr>
        <w:t xml:space="preserve">em cada Data de Verificação, </w:t>
      </w:r>
      <w:r>
        <w:rPr>
          <w:rFonts w:ascii="Times New Roman" w:hAnsi="Times New Roman"/>
          <w:sz w:val="22"/>
          <w:szCs w:val="22"/>
          <w:lang w:val="pt-BR"/>
        </w:rPr>
        <w:t>um Índice de Cobertura do Serviço da Dívida mensal, inferior a 120% (cento e vinte por cento) da</w:t>
      </w:r>
      <w:r w:rsidR="0078592F">
        <w:rPr>
          <w:rFonts w:ascii="Times New Roman" w:hAnsi="Times New Roman"/>
          <w:sz w:val="22"/>
          <w:szCs w:val="22"/>
          <w:lang w:val="pt-BR"/>
        </w:rPr>
        <w:t>s</w:t>
      </w:r>
      <w:r>
        <w:rPr>
          <w:rFonts w:ascii="Times New Roman" w:hAnsi="Times New Roman"/>
          <w:sz w:val="22"/>
          <w:szCs w:val="22"/>
          <w:lang w:val="pt-BR"/>
        </w:rPr>
        <w:t xml:space="preserve"> parcela</w:t>
      </w:r>
      <w:r w:rsidR="0078592F">
        <w:rPr>
          <w:rFonts w:ascii="Times New Roman" w:hAnsi="Times New Roman"/>
          <w:sz w:val="22"/>
          <w:szCs w:val="22"/>
          <w:lang w:val="pt-BR"/>
        </w:rPr>
        <w:t>s</w:t>
      </w:r>
      <w:r>
        <w:rPr>
          <w:rFonts w:ascii="Times New Roman" w:hAnsi="Times New Roman"/>
          <w:sz w:val="22"/>
          <w:szCs w:val="22"/>
          <w:lang w:val="pt-BR"/>
        </w:rPr>
        <w:t xml:space="preserve"> de amortização e de remuneração mensal previstos nos Instrumentos de Emissão</w:t>
      </w:r>
      <w:r w:rsidR="00A7640B">
        <w:rPr>
          <w:rFonts w:ascii="Times New Roman" w:hAnsi="Times New Roman"/>
          <w:sz w:val="22"/>
          <w:szCs w:val="22"/>
          <w:lang w:val="pt-BR"/>
        </w:rPr>
        <w:t xml:space="preserve">, sendo certo que somente serão considerados no cálculo os recebíveis dos </w:t>
      </w:r>
      <w:proofErr w:type="spellStart"/>
      <w:r w:rsidR="00A7640B">
        <w:rPr>
          <w:rFonts w:ascii="Times New Roman" w:hAnsi="Times New Roman"/>
          <w:sz w:val="22"/>
          <w:szCs w:val="22"/>
          <w:lang w:val="pt-BR"/>
        </w:rPr>
        <w:t>PPAs</w:t>
      </w:r>
      <w:proofErr w:type="spellEnd"/>
      <w:r w:rsidR="00B760C3">
        <w:rPr>
          <w:rFonts w:ascii="Times New Roman" w:hAnsi="Times New Roman"/>
          <w:sz w:val="22"/>
          <w:szCs w:val="22"/>
          <w:lang w:val="pt-BR"/>
        </w:rPr>
        <w:t xml:space="preserve"> que transitarem nas contas vinculadas e que tenham sido efetivamente pagos pelos Clientes</w:t>
      </w:r>
      <w:r w:rsidR="009A3F33">
        <w:rPr>
          <w:rFonts w:ascii="Times New Roman" w:hAnsi="Times New Roman"/>
          <w:sz w:val="22"/>
          <w:szCs w:val="22"/>
          <w:lang w:val="pt-BR"/>
        </w:rPr>
        <w:t>.</w:t>
      </w:r>
      <w:r w:rsidR="00F777AE" w:rsidRPr="00F777AE">
        <w:rPr>
          <w:rFonts w:ascii="Times New Roman" w:hAnsi="Times New Roman"/>
          <w:sz w:val="22"/>
          <w:szCs w:val="22"/>
          <w:lang w:val="pt-BR"/>
        </w:rPr>
        <w:t xml:space="preserve"> </w:t>
      </w:r>
      <w:r w:rsidR="007B1238">
        <w:rPr>
          <w:rFonts w:ascii="Times New Roman" w:hAnsi="Times New Roman"/>
          <w:b/>
          <w:bCs/>
          <w:sz w:val="22"/>
          <w:szCs w:val="22"/>
          <w:lang w:val="pt-BR"/>
        </w:rPr>
        <w:t>[</w:t>
      </w:r>
      <w:r w:rsidR="007B1238" w:rsidRPr="008E3237">
        <w:rPr>
          <w:rFonts w:ascii="Times New Roman" w:hAnsi="Times New Roman"/>
          <w:b/>
          <w:bCs/>
          <w:sz w:val="22"/>
          <w:szCs w:val="22"/>
          <w:highlight w:val="yellow"/>
          <w:lang w:val="pt-BR"/>
        </w:rPr>
        <w:t xml:space="preserve">Nota Coelho Advogados: Aguardando definição </w:t>
      </w:r>
      <w:r w:rsidR="0004485D" w:rsidRPr="008E3237">
        <w:rPr>
          <w:rFonts w:ascii="Times New Roman" w:hAnsi="Times New Roman"/>
          <w:b/>
          <w:bCs/>
          <w:sz w:val="22"/>
          <w:szCs w:val="22"/>
          <w:highlight w:val="yellow"/>
          <w:lang w:val="pt-BR"/>
        </w:rPr>
        <w:t>do prazo</w:t>
      </w:r>
      <w:r w:rsidR="0004485D">
        <w:rPr>
          <w:rFonts w:ascii="Times New Roman" w:hAnsi="Times New Roman"/>
          <w:b/>
          <w:bCs/>
          <w:sz w:val="22"/>
          <w:szCs w:val="22"/>
          <w:lang w:val="pt-BR"/>
        </w:rPr>
        <w:t>]</w:t>
      </w:r>
    </w:p>
    <w:p w14:paraId="7AD6CEC9" w14:textId="77777777" w:rsidR="00F777AE" w:rsidRDefault="00F777AE" w:rsidP="00F777AE">
      <w:pPr>
        <w:pStyle w:val="PargrafodaLista"/>
        <w:spacing w:line="312" w:lineRule="auto"/>
        <w:ind w:left="0"/>
        <w:jc w:val="both"/>
        <w:rPr>
          <w:sz w:val="22"/>
          <w:szCs w:val="22"/>
        </w:rPr>
      </w:pPr>
    </w:p>
    <w:p w14:paraId="1DC7E8B6" w14:textId="404D8565" w:rsidR="00F777AE" w:rsidRPr="007E2F06" w:rsidRDefault="00F777AE" w:rsidP="007E2F06">
      <w:pPr>
        <w:pStyle w:val="Recuonormal"/>
        <w:numPr>
          <w:ilvl w:val="0"/>
          <w:numId w:val="56"/>
        </w:numPr>
        <w:spacing w:line="300" w:lineRule="auto"/>
        <w:ind w:left="0" w:firstLine="0"/>
        <w:jc w:val="both"/>
        <w:rPr>
          <w:rFonts w:ascii="Times New Roman" w:hAnsi="Times New Roman"/>
          <w:sz w:val="22"/>
          <w:szCs w:val="22"/>
        </w:rPr>
      </w:pPr>
      <w:r w:rsidRPr="007E2F06">
        <w:rPr>
          <w:rFonts w:ascii="Times New Roman" w:hAnsi="Times New Roman"/>
          <w:sz w:val="22"/>
          <w:szCs w:val="22"/>
          <w:lang w:val="pt-BR"/>
        </w:rPr>
        <w:t xml:space="preserve">não observância, pela </w:t>
      </w:r>
      <w:bookmarkStart w:id="109" w:name="_Hlk106617608"/>
      <w:r>
        <w:rPr>
          <w:rFonts w:ascii="Times New Roman" w:hAnsi="Times New Roman"/>
          <w:sz w:val="22"/>
          <w:szCs w:val="22"/>
          <w:lang w:val="pt-BR"/>
        </w:rPr>
        <w:t>Welt</w:t>
      </w:r>
      <w:bookmarkEnd w:id="109"/>
      <w:r w:rsidRPr="007E2F06">
        <w:rPr>
          <w:rFonts w:ascii="Times New Roman" w:hAnsi="Times New Roman"/>
          <w:sz w:val="22"/>
          <w:szCs w:val="22"/>
          <w:lang w:val="pt-BR"/>
        </w:rPr>
        <w:t>, dos seguintes limites e índices financeiros (“</w:t>
      </w:r>
      <w:r w:rsidRPr="007E2F06">
        <w:rPr>
          <w:rFonts w:ascii="Times New Roman" w:hAnsi="Times New Roman"/>
          <w:sz w:val="22"/>
          <w:szCs w:val="22"/>
          <w:u w:val="single"/>
          <w:lang w:val="pt-BR"/>
        </w:rPr>
        <w:t>Índices Financeiros</w:t>
      </w:r>
      <w:r w:rsidRPr="007E2F06">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(ou objeto de revisão especial) da </w:t>
      </w:r>
      <w:r>
        <w:rPr>
          <w:rFonts w:ascii="Times New Roman" w:hAnsi="Times New Roman"/>
          <w:sz w:val="22"/>
          <w:szCs w:val="22"/>
          <w:lang w:val="pt-BR"/>
        </w:rPr>
        <w:t>Welt</w:t>
      </w:r>
      <w:r w:rsidRPr="007E2F06">
        <w:rPr>
          <w:rFonts w:ascii="Times New Roman" w:hAnsi="Times New Roman"/>
          <w:sz w:val="22"/>
          <w:szCs w:val="22"/>
          <w:lang w:val="pt-BR"/>
        </w:rPr>
        <w:t xml:space="preserve">, e apostas as respectivas rubricas pelos auditores independentes,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E2F06">
        <w:rPr>
          <w:rFonts w:ascii="Times New Roman" w:hAnsi="Times New Roman"/>
          <w:sz w:val="22"/>
          <w:szCs w:val="22"/>
          <w:lang w:val="pt-BR"/>
        </w:rPr>
        <w:t xml:space="preserve">encaminhará todos os documentos necessários juntamente com cálculo inicial deste item para validação da </w:t>
      </w:r>
      <w:r>
        <w:rPr>
          <w:rFonts w:ascii="Times New Roman" w:hAnsi="Times New Roman"/>
          <w:sz w:val="22"/>
          <w:szCs w:val="22"/>
          <w:lang w:val="pt-BR"/>
        </w:rPr>
        <w:t>Credora</w:t>
      </w:r>
      <w:r w:rsidRPr="007E2F06">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04485D" w:rsidRPr="007E2F06">
        <w:rPr>
          <w:rFonts w:ascii="Times New Roman" w:hAnsi="Times New Roman"/>
          <w:sz w:val="22"/>
          <w:szCs w:val="22"/>
          <w:lang w:val="pt-BR"/>
        </w:rPr>
        <w:t>202</w:t>
      </w:r>
      <w:r w:rsidR="0004485D">
        <w:rPr>
          <w:rFonts w:ascii="Times New Roman" w:hAnsi="Times New Roman"/>
          <w:sz w:val="22"/>
          <w:szCs w:val="22"/>
          <w:lang w:val="pt-BR"/>
        </w:rPr>
        <w:t>3</w:t>
      </w:r>
      <w:r w:rsidRPr="007E2F06">
        <w:rPr>
          <w:rFonts w:ascii="Times New Roman" w:hAnsi="Times New Roman"/>
          <w:sz w:val="22"/>
          <w:szCs w:val="22"/>
          <w:lang w:val="pt-BR"/>
        </w:rPr>
        <w:t>:</w:t>
      </w:r>
    </w:p>
    <w:p w14:paraId="193752FB" w14:textId="77777777" w:rsidR="00F777AE" w:rsidRDefault="00F777AE" w:rsidP="00F777AE">
      <w:pPr>
        <w:pStyle w:val="PargrafodaLista"/>
        <w:spacing w:line="312" w:lineRule="auto"/>
        <w:ind w:left="0"/>
        <w:jc w:val="both"/>
        <w:rPr>
          <w:sz w:val="22"/>
          <w:szCs w:val="22"/>
        </w:rPr>
      </w:pPr>
    </w:p>
    <w:p w14:paraId="7A7717E2" w14:textId="77777777" w:rsidR="00F777AE" w:rsidRDefault="00F777AE" w:rsidP="007E2F06">
      <w:pPr>
        <w:pStyle w:val="PargrafodaLista"/>
        <w:spacing w:line="312" w:lineRule="auto"/>
        <w:ind w:left="1440"/>
        <w:jc w:val="both"/>
        <w:rPr>
          <w:sz w:val="22"/>
          <w:szCs w:val="22"/>
        </w:rPr>
      </w:pPr>
      <w:r w:rsidRPr="000720A1">
        <w:rPr>
          <w:sz w:val="22"/>
          <w:szCs w:val="22"/>
        </w:rPr>
        <w:t>Dívida Líquida / EBITDA menor ou igual a: [</w:t>
      </w:r>
      <w:r w:rsidRPr="000720A1">
        <w:rPr>
          <w:b/>
          <w:bCs/>
          <w:sz w:val="22"/>
          <w:szCs w:val="22"/>
          <w:highlight w:val="yellow"/>
        </w:rPr>
        <w:t>... x até o vencimento</w:t>
      </w:r>
      <w:r w:rsidRPr="000720A1">
        <w:rPr>
          <w:sz w:val="22"/>
          <w:szCs w:val="22"/>
        </w:rPr>
        <w:t>]</w:t>
      </w:r>
    </w:p>
    <w:p w14:paraId="45DC3BDA" w14:textId="77777777" w:rsidR="00F777AE" w:rsidRDefault="00F777AE" w:rsidP="00F777AE">
      <w:pPr>
        <w:pStyle w:val="PargrafodaLista"/>
        <w:spacing w:line="312" w:lineRule="auto"/>
        <w:jc w:val="both"/>
        <w:rPr>
          <w:sz w:val="22"/>
          <w:szCs w:val="22"/>
        </w:rPr>
      </w:pPr>
    </w:p>
    <w:p w14:paraId="3AA3C2A3" w14:textId="1593DCC8" w:rsidR="00910A95" w:rsidRPr="00F83363" w:rsidRDefault="00F777AE" w:rsidP="000720A1">
      <w:pPr>
        <w:pStyle w:val="Recuonormal"/>
        <w:spacing w:line="300" w:lineRule="auto"/>
        <w:ind w:left="0"/>
        <w:jc w:val="both"/>
        <w:rPr>
          <w:rFonts w:ascii="Times New Roman" w:hAnsi="Times New Roman"/>
          <w:sz w:val="22"/>
          <w:szCs w:val="22"/>
          <w:lang w:val="pt-BR"/>
        </w:rPr>
      </w:pPr>
      <w:r w:rsidRPr="007E2F06">
        <w:rPr>
          <w:sz w:val="22"/>
          <w:szCs w:val="22"/>
          <w:lang w:val="pt-BR"/>
        </w:rPr>
        <w:t xml:space="preserve">Sendo que, para os fins deste Instrumento de Emissão, entende-se por </w:t>
      </w:r>
      <w:r w:rsidRPr="007E2F06">
        <w:rPr>
          <w:b/>
          <w:bCs/>
          <w:sz w:val="22"/>
          <w:szCs w:val="22"/>
          <w:lang w:val="pt-BR"/>
        </w:rPr>
        <w:t>(A)</w:t>
      </w:r>
      <w:r w:rsidRPr="007E2F06">
        <w:rPr>
          <w:sz w:val="22"/>
          <w:szCs w:val="22"/>
          <w:lang w:val="pt-BR"/>
        </w:rPr>
        <w:t xml:space="preserve"> “</w:t>
      </w:r>
      <w:r w:rsidRPr="007E2F06">
        <w:rPr>
          <w:sz w:val="22"/>
          <w:szCs w:val="22"/>
          <w:u w:val="single"/>
          <w:lang w:val="pt-BR"/>
        </w:rPr>
        <w:t>Dívida Líquida</w:t>
      </w:r>
      <w:r w:rsidRPr="007E2F06">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E2F06">
        <w:rPr>
          <w:b/>
          <w:bCs/>
          <w:sz w:val="22"/>
          <w:szCs w:val="22"/>
          <w:lang w:val="pt-BR"/>
        </w:rPr>
        <w:t xml:space="preserve">(B) </w:t>
      </w:r>
      <w:r w:rsidRPr="007E2F06">
        <w:rPr>
          <w:sz w:val="22"/>
          <w:szCs w:val="22"/>
          <w:lang w:val="pt-BR"/>
        </w:rPr>
        <w:t>“</w:t>
      </w:r>
      <w:r w:rsidRPr="007E2F06">
        <w:rPr>
          <w:sz w:val="22"/>
          <w:szCs w:val="22"/>
          <w:u w:val="single"/>
          <w:lang w:val="pt-BR"/>
        </w:rPr>
        <w:t>EBITDA</w:t>
      </w:r>
      <w:r w:rsidRPr="007E2F06">
        <w:rPr>
          <w:sz w:val="22"/>
          <w:szCs w:val="22"/>
          <w:lang w:val="pt-BR"/>
        </w:rPr>
        <w:t>”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Credora. [</w:t>
      </w:r>
      <w:r w:rsidR="00CD3FB7" w:rsidRPr="008E3237">
        <w:rPr>
          <w:b/>
          <w:bCs/>
          <w:sz w:val="22"/>
          <w:szCs w:val="22"/>
          <w:highlight w:val="yellow"/>
          <w:lang w:val="pt-BR"/>
        </w:rPr>
        <w:t>N</w:t>
      </w:r>
      <w:r w:rsidRPr="008E3237">
        <w:rPr>
          <w:b/>
          <w:bCs/>
          <w:sz w:val="22"/>
          <w:szCs w:val="22"/>
          <w:highlight w:val="yellow"/>
          <w:lang w:val="pt-BR"/>
        </w:rPr>
        <w:t xml:space="preserve">ota </w:t>
      </w:r>
      <w:r w:rsidR="000E77AF" w:rsidRPr="008E3237">
        <w:rPr>
          <w:b/>
          <w:bCs/>
          <w:sz w:val="22"/>
          <w:szCs w:val="22"/>
          <w:highlight w:val="yellow"/>
          <w:lang w:val="pt-BR"/>
        </w:rPr>
        <w:t>Coelho Advogados</w:t>
      </w:r>
      <w:r w:rsidRPr="007E2F06">
        <w:rPr>
          <w:sz w:val="22"/>
          <w:szCs w:val="22"/>
          <w:highlight w:val="yellow"/>
          <w:lang w:val="pt-BR"/>
        </w:rPr>
        <w:t xml:space="preserve">: </w:t>
      </w:r>
      <w:r w:rsidR="000E77AF" w:rsidRPr="008E3237">
        <w:rPr>
          <w:b/>
          <w:bCs/>
          <w:sz w:val="22"/>
          <w:szCs w:val="22"/>
          <w:highlight w:val="yellow"/>
          <w:lang w:val="pt-BR"/>
        </w:rPr>
        <w:t>Aguardando confirmação</w:t>
      </w:r>
      <w:r w:rsidR="00BC372B" w:rsidRPr="008E3237">
        <w:rPr>
          <w:b/>
          <w:bCs/>
          <w:sz w:val="22"/>
          <w:szCs w:val="22"/>
          <w:highlight w:val="yellow"/>
          <w:lang w:val="pt-BR"/>
        </w:rPr>
        <w:t xml:space="preserve"> da manutenção do </w:t>
      </w:r>
      <w:proofErr w:type="spellStart"/>
      <w:r w:rsidR="00BC372B" w:rsidRPr="008E3237">
        <w:rPr>
          <w:b/>
          <w:bCs/>
          <w:sz w:val="22"/>
          <w:szCs w:val="22"/>
          <w:highlight w:val="yellow"/>
          <w:lang w:val="pt-BR"/>
        </w:rPr>
        <w:t>covenant</w:t>
      </w:r>
      <w:proofErr w:type="spellEnd"/>
      <w:r w:rsidR="00BC372B" w:rsidRPr="008E3237">
        <w:rPr>
          <w:b/>
          <w:bCs/>
          <w:sz w:val="22"/>
          <w:szCs w:val="22"/>
          <w:highlight w:val="yellow"/>
          <w:lang w:val="pt-BR"/>
        </w:rPr>
        <w:t xml:space="preserve"> e seus termos</w:t>
      </w:r>
      <w:r w:rsidRPr="007E2F06">
        <w:rPr>
          <w:sz w:val="22"/>
          <w:szCs w:val="22"/>
          <w:lang w:val="pt-BR"/>
        </w:rPr>
        <w:t>]</w:t>
      </w:r>
    </w:p>
    <w:p w14:paraId="3D9A59A4" w14:textId="77777777" w:rsidR="00844D61" w:rsidRPr="00BA75E8" w:rsidRDefault="00844D61" w:rsidP="002759C3">
      <w:pPr>
        <w:pStyle w:val="PargrafodaLista"/>
        <w:spacing w:line="312" w:lineRule="auto"/>
        <w:ind w:left="0"/>
        <w:jc w:val="both"/>
        <w:rPr>
          <w:sz w:val="22"/>
          <w:szCs w:val="22"/>
        </w:rPr>
      </w:pPr>
    </w:p>
    <w:p w14:paraId="6396A849" w14:textId="652B0080"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0" w:name="_Toc224745192"/>
      <w:bookmarkStart w:id="111" w:name="_Toc264552493"/>
      <w:bookmarkStart w:id="112"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w:t>
      </w:r>
      <w:proofErr w:type="spellStart"/>
      <w:r w:rsidR="003D523E" w:rsidRPr="00BA75E8">
        <w:rPr>
          <w:rFonts w:ascii="Times New Roman" w:hAnsi="Times New Roman" w:cs="Times New Roman"/>
          <w:b w:val="0"/>
          <w:bCs w:val="0"/>
          <w:caps w:val="0"/>
          <w:sz w:val="22"/>
          <w:szCs w:val="22"/>
        </w:rPr>
        <w:t>ii</w:t>
      </w:r>
      <w:proofErr w:type="spellEnd"/>
      <w:r w:rsidR="003D523E" w:rsidRPr="00BA75E8">
        <w:rPr>
          <w:rFonts w:ascii="Times New Roman" w:hAnsi="Times New Roman" w:cs="Times New Roman"/>
          <w:b w:val="0"/>
          <w:bCs w:val="0"/>
          <w:caps w:val="0"/>
          <w:sz w:val="22"/>
          <w:szCs w:val="22"/>
        </w:rPr>
        <w:t>) não manifestação dos titulares dos CRI; ou (</w:t>
      </w:r>
      <w:proofErr w:type="spellStart"/>
      <w:r w:rsidR="003D523E" w:rsidRPr="00BA75E8">
        <w:rPr>
          <w:rFonts w:ascii="Times New Roman" w:hAnsi="Times New Roman" w:cs="Times New Roman"/>
          <w:b w:val="0"/>
          <w:bCs w:val="0"/>
          <w:caps w:val="0"/>
          <w:sz w:val="22"/>
          <w:szCs w:val="22"/>
        </w:rPr>
        <w:t>iii</w:t>
      </w:r>
      <w:proofErr w:type="spellEnd"/>
      <w:r w:rsidR="003D523E" w:rsidRPr="00BA75E8">
        <w:rPr>
          <w:rFonts w:ascii="Times New Roman" w:hAnsi="Times New Roman" w:cs="Times New Roman"/>
          <w:b w:val="0"/>
          <w:bCs w:val="0"/>
          <w:caps w:val="0"/>
          <w:sz w:val="22"/>
          <w:szCs w:val="22"/>
        </w:rPr>
        <w:t>)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um dos CRI em circulação, em primeira convocação, ou, maioria simples dos titulares dos CRI presentes em segunda convocação, desde que os titulares dos CRI presentes representem, no mínimo,30%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3"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3"/>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7E2F06">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4" w:name="_Toc486445797"/>
      <w:bookmarkStart w:id="115" w:name="_Toc486448706"/>
      <w:bookmarkStart w:id="116" w:name="_Toc534701399"/>
      <w:bookmarkStart w:id="117" w:name="_Toc505003744"/>
      <w:bookmarkStart w:id="118" w:name="_Toc482089799"/>
      <w:r w:rsidRPr="00BA75E8">
        <w:rPr>
          <w:rFonts w:ascii="Times New Roman" w:hAnsi="Times New Roman" w:cs="Times New Roman"/>
          <w:caps w:val="0"/>
          <w:sz w:val="22"/>
          <w:szCs w:val="22"/>
        </w:rPr>
        <w:t xml:space="preserve">OBRIGAÇÕES ADICIONAIS DA EMISSORA </w:t>
      </w:r>
      <w:bookmarkEnd w:id="114"/>
      <w:bookmarkEnd w:id="115"/>
      <w:bookmarkEnd w:id="116"/>
      <w:bookmarkEnd w:id="117"/>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6489A970"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lastRenderedPageBreak/>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w:t>
      </w:r>
      <w:r w:rsidR="000022A3">
        <w:rPr>
          <w:rFonts w:ascii="Times New Roman" w:hAnsi="Times New Roman" w:cs="Times New Roman"/>
          <w:b w:val="0"/>
          <w:bCs w:val="0"/>
          <w:caps w:val="0"/>
          <w:color w:val="auto"/>
          <w:sz w:val="22"/>
          <w:szCs w:val="22"/>
          <w:lang w:bidi="th-TH"/>
        </w:rPr>
        <w:t xml:space="preserve">e os Fiadores </w:t>
      </w:r>
      <w:r w:rsidRPr="00BA75E8">
        <w:rPr>
          <w:rFonts w:ascii="Times New Roman" w:hAnsi="Times New Roman" w:cs="Times New Roman"/>
          <w:b w:val="0"/>
          <w:bCs w:val="0"/>
          <w:caps w:val="0"/>
          <w:color w:val="auto"/>
          <w:sz w:val="22"/>
          <w:szCs w:val="22"/>
          <w:lang w:bidi="th-TH"/>
        </w:rPr>
        <w:t>obriga</w:t>
      </w:r>
      <w:r w:rsidR="000022A3">
        <w:rPr>
          <w:rFonts w:ascii="Times New Roman" w:hAnsi="Times New Roman" w:cs="Times New Roman"/>
          <w:b w:val="0"/>
          <w:bCs w:val="0"/>
          <w:caps w:val="0"/>
          <w:color w:val="auto"/>
          <w:sz w:val="22"/>
          <w:szCs w:val="22"/>
          <w:lang w:bidi="th-TH"/>
        </w:rPr>
        <w:t>m</w:t>
      </w:r>
      <w:r w:rsidRPr="00BA75E8">
        <w:rPr>
          <w:rFonts w:ascii="Times New Roman" w:hAnsi="Times New Roman" w:cs="Times New Roman"/>
          <w:b w:val="0"/>
          <w:bCs w:val="0"/>
          <w:caps w:val="0"/>
          <w:color w:val="auto"/>
          <w:sz w:val="22"/>
          <w:szCs w:val="22"/>
          <w:lang w:bidi="th-TH"/>
        </w:rPr>
        <w:t>-se a:</w:t>
      </w:r>
      <w:r w:rsidR="00FC20DB">
        <w:rPr>
          <w:rFonts w:ascii="Times New Roman" w:hAnsi="Times New Roman" w:cs="Times New Roman"/>
          <w:b w:val="0"/>
          <w:bCs w:val="0"/>
          <w:caps w:val="0"/>
          <w:color w:val="auto"/>
          <w:sz w:val="22"/>
          <w:szCs w:val="22"/>
          <w:lang w:bidi="th-TH"/>
        </w:rPr>
        <w:t xml:space="preserve"> </w:t>
      </w:r>
    </w:p>
    <w:p w14:paraId="676CA757" w14:textId="7A41E73E" w:rsidR="00FB449C" w:rsidRPr="007E2F06" w:rsidRDefault="00FB449C" w:rsidP="007E2F06">
      <w:pPr>
        <w:shd w:val="clear" w:color="auto" w:fill="FFFFFF"/>
        <w:tabs>
          <w:tab w:val="left" w:pos="851"/>
        </w:tabs>
        <w:spacing w:line="312" w:lineRule="auto"/>
        <w:jc w:val="both"/>
        <w:rPr>
          <w:w w:val="0"/>
          <w:sz w:val="22"/>
          <w:szCs w:val="22"/>
        </w:rPr>
      </w:pP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2C3BE990" w14:textId="27FDDDA6" w:rsidR="00827BBB" w:rsidRPr="000720A1" w:rsidRDefault="00827BBB" w:rsidP="008D15F4">
      <w:pPr>
        <w:pStyle w:val="PargrafodaLista"/>
        <w:numPr>
          <w:ilvl w:val="0"/>
          <w:numId w:val="18"/>
        </w:numPr>
        <w:shd w:val="clear" w:color="auto" w:fill="FFFFFF"/>
        <w:tabs>
          <w:tab w:val="left" w:pos="851"/>
        </w:tabs>
        <w:spacing w:line="312" w:lineRule="auto"/>
        <w:ind w:left="851" w:firstLine="0"/>
        <w:jc w:val="both"/>
        <w:rPr>
          <w:w w:val="0"/>
          <w:sz w:val="22"/>
          <w:szCs w:val="22"/>
        </w:rPr>
      </w:pPr>
      <w:r w:rsidRPr="008D15F4">
        <w:rPr>
          <w:sz w:val="22"/>
          <w:szCs w:val="22"/>
        </w:rPr>
        <w:t>realizar a quitação ou transferência da dívida representada pelas [</w:t>
      </w:r>
      <w:r w:rsidRPr="008D15F4">
        <w:rPr>
          <w:sz w:val="22"/>
          <w:szCs w:val="22"/>
          <w:highlight w:val="yellow"/>
        </w:rPr>
        <w:t>completar</w:t>
      </w:r>
      <w:r w:rsidRPr="008D15F4">
        <w:rPr>
          <w:sz w:val="22"/>
          <w:szCs w:val="22"/>
        </w:rPr>
        <w:t>], (i)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e (</w:t>
      </w:r>
      <w:proofErr w:type="spellStart"/>
      <w:r w:rsidRPr="008D15F4">
        <w:rPr>
          <w:sz w:val="22"/>
          <w:szCs w:val="22"/>
        </w:rPr>
        <w:t>ii</w:t>
      </w:r>
      <w:proofErr w:type="spellEnd"/>
      <w:r w:rsidRPr="008D15F4">
        <w:rPr>
          <w:sz w:val="22"/>
          <w:szCs w:val="22"/>
        </w:rPr>
        <w:t>) contrato nº [</w:t>
      </w:r>
      <w:r w:rsidRPr="008D15F4">
        <w:rPr>
          <w:sz w:val="22"/>
          <w:szCs w:val="22"/>
          <w:highlight w:val="yellow"/>
        </w:rPr>
        <w:t>completar</w:t>
      </w:r>
      <w:r w:rsidRPr="008D15F4">
        <w:rPr>
          <w:sz w:val="22"/>
          <w:szCs w:val="22"/>
        </w:rPr>
        <w:t>] emitido em [</w:t>
      </w:r>
      <w:r w:rsidRPr="008D15F4">
        <w:rPr>
          <w:sz w:val="22"/>
          <w:szCs w:val="22"/>
          <w:highlight w:val="yellow"/>
        </w:rPr>
        <w:t>completar</w:t>
      </w:r>
      <w:r w:rsidRPr="008D15F4">
        <w:rPr>
          <w:sz w:val="22"/>
          <w:szCs w:val="22"/>
        </w:rPr>
        <w:t>], no valor de R$ [</w:t>
      </w:r>
      <w:r w:rsidRPr="008D15F4">
        <w:rPr>
          <w:sz w:val="22"/>
          <w:szCs w:val="22"/>
          <w:highlight w:val="yellow"/>
        </w:rPr>
        <w:t>completar</w:t>
      </w:r>
      <w:r w:rsidRPr="008D15F4">
        <w:rPr>
          <w:sz w:val="22"/>
          <w:szCs w:val="22"/>
        </w:rPr>
        <w:t xml:space="preserve">], em até </w:t>
      </w:r>
      <w:r w:rsidR="00046910" w:rsidRPr="008D15F4">
        <w:rPr>
          <w:sz w:val="22"/>
          <w:szCs w:val="22"/>
        </w:rPr>
        <w:t>[</w:t>
      </w:r>
      <w:r w:rsidR="00046910" w:rsidRPr="008D15F4">
        <w:rPr>
          <w:sz w:val="22"/>
          <w:szCs w:val="22"/>
          <w:highlight w:val="yellow"/>
        </w:rPr>
        <w:t>completar</w:t>
      </w:r>
      <w:r w:rsidR="00046910" w:rsidRPr="008D15F4">
        <w:rPr>
          <w:sz w:val="22"/>
          <w:szCs w:val="22"/>
        </w:rPr>
        <w:t>] dias a contar da primeira Data d</w:t>
      </w:r>
      <w:r w:rsidR="008D15F4" w:rsidRPr="008D15F4">
        <w:rPr>
          <w:sz w:val="22"/>
          <w:szCs w:val="22"/>
        </w:rPr>
        <w:t>e Integralização;</w:t>
      </w:r>
    </w:p>
    <w:p w14:paraId="385898AF" w14:textId="77777777" w:rsidR="008D15F4" w:rsidRPr="008D15F4" w:rsidRDefault="008D15F4" w:rsidP="000720A1">
      <w:pPr>
        <w:pStyle w:val="PargrafodaLista"/>
        <w:shd w:val="clear" w:color="auto" w:fill="FFFFFF"/>
        <w:tabs>
          <w:tab w:val="left" w:pos="851"/>
        </w:tabs>
        <w:spacing w:line="312" w:lineRule="auto"/>
        <w:ind w:left="851"/>
        <w:jc w:val="both"/>
        <w:rPr>
          <w:w w:val="0"/>
          <w:sz w:val="22"/>
          <w:szCs w:val="22"/>
        </w:rPr>
      </w:pPr>
    </w:p>
    <w:p w14:paraId="1BA4665D" w14:textId="7A3DB454"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21BEC4D5"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w:t>
      </w:r>
      <w:r w:rsidR="007D4BE1">
        <w:rPr>
          <w:w w:val="0"/>
          <w:sz w:val="22"/>
          <w:szCs w:val="22"/>
        </w:rPr>
        <w:t xml:space="preserve">a partir do exercício encerrado em 31 de dezembro de 2023, </w:t>
      </w:r>
      <w:r w:rsidRPr="00BA75E8">
        <w:rPr>
          <w:w w:val="0"/>
          <w:sz w:val="22"/>
          <w:szCs w:val="22"/>
        </w:rPr>
        <w:t xml:space="preserve">cópia das </w:t>
      </w:r>
      <w:r w:rsidR="00907D5F" w:rsidRPr="00BA75E8">
        <w:rPr>
          <w:w w:val="0"/>
          <w:sz w:val="22"/>
          <w:szCs w:val="22"/>
        </w:rPr>
        <w:t xml:space="preserve">informações </w:t>
      </w:r>
      <w:r w:rsidRPr="00BA75E8">
        <w:rPr>
          <w:w w:val="0"/>
          <w:sz w:val="22"/>
          <w:szCs w:val="22"/>
        </w:rPr>
        <w:t>financeiras completas da Emissora</w:t>
      </w:r>
      <w:r w:rsidR="004917ED">
        <w:rPr>
          <w:w w:val="0"/>
          <w:sz w:val="22"/>
          <w:szCs w:val="22"/>
        </w:rPr>
        <w:t>, da Welt</w:t>
      </w:r>
      <w:r w:rsidRPr="00BA75E8">
        <w:rPr>
          <w:w w:val="0"/>
          <w:sz w:val="22"/>
          <w:szCs w:val="22"/>
        </w:rPr>
        <w:t xml:space="preserve"> e dos </w:t>
      </w:r>
      <w:r w:rsidR="00C46BB7" w:rsidRPr="00BA75E8">
        <w:rPr>
          <w:w w:val="0"/>
          <w:sz w:val="22"/>
          <w:szCs w:val="22"/>
        </w:rPr>
        <w:t>Fiadores, conforme aplicável</w:t>
      </w:r>
      <w:r w:rsidRPr="00BA75E8">
        <w:rPr>
          <w:w w:val="0"/>
          <w:sz w:val="22"/>
          <w:szCs w:val="22"/>
        </w:rPr>
        <w:t>, relativas ao respectivo exercício social encerrado, acompanhadas de parecer elaborado por auditor independente</w:t>
      </w:r>
      <w:r w:rsidR="00DD0CA0" w:rsidRPr="00BA75E8">
        <w:rPr>
          <w:w w:val="0"/>
          <w:sz w:val="22"/>
          <w:szCs w:val="22"/>
        </w:rPr>
        <w:t>, se aplicável</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19"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19"/>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1FD8730B"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w:t>
      </w:r>
      <w:r w:rsidR="00745D09">
        <w:rPr>
          <w:w w:val="0"/>
          <w:sz w:val="22"/>
          <w:szCs w:val="22"/>
        </w:rPr>
        <w:t>e/</w:t>
      </w:r>
      <w:r w:rsidR="00816B86" w:rsidRPr="00BA75E8">
        <w:rPr>
          <w:w w:val="0"/>
          <w:sz w:val="22"/>
          <w:szCs w:val="22"/>
        </w:rPr>
        <w:t xml:space="preserve">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6A1E9E20"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816B86" w:rsidRPr="00B42F02">
        <w:rPr>
          <w:w w:val="0"/>
          <w:sz w:val="22"/>
          <w:szCs w:val="22"/>
        </w:rPr>
        <w:t>;</w:t>
      </w:r>
      <w:r w:rsidR="00CB7620" w:rsidRPr="00752237">
        <w:rPr>
          <w:sz w:val="22"/>
          <w:szCs w:val="22"/>
        </w:rPr>
        <w:t xml:space="preserve"> </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w:t>
      </w:r>
      <w:proofErr w:type="spellStart"/>
      <w:r w:rsidRPr="00BA75E8">
        <w:rPr>
          <w:w w:val="0"/>
          <w:sz w:val="22"/>
          <w:szCs w:val="22"/>
        </w:rPr>
        <w:t>ii</w:t>
      </w:r>
      <w:proofErr w:type="spellEnd"/>
      <w:r w:rsidRPr="00BA75E8">
        <w:rPr>
          <w:w w:val="0"/>
          <w:sz w:val="22"/>
          <w:szCs w:val="22"/>
        </w:rPr>
        <w:t>) dar conhecimento de tais normas a todos os profissionais que venham a se relacionar com a Emissora, previamente ao início de sua atuação; (</w:t>
      </w:r>
      <w:proofErr w:type="spellStart"/>
      <w:r w:rsidRPr="00BA75E8">
        <w:rPr>
          <w:w w:val="0"/>
          <w:sz w:val="22"/>
          <w:szCs w:val="22"/>
        </w:rPr>
        <w:t>iii</w:t>
      </w:r>
      <w:proofErr w:type="spellEnd"/>
      <w:r w:rsidRPr="00BA75E8">
        <w:rPr>
          <w:w w:val="0"/>
          <w:sz w:val="22"/>
          <w:szCs w:val="22"/>
        </w:rPr>
        <w:t>)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lastRenderedPageBreak/>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62AC2CBD" w:rsidR="004C4292"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610B6808" w14:textId="77777777" w:rsidR="000B018C" w:rsidRDefault="000B018C" w:rsidP="00752237">
      <w:pPr>
        <w:shd w:val="clear" w:color="auto" w:fill="FFFFFF"/>
        <w:tabs>
          <w:tab w:val="left" w:pos="851"/>
        </w:tabs>
        <w:spacing w:line="312" w:lineRule="auto"/>
        <w:jc w:val="both"/>
        <w:rPr>
          <w:w w:val="0"/>
          <w:sz w:val="22"/>
          <w:szCs w:val="22"/>
        </w:rPr>
      </w:pPr>
    </w:p>
    <w:p w14:paraId="24CBC58A" w14:textId="0DA2F079"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recolhimento de quaisquer tributos, tarifas e/ou emolumentos que incidam ou venham a incidir sobre a Emissão e que sejam de responsabilidade da Emitente;</w:t>
      </w:r>
    </w:p>
    <w:p w14:paraId="3EF00535" w14:textId="77777777" w:rsidR="000B018C" w:rsidRPr="00752237" w:rsidRDefault="000B018C" w:rsidP="00752237">
      <w:pPr>
        <w:pStyle w:val="PargrafodaLista"/>
        <w:shd w:val="clear" w:color="auto" w:fill="FFFFFF"/>
        <w:tabs>
          <w:tab w:val="left" w:pos="851"/>
        </w:tabs>
        <w:spacing w:line="312" w:lineRule="auto"/>
        <w:ind w:left="851"/>
        <w:jc w:val="both"/>
        <w:rPr>
          <w:w w:val="0"/>
          <w:sz w:val="22"/>
          <w:szCs w:val="22"/>
        </w:rPr>
      </w:pPr>
    </w:p>
    <w:p w14:paraId="044B2972" w14:textId="1904A563" w:rsidR="000B018C" w:rsidRDefault="000B018C" w:rsidP="000B018C">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efetuar o pagamento de todas as despesas razoáveis e comprovadas pela Securitizadora e pelo Agente Fiduciário que venham a ser necessárias para proteger os direitos e interesses da Securitizadora e/ou dos titulares dos CRI, ou para realizar seus créditos, inclusive honorários advocatícios e outras despesas e custos incorridos em virtude da cobrança de qualquer quantia devida nos termos deste Instrumento e da Emissão;</w:t>
      </w:r>
    </w:p>
    <w:p w14:paraId="6249865A" w14:textId="77777777" w:rsidR="000B018C" w:rsidRPr="00752237" w:rsidRDefault="000B018C" w:rsidP="00752237">
      <w:pPr>
        <w:shd w:val="clear" w:color="auto" w:fill="FFFFFF"/>
        <w:tabs>
          <w:tab w:val="left" w:pos="851"/>
        </w:tabs>
        <w:spacing w:line="312" w:lineRule="auto"/>
        <w:jc w:val="both"/>
        <w:rPr>
          <w:w w:val="0"/>
          <w:sz w:val="22"/>
          <w:szCs w:val="22"/>
        </w:rPr>
      </w:pPr>
    </w:p>
    <w:p w14:paraId="09B13295" w14:textId="77777777"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lastRenderedPageBreak/>
        <w:t>manter contratadas e vigentes durante o prazo das Notas Comerciais, todas as coberturas de seguro, inclusive socioambientais, aplicáveis à sua atividade e aderentes às práticas do mercado;</w:t>
      </w:r>
    </w:p>
    <w:p w14:paraId="1782F968" w14:textId="77777777" w:rsidR="007D0675" w:rsidRDefault="007D0675" w:rsidP="007E2F06">
      <w:pPr>
        <w:pStyle w:val="PargrafodaLista"/>
        <w:shd w:val="clear" w:color="auto" w:fill="FFFFFF"/>
        <w:tabs>
          <w:tab w:val="left" w:pos="851"/>
        </w:tabs>
        <w:spacing w:line="312" w:lineRule="auto"/>
        <w:ind w:left="851"/>
        <w:jc w:val="both"/>
        <w:rPr>
          <w:w w:val="0"/>
          <w:sz w:val="22"/>
          <w:szCs w:val="22"/>
        </w:rPr>
      </w:pPr>
    </w:p>
    <w:p w14:paraId="3BF986E9" w14:textId="77777777" w:rsidR="00136120" w:rsidRDefault="00136120" w:rsidP="00752237">
      <w:pPr>
        <w:pStyle w:val="roman3"/>
        <w:numPr>
          <w:ilvl w:val="0"/>
          <w:numId w:val="0"/>
        </w:numPr>
        <w:spacing w:after="0" w:line="300" w:lineRule="auto"/>
        <w:ind w:left="1080"/>
        <w:rPr>
          <w:rFonts w:ascii="Times New Roman" w:hAnsi="Times New Roman"/>
          <w:sz w:val="22"/>
          <w:szCs w:val="22"/>
        </w:rPr>
      </w:pPr>
    </w:p>
    <w:p w14:paraId="482EDA13" w14:textId="77777777" w:rsidR="007D0675" w:rsidRDefault="007D0675" w:rsidP="00752237">
      <w:pPr>
        <w:pStyle w:val="PargrafodaLista"/>
        <w:shd w:val="clear" w:color="auto" w:fill="FFFFFF"/>
        <w:tabs>
          <w:tab w:val="left" w:pos="851"/>
        </w:tabs>
        <w:spacing w:line="312" w:lineRule="auto"/>
        <w:ind w:left="851"/>
        <w:jc w:val="both"/>
        <w:rPr>
          <w:w w:val="0"/>
          <w:sz w:val="22"/>
          <w:szCs w:val="22"/>
        </w:rPr>
      </w:pPr>
    </w:p>
    <w:p w14:paraId="093B84BB" w14:textId="6F812329" w:rsidR="000B018C" w:rsidRPr="00752237" w:rsidRDefault="000B018C" w:rsidP="00752237">
      <w:pPr>
        <w:pStyle w:val="PargrafodaLista"/>
        <w:numPr>
          <w:ilvl w:val="0"/>
          <w:numId w:val="18"/>
        </w:numPr>
        <w:shd w:val="clear" w:color="auto" w:fill="FFFFFF"/>
        <w:tabs>
          <w:tab w:val="left" w:pos="851"/>
        </w:tabs>
        <w:spacing w:line="312" w:lineRule="auto"/>
        <w:ind w:left="851" w:firstLine="0"/>
        <w:jc w:val="both"/>
        <w:rPr>
          <w:w w:val="0"/>
          <w:sz w:val="22"/>
          <w:szCs w:val="22"/>
        </w:rPr>
      </w:pPr>
      <w:r w:rsidRPr="00752237">
        <w:rPr>
          <w:w w:val="0"/>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de decisão judicial transitada em julgado, de qualquer dispositivo de qualquer lei ou regulamento aplicável contra prática de atos de corrupção ou atos lesivos à administração pública, incluindo, sem limitação, as Leis Anticorrupção acima definidas;</w:t>
      </w:r>
    </w:p>
    <w:p w14:paraId="31D8B277" w14:textId="77777777" w:rsidR="000B018C" w:rsidRDefault="000B018C" w:rsidP="004C4292">
      <w:pPr>
        <w:shd w:val="clear" w:color="auto" w:fill="FFFFFF"/>
        <w:tabs>
          <w:tab w:val="left" w:pos="851"/>
        </w:tabs>
        <w:spacing w:line="312" w:lineRule="auto"/>
        <w:ind w:left="851"/>
        <w:jc w:val="both"/>
        <w:rPr>
          <w:w w:val="0"/>
          <w:sz w:val="22"/>
          <w:szCs w:val="22"/>
        </w:rPr>
      </w:pPr>
    </w:p>
    <w:p w14:paraId="0D0C3A65"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20" w:name="_Toc486445798"/>
      <w:bookmarkStart w:id="121" w:name="_Toc486448707"/>
      <w:bookmarkStart w:id="122" w:name="_Toc534701400"/>
      <w:bookmarkStart w:id="123" w:name="_Toc505003745"/>
      <w:r w:rsidRPr="00BA75E8">
        <w:rPr>
          <w:rFonts w:ascii="Times New Roman" w:hAnsi="Times New Roman" w:cs="Times New Roman"/>
          <w:caps w:val="0"/>
          <w:sz w:val="22"/>
          <w:szCs w:val="22"/>
        </w:rPr>
        <w:t>DECLARAÇÕES E GARANTIAS D</w:t>
      </w:r>
      <w:bookmarkEnd w:id="120"/>
      <w:bookmarkEnd w:id="121"/>
      <w:bookmarkEnd w:id="122"/>
      <w:bookmarkEnd w:id="123"/>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proofErr w:type="spellStart"/>
      <w:r w:rsidR="00827A99" w:rsidRPr="00BA75E8">
        <w:rPr>
          <w:sz w:val="22"/>
          <w:szCs w:val="22"/>
        </w:rPr>
        <w:t>xxv</w:t>
      </w:r>
      <w:proofErr w:type="spellEnd"/>
      <w:r w:rsidR="00816B86" w:rsidRPr="00BA75E8">
        <w:rPr>
          <w:sz w:val="22"/>
          <w:szCs w:val="22"/>
        </w:rPr>
        <w:t>) e (</w:t>
      </w:r>
      <w:proofErr w:type="spellStart"/>
      <w:r w:rsidR="00827A99" w:rsidRPr="00BA75E8">
        <w:rPr>
          <w:sz w:val="22"/>
          <w:szCs w:val="22"/>
        </w:rPr>
        <w:t>xxvi</w:t>
      </w:r>
      <w:proofErr w:type="spellEnd"/>
      <w:r w:rsidR="00816B86" w:rsidRPr="00BA75E8">
        <w:rPr>
          <w:sz w:val="22"/>
          <w:szCs w:val="22"/>
        </w:rPr>
        <w:t>) desta Cláusula, respectivamente, cumpre, as leis, regulamentos, normas 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 xml:space="preserve">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w:t>
      </w:r>
      <w:r w:rsidRPr="00BA75E8">
        <w:rPr>
          <w:sz w:val="22"/>
          <w:szCs w:val="22"/>
        </w:rPr>
        <w:lastRenderedPageBreak/>
        <w:t>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w:t>
      </w:r>
      <w:proofErr w:type="spellStart"/>
      <w:r w:rsidRPr="00BA75E8">
        <w:rPr>
          <w:sz w:val="22"/>
          <w:szCs w:val="22"/>
        </w:rPr>
        <w:t>xx</w:t>
      </w:r>
      <w:r w:rsidR="00F37727" w:rsidRPr="00BA75E8">
        <w:rPr>
          <w:sz w:val="22"/>
          <w:szCs w:val="22"/>
        </w:rPr>
        <w:t>iii</w:t>
      </w:r>
      <w:proofErr w:type="spellEnd"/>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w:t>
      </w:r>
      <w:r w:rsidRPr="00BA75E8">
        <w:rPr>
          <w:sz w:val="22"/>
          <w:szCs w:val="22"/>
        </w:rPr>
        <w:lastRenderedPageBreak/>
        <w:t xml:space="preserve">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C8B99F2" w:rsidR="00E31854" w:rsidRPr="00BA75E8" w:rsidRDefault="00286FB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38478B83" w:rsidR="008636D7"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7E30C88E" w14:textId="77777777" w:rsidR="000B018C" w:rsidRPr="00752237" w:rsidRDefault="000B018C" w:rsidP="00752237">
      <w:pPr>
        <w:pStyle w:val="PargrafodaLista"/>
        <w:tabs>
          <w:tab w:val="left" w:pos="709"/>
        </w:tabs>
        <w:spacing w:line="312" w:lineRule="auto"/>
        <w:ind w:left="0"/>
        <w:jc w:val="both"/>
        <w:rPr>
          <w:sz w:val="22"/>
          <w:szCs w:val="22"/>
        </w:rPr>
      </w:pPr>
    </w:p>
    <w:p w14:paraId="48BE0EBC" w14:textId="0AB858C1" w:rsidR="000B018C" w:rsidRPr="00752237"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 xml:space="preserve">foi informada e avisada de todas as condições e circunstâncias envolvidas na negociação objeto deste </w:t>
      </w:r>
      <w:r>
        <w:rPr>
          <w:sz w:val="22"/>
          <w:szCs w:val="22"/>
        </w:rPr>
        <w:t>i</w:t>
      </w:r>
      <w:r w:rsidRPr="00752237">
        <w:rPr>
          <w:sz w:val="22"/>
          <w:szCs w:val="22"/>
        </w:rPr>
        <w:t>nstrumento e dos Documentos da Operação e que poderiam influenciar a capacidade de expressar a sua vontade, tendo sido assistida por advogados durante toda a referida negociação</w:t>
      </w:r>
      <w:r>
        <w:rPr>
          <w:sz w:val="22"/>
          <w:szCs w:val="22"/>
        </w:rPr>
        <w:t>;</w:t>
      </w:r>
    </w:p>
    <w:p w14:paraId="3E48238E" w14:textId="77777777" w:rsidR="000B018C" w:rsidRPr="00752237" w:rsidRDefault="000B018C" w:rsidP="00752237">
      <w:pPr>
        <w:pStyle w:val="PargrafodaLista"/>
        <w:tabs>
          <w:tab w:val="left" w:pos="709"/>
        </w:tabs>
        <w:spacing w:line="312" w:lineRule="auto"/>
        <w:ind w:left="0"/>
        <w:jc w:val="both"/>
        <w:rPr>
          <w:sz w:val="22"/>
          <w:szCs w:val="22"/>
        </w:rPr>
      </w:pPr>
    </w:p>
    <w:p w14:paraId="2BBFF543" w14:textId="6B32BED6" w:rsidR="000B018C" w:rsidRPr="00BA75E8" w:rsidRDefault="000B018C" w:rsidP="00752237">
      <w:pPr>
        <w:pStyle w:val="PargrafodaLista"/>
        <w:numPr>
          <w:ilvl w:val="2"/>
          <w:numId w:val="23"/>
        </w:numPr>
        <w:tabs>
          <w:tab w:val="left" w:pos="709"/>
        </w:tabs>
        <w:spacing w:line="312" w:lineRule="auto"/>
        <w:ind w:left="0" w:firstLine="0"/>
        <w:jc w:val="both"/>
        <w:rPr>
          <w:sz w:val="22"/>
          <w:szCs w:val="22"/>
        </w:rPr>
      </w:pPr>
      <w:r w:rsidRPr="00752237">
        <w:rPr>
          <w:sz w:val="22"/>
          <w:szCs w:val="22"/>
        </w:rPr>
        <w:t>tem plena ciência e concorda integralmente com a remuneração e a forma de divulgação dos respectivos índices ou parâmetros para o seu cálculo, que foi acordada por sua livre vontade, em observância ao princípio da boa-fé</w:t>
      </w:r>
      <w:r>
        <w:rPr>
          <w:sz w:val="22"/>
          <w:szCs w:val="22"/>
        </w:rPr>
        <w:t>;</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2F6BC6A8" w14:textId="42AEAAE5" w:rsidR="00AE7BB8" w:rsidRDefault="00AE7BB8" w:rsidP="00C97DEE">
      <w:pPr>
        <w:pStyle w:val="PargrafodaLista"/>
        <w:numPr>
          <w:ilvl w:val="2"/>
          <w:numId w:val="23"/>
        </w:numPr>
        <w:tabs>
          <w:tab w:val="left" w:pos="709"/>
        </w:tabs>
        <w:spacing w:line="312" w:lineRule="auto"/>
        <w:ind w:left="0" w:firstLine="0"/>
        <w:jc w:val="both"/>
        <w:rPr>
          <w:sz w:val="22"/>
          <w:szCs w:val="22"/>
        </w:rPr>
      </w:pPr>
      <w:r w:rsidRPr="00FB1C1A">
        <w:rPr>
          <w:sz w:val="22"/>
          <w:szCs w:val="22"/>
        </w:rPr>
        <w:t xml:space="preserve">conhece e cumpre com todas as disposições da legislação ambiental e trabalhista em vigor, inclusive relativa à saúde e segurança </w:t>
      </w:r>
      <w:r w:rsidRPr="007E2F06">
        <w:rPr>
          <w:w w:val="0"/>
          <w:sz w:val="22"/>
          <w:szCs w:val="22"/>
        </w:rPr>
        <w:t>ocupacional</w:t>
      </w:r>
      <w:r w:rsidRPr="00FB1C1A">
        <w:rPr>
          <w:sz w:val="22"/>
          <w:szCs w:val="22"/>
        </w:rPr>
        <w:t>,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sz w:val="22"/>
          <w:szCs w:val="22"/>
          <w:u w:val="single"/>
        </w:rPr>
        <w:t>Legislação Socioambiental</w:t>
      </w:r>
      <w:r w:rsidRPr="00FB1C1A">
        <w:rPr>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6F10B011" w14:textId="77777777" w:rsidR="006468F8" w:rsidRDefault="006468F8" w:rsidP="007E2F06">
      <w:pPr>
        <w:pStyle w:val="PargrafodaLista"/>
        <w:tabs>
          <w:tab w:val="left" w:pos="709"/>
        </w:tabs>
        <w:spacing w:line="312" w:lineRule="auto"/>
        <w:ind w:left="0"/>
        <w:jc w:val="both"/>
        <w:rPr>
          <w:sz w:val="22"/>
          <w:szCs w:val="22"/>
        </w:rPr>
      </w:pPr>
    </w:p>
    <w:p w14:paraId="041281BA" w14:textId="77777777" w:rsidR="006468F8" w:rsidRPr="006468F8" w:rsidRDefault="006468F8" w:rsidP="007E2F06">
      <w:pPr>
        <w:pStyle w:val="PargrafodaLista"/>
        <w:numPr>
          <w:ilvl w:val="2"/>
          <w:numId w:val="23"/>
        </w:numPr>
        <w:spacing w:line="300" w:lineRule="auto"/>
        <w:ind w:left="0" w:firstLine="0"/>
        <w:jc w:val="both"/>
        <w:rPr>
          <w:sz w:val="22"/>
          <w:szCs w:val="22"/>
        </w:rPr>
      </w:pPr>
      <w:r w:rsidRPr="006468F8">
        <w:rPr>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w:t>
      </w:r>
      <w:r w:rsidRPr="006468F8">
        <w:rPr>
          <w:sz w:val="22"/>
          <w:szCs w:val="22"/>
        </w:rPr>
        <w:lastRenderedPageBreak/>
        <w:t>nome da Emissora, administradores, diretores, conselheiros: (i) sob investigação em virtude de denúncias de suborno e/ou corrupção; (</w:t>
      </w:r>
      <w:proofErr w:type="spellStart"/>
      <w:r w:rsidRPr="006468F8">
        <w:rPr>
          <w:sz w:val="22"/>
          <w:szCs w:val="22"/>
        </w:rPr>
        <w:t>ii</w:t>
      </w:r>
      <w:proofErr w:type="spellEnd"/>
      <w:r w:rsidRPr="006468F8">
        <w:rPr>
          <w:sz w:val="22"/>
          <w:szCs w:val="22"/>
        </w:rPr>
        <w:t>) no curso de um processo judicial e/ou administrativo ou foram condenados ou indiciados sob a acusação de corrupção ou suborno; (</w:t>
      </w:r>
      <w:proofErr w:type="spellStart"/>
      <w:r w:rsidRPr="006468F8">
        <w:rPr>
          <w:sz w:val="22"/>
          <w:szCs w:val="22"/>
        </w:rPr>
        <w:t>iii</w:t>
      </w:r>
      <w:proofErr w:type="spellEnd"/>
      <w:r w:rsidRPr="006468F8">
        <w:rPr>
          <w:sz w:val="22"/>
          <w:szCs w:val="22"/>
        </w:rPr>
        <w:t>) listados em alguma entidade governamental, tampouco conhecidos ou suspeitos de práticas de terrorismo e/ou lavagem de dinheiro; (</w:t>
      </w:r>
      <w:proofErr w:type="spellStart"/>
      <w:r w:rsidRPr="006468F8">
        <w:rPr>
          <w:sz w:val="22"/>
          <w:szCs w:val="22"/>
        </w:rPr>
        <w:t>iv</w:t>
      </w:r>
      <w:proofErr w:type="spellEnd"/>
      <w:r w:rsidRPr="006468F8">
        <w:rPr>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54B0F0AC" w14:textId="77777777" w:rsidR="00AE7BB8" w:rsidRPr="007E2F06" w:rsidRDefault="00AE7BB8" w:rsidP="007E2F06">
      <w:pPr>
        <w:pStyle w:val="PargrafodaLista"/>
        <w:rPr>
          <w:sz w:val="22"/>
          <w:szCs w:val="22"/>
        </w:rPr>
      </w:pPr>
    </w:p>
    <w:p w14:paraId="1BA466C7" w14:textId="1FA8F27F"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5BE949F9" w14:textId="0B571F6B" w:rsidR="000674DE" w:rsidRPr="00BA75E8" w:rsidRDefault="000674DE" w:rsidP="00752237">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7305EF70" w14:textId="77777777" w:rsidR="00EF4674" w:rsidRPr="00BA75E8" w:rsidRDefault="00EF4674" w:rsidP="00C97DEE">
      <w:pPr>
        <w:pStyle w:val="Default"/>
        <w:widowControl w:val="0"/>
        <w:spacing w:line="312" w:lineRule="auto"/>
        <w:jc w:val="both"/>
        <w:rPr>
          <w:rFonts w:ascii="Times New Roman" w:hAnsi="Times New Roman" w:cs="Times New Roman"/>
          <w:bCs/>
          <w:color w:val="auto"/>
          <w:sz w:val="22"/>
          <w:szCs w:val="22"/>
          <w:lang w:bidi="th-TH"/>
        </w:rPr>
      </w:pPr>
    </w:p>
    <w:p w14:paraId="55CC7D2C" w14:textId="1360A3A3" w:rsidR="008C2786" w:rsidRPr="008C2786" w:rsidRDefault="00C81CCE" w:rsidP="008C2786">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87D0C">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w:t>
      </w:r>
      <w:r w:rsidR="008C2786" w:rsidRPr="007E2F06">
        <w:rPr>
          <w:rFonts w:ascii="Times New Roman" w:hAnsi="Times New Roman" w:cs="Times New Roman"/>
          <w:bCs/>
          <w:color w:val="auto"/>
          <w:sz w:val="22"/>
          <w:szCs w:val="22"/>
          <w:u w:val="single"/>
          <w:lang w:bidi="th-TH"/>
        </w:rPr>
        <w:t>Quórum de Deliberações</w:t>
      </w:r>
      <w:r w:rsidR="008C2786" w:rsidRPr="008C2786">
        <w:rPr>
          <w:rFonts w:ascii="Times New Roman" w:hAnsi="Times New Roman" w:cs="Times New Roman"/>
          <w:bCs/>
          <w:color w:val="auto"/>
          <w:sz w:val="22"/>
          <w:szCs w:val="22"/>
          <w:lang w:bidi="th-TH"/>
        </w:rPr>
        <w:t xml:space="preserve">. As deliberações serão tomadas pela </w:t>
      </w:r>
      <w:r w:rsidR="008C2786">
        <w:rPr>
          <w:rFonts w:ascii="Times New Roman" w:hAnsi="Times New Roman" w:cs="Times New Roman"/>
          <w:bCs/>
          <w:color w:val="auto"/>
          <w:sz w:val="22"/>
          <w:szCs w:val="22"/>
          <w:lang w:bidi="th-TH"/>
        </w:rPr>
        <w:t>Cre</w:t>
      </w:r>
      <w:r w:rsidR="008C2786" w:rsidRPr="008C2786">
        <w:rPr>
          <w:rFonts w:ascii="Times New Roman" w:hAnsi="Times New Roman" w:cs="Times New Roman"/>
          <w:bCs/>
          <w:color w:val="auto"/>
          <w:sz w:val="22"/>
          <w:szCs w:val="22"/>
          <w:lang w:bidi="th-TH"/>
        </w:rPr>
        <w:t xml:space="preserve">dora, enquanto titular das </w:t>
      </w:r>
      <w:r w:rsidR="008C2786">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na qualidade de emissora dos CRI, observadas as disposições do Termo de Securitização e as deliberações dos Titulares de CRI, que, nos termos da Cláusula </w:t>
      </w:r>
      <w:r w:rsidR="00ED763E">
        <w:rPr>
          <w:rFonts w:ascii="Times New Roman" w:hAnsi="Times New Roman" w:cs="Times New Roman"/>
          <w:bCs/>
          <w:color w:val="auto"/>
          <w:sz w:val="22"/>
          <w:szCs w:val="22"/>
          <w:lang w:bidi="th-TH"/>
        </w:rPr>
        <w:t>8.</w:t>
      </w:r>
      <w:r w:rsidR="008C06C0">
        <w:rPr>
          <w:rFonts w:ascii="Times New Roman" w:hAnsi="Times New Roman" w:cs="Times New Roman"/>
          <w:bCs/>
          <w:color w:val="auto"/>
          <w:sz w:val="22"/>
          <w:szCs w:val="22"/>
          <w:lang w:bidi="th-TH"/>
        </w:rPr>
        <w:t>6</w:t>
      </w:r>
      <w:r w:rsidR="008C2786" w:rsidRPr="008C2786">
        <w:rPr>
          <w:rFonts w:ascii="Times New Roman" w:hAnsi="Times New Roman" w:cs="Times New Roman"/>
          <w:bCs/>
          <w:color w:val="auto"/>
          <w:sz w:val="22"/>
          <w:szCs w:val="22"/>
          <w:lang w:bidi="th-TH"/>
        </w:rPr>
        <w:t xml:space="preserve">, deverão ser por ela observados ao proferir seu voto nas Assembleias Gerais de </w:t>
      </w:r>
      <w:r w:rsidR="00263B05">
        <w:rPr>
          <w:rFonts w:ascii="Times New Roman" w:hAnsi="Times New Roman" w:cs="Times New Roman"/>
          <w:bCs/>
          <w:color w:val="auto"/>
          <w:sz w:val="22"/>
          <w:szCs w:val="22"/>
          <w:lang w:bidi="th-TH"/>
        </w:rPr>
        <w:t xml:space="preserve">Titulares </w:t>
      </w:r>
      <w:r w:rsidR="00ED763E">
        <w:rPr>
          <w:rFonts w:ascii="Times New Roman" w:hAnsi="Times New Roman" w:cs="Times New Roman"/>
          <w:bCs/>
          <w:color w:val="auto"/>
          <w:sz w:val="22"/>
          <w:szCs w:val="22"/>
          <w:lang w:bidi="th-TH"/>
        </w:rPr>
        <w:t>de Notas Comerciais</w:t>
      </w:r>
      <w:r w:rsidR="008C2786" w:rsidRPr="008C2786">
        <w:rPr>
          <w:rFonts w:ascii="Times New Roman" w:hAnsi="Times New Roman" w:cs="Times New Roman"/>
          <w:bCs/>
          <w:color w:val="auto"/>
          <w:sz w:val="22"/>
          <w:szCs w:val="22"/>
          <w:lang w:bidi="th-TH"/>
        </w:rPr>
        <w:t xml:space="preserve">, sendo a Securitizadora titular de 100% das </w:t>
      </w:r>
      <w:r w:rsidR="00ED763E">
        <w:rPr>
          <w:rFonts w:ascii="Times New Roman" w:hAnsi="Times New Roman" w:cs="Times New Roman"/>
          <w:bCs/>
          <w:color w:val="auto"/>
          <w:sz w:val="22"/>
          <w:szCs w:val="22"/>
          <w:lang w:bidi="th-TH"/>
        </w:rPr>
        <w:t xml:space="preserve">Notas Comerciais </w:t>
      </w:r>
      <w:r w:rsidR="008C2786" w:rsidRPr="008C2786">
        <w:rPr>
          <w:rFonts w:ascii="Times New Roman" w:hAnsi="Times New Roman" w:cs="Times New Roman"/>
          <w:bCs/>
          <w:color w:val="auto"/>
          <w:sz w:val="22"/>
          <w:szCs w:val="22"/>
          <w:lang w:bidi="th-TH"/>
        </w:rPr>
        <w:t xml:space="preserve">em Circulação. As deliberações tomadas em sede de Assembleia Geral de Titulares de CRI </w:t>
      </w:r>
      <w:r w:rsidR="00921376">
        <w:rPr>
          <w:rFonts w:ascii="Times New Roman" w:hAnsi="Times New Roman" w:cs="Times New Roman"/>
          <w:bCs/>
          <w:color w:val="auto"/>
          <w:sz w:val="22"/>
          <w:szCs w:val="22"/>
          <w:lang w:bidi="th-TH"/>
        </w:rPr>
        <w:t>ocorrerão conforme previsto no Termo de Securitização</w:t>
      </w:r>
      <w:r w:rsidR="008C2786" w:rsidRPr="008C2786">
        <w:rPr>
          <w:rFonts w:ascii="Times New Roman" w:hAnsi="Times New Roman" w:cs="Times New Roman"/>
          <w:bCs/>
          <w:color w:val="auto"/>
          <w:sz w:val="22"/>
          <w:szCs w:val="22"/>
          <w:lang w:bidi="th-TH"/>
        </w:rPr>
        <w:t xml:space="preserve">.                                                                                                                                                           </w:t>
      </w:r>
    </w:p>
    <w:p w14:paraId="20EADA87"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6CCE22D7" w14:textId="7D725284"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t>8.</w:t>
      </w:r>
      <w:r w:rsidR="00E87D0C">
        <w:rPr>
          <w:rFonts w:ascii="Times New Roman" w:hAnsi="Times New Roman" w:cs="Times New Roman"/>
          <w:b/>
          <w:color w:val="auto"/>
          <w:sz w:val="22"/>
          <w:szCs w:val="22"/>
          <w:lang w:bidi="th-TH"/>
        </w:rPr>
        <w:t>4</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Presença da Emissora</w:t>
      </w:r>
      <w:r w:rsidR="008C2786" w:rsidRPr="008C2786">
        <w:rPr>
          <w:rFonts w:ascii="Times New Roman" w:hAnsi="Times New Roman" w:cs="Times New Roman"/>
          <w:bCs/>
          <w:color w:val="auto"/>
          <w:sz w:val="22"/>
          <w:szCs w:val="22"/>
          <w:lang w:bidi="th-TH"/>
        </w:rPr>
        <w:t xml:space="preserve">. Será obrigatória a presença dos representantes legais da Emissora nas Assembleias Gerais de </w:t>
      </w:r>
      <w:r w:rsidR="003415CF">
        <w:rPr>
          <w:rFonts w:ascii="Times New Roman" w:hAnsi="Times New Roman" w:cs="Times New Roman"/>
          <w:bCs/>
          <w:color w:val="auto"/>
          <w:sz w:val="22"/>
          <w:szCs w:val="22"/>
          <w:lang w:bidi="th-TH"/>
        </w:rPr>
        <w:t>Notas Comerciais</w:t>
      </w:r>
      <w:r w:rsidR="008C2786" w:rsidRPr="008C2786">
        <w:rPr>
          <w:rFonts w:ascii="Times New Roman" w:hAnsi="Times New Roman" w:cs="Times New Roman"/>
          <w:bCs/>
          <w:color w:val="auto"/>
          <w:sz w:val="22"/>
          <w:szCs w:val="22"/>
          <w:lang w:bidi="th-TH"/>
        </w:rPr>
        <w:t xml:space="preserve"> convocadas pela Emissora, enquanto nas assembleias convocadas pela </w:t>
      </w:r>
      <w:r w:rsidR="003415CF">
        <w:rPr>
          <w:rFonts w:ascii="Times New Roman" w:hAnsi="Times New Roman" w:cs="Times New Roman"/>
          <w:bCs/>
          <w:color w:val="auto"/>
          <w:sz w:val="22"/>
          <w:szCs w:val="22"/>
          <w:lang w:bidi="th-TH"/>
        </w:rPr>
        <w:t xml:space="preserve">Credora </w:t>
      </w:r>
      <w:r w:rsidR="008C2786" w:rsidRPr="008C2786">
        <w:rPr>
          <w:rFonts w:ascii="Times New Roman" w:hAnsi="Times New Roman" w:cs="Times New Roman"/>
          <w:bCs/>
          <w:color w:val="auto"/>
          <w:sz w:val="22"/>
          <w:szCs w:val="22"/>
          <w:lang w:bidi="th-TH"/>
        </w:rPr>
        <w:t xml:space="preserve">a presença dos representantes legais da Emissora será facultativa, a não ser quando ela seja solicitada pela </w:t>
      </w:r>
      <w:r w:rsidR="003415CF">
        <w:rPr>
          <w:rFonts w:ascii="Times New Roman" w:hAnsi="Times New Roman" w:cs="Times New Roman"/>
          <w:bCs/>
          <w:color w:val="auto"/>
          <w:sz w:val="22"/>
          <w:szCs w:val="22"/>
          <w:lang w:bidi="th-TH"/>
        </w:rPr>
        <w:t>Credora</w:t>
      </w:r>
      <w:r w:rsidR="008C2786" w:rsidRPr="008C2786">
        <w:rPr>
          <w:rFonts w:ascii="Times New Roman" w:hAnsi="Times New Roman" w:cs="Times New Roman"/>
          <w:bCs/>
          <w:color w:val="auto"/>
          <w:sz w:val="22"/>
          <w:szCs w:val="22"/>
          <w:lang w:bidi="th-TH"/>
        </w:rPr>
        <w:t>, conforme o caso, hipótese em que será obrigatória.</w:t>
      </w:r>
    </w:p>
    <w:p w14:paraId="3B1B7BFB"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287018FD" w14:textId="25D49BE6" w:rsidR="008C2786" w:rsidRPr="008C2786" w:rsidRDefault="00921376" w:rsidP="008C2786">
      <w:pPr>
        <w:pStyle w:val="Default"/>
        <w:widowControl w:val="0"/>
        <w:spacing w:line="312" w:lineRule="auto"/>
        <w:jc w:val="both"/>
        <w:rPr>
          <w:rFonts w:ascii="Times New Roman" w:hAnsi="Times New Roman" w:cs="Times New Roman"/>
          <w:bCs/>
          <w:color w:val="auto"/>
          <w:sz w:val="22"/>
          <w:szCs w:val="22"/>
          <w:lang w:bidi="th-TH"/>
        </w:rPr>
      </w:pPr>
      <w:r w:rsidRPr="00752237">
        <w:rPr>
          <w:rFonts w:ascii="Times New Roman" w:hAnsi="Times New Roman" w:cs="Times New Roman"/>
          <w:b/>
          <w:color w:val="auto"/>
          <w:sz w:val="22"/>
          <w:szCs w:val="22"/>
          <w:lang w:bidi="th-TH"/>
        </w:rPr>
        <w:lastRenderedPageBreak/>
        <w:t>8.</w:t>
      </w:r>
      <w:r w:rsidR="00E87D0C">
        <w:rPr>
          <w:rFonts w:ascii="Times New Roman" w:hAnsi="Times New Roman" w:cs="Times New Roman"/>
          <w:b/>
          <w:color w:val="auto"/>
          <w:sz w:val="22"/>
          <w:szCs w:val="22"/>
          <w:lang w:bidi="th-TH"/>
        </w:rPr>
        <w:t>5</w:t>
      </w:r>
      <w:r w:rsidRPr="00752237">
        <w:rPr>
          <w:rFonts w:ascii="Times New Roman" w:hAnsi="Times New Roman" w:cs="Times New Roman"/>
          <w:b/>
          <w:color w:val="auto"/>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Deliberações vinculativas</w:t>
      </w:r>
      <w:r w:rsidR="008C2786" w:rsidRPr="008C2786">
        <w:rPr>
          <w:rFonts w:ascii="Times New Roman" w:hAnsi="Times New Roman" w:cs="Times New Roman"/>
          <w:bCs/>
          <w:color w:val="auto"/>
          <w:sz w:val="22"/>
          <w:szCs w:val="22"/>
          <w:lang w:bidi="th-TH"/>
        </w:rPr>
        <w:t xml:space="preserve">. As deliberações tomadas pelos </w:t>
      </w:r>
      <w:r w:rsidR="003415CF" w:rsidRPr="003415CF">
        <w:rPr>
          <w:rFonts w:ascii="Times New Roman" w:hAnsi="Times New Roman" w:cs="Times New Roman"/>
          <w:bCs/>
          <w:color w:val="auto"/>
          <w:sz w:val="22"/>
          <w:szCs w:val="22"/>
          <w:lang w:bidi="th-TH"/>
        </w:rPr>
        <w:t xml:space="preserve">Titulares de Notas Comerciais </w:t>
      </w:r>
      <w:r w:rsidR="008C2786" w:rsidRPr="008C2786">
        <w:rPr>
          <w:rFonts w:ascii="Times New Roman" w:hAnsi="Times New Roman" w:cs="Times New Roman"/>
          <w:bCs/>
          <w:color w:val="auto"/>
          <w:sz w:val="22"/>
          <w:szCs w:val="22"/>
          <w:lang w:bidi="th-TH"/>
        </w:rPr>
        <w:t xml:space="preserve">em Assembleias Gerais de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no âmbito de sua competência legal, observados os quóruns nest</w:t>
      </w:r>
      <w:r w:rsidR="003415CF">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sidR="003415CF">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vincularão a Emissora e obrigarão todos os </w:t>
      </w:r>
      <w:r w:rsidR="003415CF" w:rsidRPr="003415CF">
        <w:rPr>
          <w:rFonts w:ascii="Times New Roman" w:hAnsi="Times New Roman" w:cs="Times New Roman"/>
          <w:bCs/>
          <w:color w:val="auto"/>
          <w:sz w:val="22"/>
          <w:szCs w:val="22"/>
          <w:lang w:bidi="th-TH"/>
        </w:rPr>
        <w:t>Titulares de Notas Comerciais</w:t>
      </w:r>
      <w:r w:rsidR="008C2786" w:rsidRPr="008C2786">
        <w:rPr>
          <w:rFonts w:ascii="Times New Roman" w:hAnsi="Times New Roman" w:cs="Times New Roman"/>
          <w:bCs/>
          <w:color w:val="auto"/>
          <w:sz w:val="22"/>
          <w:szCs w:val="22"/>
          <w:lang w:bidi="th-TH"/>
        </w:rPr>
        <w:t xml:space="preserve">, independentemente de terem comparecido à Assembleia Geral de </w:t>
      </w:r>
      <w:r w:rsidR="003415CF" w:rsidRPr="003415CF">
        <w:rPr>
          <w:rFonts w:ascii="Times New Roman" w:hAnsi="Times New Roman" w:cs="Times New Roman"/>
          <w:bCs/>
          <w:color w:val="auto"/>
          <w:sz w:val="22"/>
          <w:szCs w:val="22"/>
          <w:lang w:bidi="th-TH"/>
        </w:rPr>
        <w:t>Titulares de Notas Comerciais</w:t>
      </w:r>
      <w:r w:rsidR="003415CF" w:rsidRPr="003415CF" w:rsidDel="003415CF">
        <w:rPr>
          <w:rFonts w:ascii="Times New Roman" w:hAnsi="Times New Roman" w:cs="Times New Roman"/>
          <w:bCs/>
          <w:color w:val="auto"/>
          <w:sz w:val="22"/>
          <w:szCs w:val="22"/>
          <w:lang w:bidi="th-TH"/>
        </w:rPr>
        <w:t xml:space="preserve"> </w:t>
      </w:r>
      <w:r w:rsidR="008C2786" w:rsidRPr="008C2786">
        <w:rPr>
          <w:rFonts w:ascii="Times New Roman" w:hAnsi="Times New Roman" w:cs="Times New Roman"/>
          <w:bCs/>
          <w:color w:val="auto"/>
          <w:sz w:val="22"/>
          <w:szCs w:val="22"/>
          <w:lang w:bidi="th-TH"/>
        </w:rPr>
        <w:t xml:space="preserve">ou do voto proferido nas respectivas Assembleias Gerais de </w:t>
      </w:r>
      <w:r w:rsidR="003415CF" w:rsidRPr="003415CF">
        <w:rPr>
          <w:rFonts w:ascii="Times New Roman" w:hAnsi="Times New Roman" w:cs="Times New Roman"/>
          <w:bCs/>
          <w:color w:val="auto"/>
          <w:sz w:val="22"/>
          <w:szCs w:val="22"/>
          <w:lang w:bidi="th-TH"/>
        </w:rPr>
        <w:t>Titulares de Notas Comerciais</w:t>
      </w:r>
      <w:r w:rsidR="003415CF">
        <w:rPr>
          <w:rFonts w:ascii="Times New Roman" w:hAnsi="Times New Roman" w:cs="Times New Roman"/>
          <w:bCs/>
          <w:color w:val="auto"/>
          <w:sz w:val="22"/>
          <w:szCs w:val="22"/>
          <w:lang w:bidi="th-TH"/>
        </w:rPr>
        <w:t>.</w:t>
      </w:r>
    </w:p>
    <w:p w14:paraId="6F7B5C5A" w14:textId="77777777" w:rsidR="008C2786" w:rsidRPr="008C2786" w:rsidRDefault="008C2786" w:rsidP="008C2786">
      <w:pPr>
        <w:pStyle w:val="Default"/>
        <w:widowControl w:val="0"/>
        <w:spacing w:line="312" w:lineRule="auto"/>
        <w:jc w:val="both"/>
        <w:rPr>
          <w:rFonts w:ascii="Times New Roman" w:hAnsi="Times New Roman" w:cs="Times New Roman"/>
          <w:bCs/>
          <w:color w:val="auto"/>
          <w:sz w:val="22"/>
          <w:szCs w:val="22"/>
          <w:lang w:bidi="th-TH"/>
        </w:rPr>
      </w:pPr>
    </w:p>
    <w:p w14:paraId="0D521746" w14:textId="686D8977" w:rsidR="00C93FA1" w:rsidRPr="00BA75E8" w:rsidRDefault="00263B05" w:rsidP="00B23908">
      <w:pPr>
        <w:pStyle w:val="Default"/>
        <w:widowControl w:val="0"/>
        <w:spacing w:line="312" w:lineRule="auto"/>
        <w:jc w:val="both"/>
        <w:rPr>
          <w:rFonts w:ascii="Times New Roman" w:hAnsi="Times New Roman" w:cs="Times New Roman"/>
          <w:bCs/>
          <w:color w:val="auto"/>
          <w:sz w:val="22"/>
          <w:szCs w:val="22"/>
          <w:lang w:bidi="th-TH"/>
        </w:rPr>
      </w:pPr>
      <w:r w:rsidRPr="007E2F06">
        <w:rPr>
          <w:rFonts w:ascii="Times New Roman" w:hAnsi="Times New Roman" w:cs="Times New Roman"/>
          <w:b/>
          <w:sz w:val="22"/>
          <w:szCs w:val="22"/>
          <w:lang w:bidi="th-TH"/>
        </w:rPr>
        <w:t>8.</w:t>
      </w:r>
      <w:r w:rsidR="00E87D0C" w:rsidRPr="007E2F06">
        <w:rPr>
          <w:rFonts w:ascii="Times New Roman" w:hAnsi="Times New Roman" w:cs="Times New Roman"/>
          <w:b/>
          <w:sz w:val="22"/>
          <w:szCs w:val="22"/>
          <w:lang w:bidi="th-TH"/>
        </w:rPr>
        <w:t>6</w:t>
      </w:r>
      <w:r w:rsidR="008C2786" w:rsidRPr="007E2F06">
        <w:rPr>
          <w:rFonts w:ascii="Times New Roman" w:hAnsi="Times New Roman" w:cs="Times New Roman"/>
          <w:b/>
          <w:sz w:val="22"/>
          <w:szCs w:val="22"/>
          <w:lang w:bidi="th-TH"/>
        </w:rPr>
        <w:t>.</w:t>
      </w:r>
      <w:r w:rsidR="008C2786" w:rsidRPr="008C2786">
        <w:rPr>
          <w:rFonts w:ascii="Times New Roman" w:hAnsi="Times New Roman" w:cs="Times New Roman"/>
          <w:bCs/>
          <w:color w:val="auto"/>
          <w:sz w:val="22"/>
          <w:szCs w:val="22"/>
          <w:lang w:bidi="th-TH"/>
        </w:rPr>
        <w:tab/>
      </w:r>
      <w:r w:rsidR="008C2786" w:rsidRPr="007E2F06">
        <w:rPr>
          <w:rFonts w:ascii="Times New Roman" w:hAnsi="Times New Roman" w:cs="Times New Roman"/>
          <w:bCs/>
          <w:color w:val="auto"/>
          <w:sz w:val="22"/>
          <w:szCs w:val="22"/>
          <w:u w:val="single"/>
          <w:lang w:bidi="th-TH"/>
        </w:rPr>
        <w:t>Vinculação às Decisões dos Titulares de CRI</w:t>
      </w:r>
      <w:r w:rsidR="008C2786" w:rsidRPr="008C2786">
        <w:rPr>
          <w:rFonts w:ascii="Times New Roman" w:hAnsi="Times New Roman" w:cs="Times New Roman"/>
          <w:bCs/>
          <w:color w:val="auto"/>
          <w:sz w:val="22"/>
          <w:szCs w:val="22"/>
          <w:lang w:bidi="th-TH"/>
        </w:rPr>
        <w:t>. Nas deliberações da Assembleia Geral, as decisões da Securitizadora, no âmbito dest</w:t>
      </w:r>
      <w:r>
        <w:rPr>
          <w:rFonts w:ascii="Times New Roman" w:hAnsi="Times New Roman" w:cs="Times New Roman"/>
          <w:bCs/>
          <w:color w:val="auto"/>
          <w:sz w:val="22"/>
          <w:szCs w:val="22"/>
          <w:lang w:bidi="th-TH"/>
        </w:rPr>
        <w:t>e</w:t>
      </w:r>
      <w:r w:rsidR="008C2786" w:rsidRPr="008C2786">
        <w:rPr>
          <w:rFonts w:ascii="Times New Roman" w:hAnsi="Times New Roman" w:cs="Times New Roman"/>
          <w:bCs/>
          <w:color w:val="auto"/>
          <w:sz w:val="22"/>
          <w:szCs w:val="22"/>
          <w:lang w:bidi="th-TH"/>
        </w:rPr>
        <w:t xml:space="preserve"> </w:t>
      </w:r>
      <w:r>
        <w:rPr>
          <w:rFonts w:ascii="Times New Roman" w:hAnsi="Times New Roman" w:cs="Times New Roman"/>
          <w:bCs/>
          <w:color w:val="auto"/>
          <w:sz w:val="22"/>
          <w:szCs w:val="22"/>
          <w:lang w:bidi="th-TH"/>
        </w:rPr>
        <w:t>Instrumento</w:t>
      </w:r>
      <w:r w:rsidR="008C2786" w:rsidRPr="008C2786">
        <w:rPr>
          <w:rFonts w:ascii="Times New Roman" w:hAnsi="Times New Roman" w:cs="Times New Roman"/>
          <w:bCs/>
          <w:color w:val="auto"/>
          <w:sz w:val="22"/>
          <w:szCs w:val="22"/>
          <w:lang w:bidi="th-TH"/>
        </w:rPr>
        <w:t xml:space="preserve"> de Emissão, enquanto titular </w:t>
      </w:r>
      <w:r>
        <w:rPr>
          <w:rFonts w:ascii="Times New Roman" w:hAnsi="Times New Roman" w:cs="Times New Roman"/>
          <w:bCs/>
          <w:color w:val="auto"/>
          <w:sz w:val="22"/>
          <w:szCs w:val="22"/>
          <w:lang w:bidi="th-TH"/>
        </w:rPr>
        <w:t>das Notas Comerciais</w:t>
      </w:r>
      <w:r w:rsidR="008C2786" w:rsidRPr="008C2786">
        <w:rPr>
          <w:rFonts w:ascii="Times New Roman" w:hAnsi="Times New Roman" w:cs="Times New Roman"/>
          <w:bCs/>
          <w:color w:val="auto"/>
          <w:sz w:val="22"/>
          <w:szCs w:val="22"/>
          <w:lang w:bidi="th-TH"/>
        </w:rPr>
        <w:t xml:space="preserve">, deverão observar o disposto no Termo de Securitização e o que vier a ser deliberado pelos titulares de CRI. </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4" w:name="_Toc486445799"/>
      <w:bookmarkStart w:id="125" w:name="_Toc486448708"/>
      <w:bookmarkStart w:id="126" w:name="_Toc534701401"/>
      <w:bookmarkStart w:id="127" w:name="_Toc505003746"/>
      <w:r w:rsidRPr="00BA75E8">
        <w:rPr>
          <w:rFonts w:ascii="Times New Roman" w:hAnsi="Times New Roman" w:cs="Times New Roman"/>
          <w:caps w:val="0"/>
          <w:sz w:val="22"/>
          <w:szCs w:val="22"/>
        </w:rPr>
        <w:t>DESPESAS</w:t>
      </w:r>
      <w:bookmarkEnd w:id="124"/>
      <w:bookmarkEnd w:id="125"/>
      <w:bookmarkEnd w:id="126"/>
      <w:bookmarkEnd w:id="127"/>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75E330EB"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Em relação às demais despesas recorrentes que não forem objeto de abatimento do Preço de Integralização, tais despesas serão arcadas: (i) prioritariamente com recursos do Fundo de Despesas; e (</w:t>
      </w:r>
      <w:proofErr w:type="spellStart"/>
      <w:r w:rsidR="00A23EF3" w:rsidRPr="00BA75E8">
        <w:rPr>
          <w:rFonts w:ascii="Times New Roman" w:eastAsia="Arial Unicode MS" w:hAnsi="Times New Roman" w:cs="Times New Roman"/>
          <w:sz w:val="22"/>
          <w:szCs w:val="22"/>
        </w:rPr>
        <w:t>iii</w:t>
      </w:r>
      <w:proofErr w:type="spellEnd"/>
      <w:r w:rsidR="00A23EF3" w:rsidRPr="00BA75E8">
        <w:rPr>
          <w:rFonts w:ascii="Times New Roman" w:eastAsia="Arial Unicode MS" w:hAnsi="Times New Roman" w:cs="Times New Roman"/>
          <w:sz w:val="22"/>
          <w:szCs w:val="22"/>
        </w:rPr>
        <w:t>) caso a Emissora</w:t>
      </w:r>
      <w:r w:rsidR="000674DE">
        <w:rPr>
          <w:rFonts w:ascii="Times New Roman" w:eastAsia="Arial Unicode MS" w:hAnsi="Times New Roman" w:cs="Times New Roman"/>
          <w:sz w:val="22"/>
          <w:szCs w:val="22"/>
        </w:rPr>
        <w:t xml:space="preserve"> ou os Fiadores</w:t>
      </w:r>
      <w:r w:rsidR="00A23EF3" w:rsidRPr="00BA75E8">
        <w:rPr>
          <w:rFonts w:ascii="Times New Roman" w:eastAsia="Arial Unicode MS" w:hAnsi="Times New Roman" w:cs="Times New Roman"/>
          <w:sz w:val="22"/>
          <w:szCs w:val="22"/>
        </w:rPr>
        <w:t xml:space="preserve"> não arque</w:t>
      </w:r>
      <w:r w:rsidR="000674DE">
        <w:rPr>
          <w:rFonts w:ascii="Times New Roman" w:eastAsia="Arial Unicode MS" w:hAnsi="Times New Roman" w:cs="Times New Roman"/>
          <w:sz w:val="22"/>
          <w:szCs w:val="22"/>
        </w:rPr>
        <w:t>m</w:t>
      </w:r>
      <w:r w:rsidR="00A23EF3" w:rsidRPr="00BA75E8">
        <w:rPr>
          <w:rFonts w:ascii="Times New Roman" w:eastAsia="Arial Unicode MS" w:hAnsi="Times New Roman" w:cs="Times New Roman"/>
          <w:sz w:val="22"/>
          <w:szCs w:val="22"/>
        </w:rPr>
        <w:t xml:space="preserve"> com as </w:t>
      </w:r>
      <w:r w:rsidR="000674DE">
        <w:rPr>
          <w:rFonts w:ascii="Times New Roman" w:eastAsia="Arial Unicode MS" w:hAnsi="Times New Roman" w:cs="Times New Roman"/>
          <w:sz w:val="22"/>
          <w:szCs w:val="22"/>
        </w:rPr>
        <w:t>D</w:t>
      </w:r>
      <w:r w:rsidR="000674DE" w:rsidRPr="00BA75E8">
        <w:rPr>
          <w:rFonts w:ascii="Times New Roman" w:eastAsia="Arial Unicode MS" w:hAnsi="Times New Roman" w:cs="Times New Roman"/>
          <w:sz w:val="22"/>
          <w:szCs w:val="22"/>
        </w:rPr>
        <w:t>espesas</w:t>
      </w:r>
      <w:r w:rsidR="000674DE">
        <w:rPr>
          <w:rFonts w:ascii="Times New Roman" w:eastAsia="Arial Unicode MS" w:hAnsi="Times New Roman" w:cs="Times New Roman"/>
          <w:sz w:val="22"/>
          <w:szCs w:val="22"/>
        </w:rPr>
        <w:t xml:space="preserve"> ou não recomponha</w:t>
      </w:r>
      <w:r w:rsidR="00610B38">
        <w:rPr>
          <w:rFonts w:ascii="Times New Roman" w:eastAsia="Arial Unicode MS" w:hAnsi="Times New Roman" w:cs="Times New Roman"/>
          <w:sz w:val="22"/>
          <w:szCs w:val="22"/>
        </w:rPr>
        <w:t>m</w:t>
      </w:r>
      <w:r w:rsidR="000674DE">
        <w:rPr>
          <w:rFonts w:ascii="Times New Roman" w:eastAsia="Arial Unicode MS" w:hAnsi="Times New Roman" w:cs="Times New Roman"/>
          <w:sz w:val="22"/>
          <w:szCs w:val="22"/>
        </w:rPr>
        <w:t xml:space="preserve"> o Fundo de Despesas, ou ainda ou não haja Recebíveis suficientes para sua recomposição, as Despesas poderão ser arcadas</w:t>
      </w:r>
      <w:r w:rsidR="00A23EF3" w:rsidRPr="00BA75E8">
        <w:rPr>
          <w:rFonts w:ascii="Times New Roman" w:eastAsia="Arial Unicode MS" w:hAnsi="Times New Roman" w:cs="Times New Roman"/>
          <w:sz w:val="22"/>
          <w:szCs w:val="22"/>
        </w:rPr>
        <w:t xml:space="preserve"> com recursos do Fundo de Reserva e do Fundo de Obras, atrelados ao Patrimônio Separado</w:t>
      </w:r>
      <w:r w:rsidR="000674DE">
        <w:rPr>
          <w:rFonts w:ascii="Times New Roman" w:eastAsia="Arial Unicode MS" w:hAnsi="Times New Roman" w:cs="Times New Roman"/>
          <w:sz w:val="22"/>
          <w:szCs w:val="22"/>
        </w:rPr>
        <w:t>, sem prejuízo dos termos e condições pactuados nos Documentos da Operação no que tange às obrigações pecuniárias da Emissora e dos Fiadores</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 xml:space="preserve">Valor Mínimo Fundo de </w:t>
      </w:r>
      <w:r w:rsidRPr="00BA75E8">
        <w:rPr>
          <w:rFonts w:ascii="Times New Roman" w:hAnsi="Times New Roman" w:cs="Times New Roman"/>
          <w:sz w:val="22"/>
          <w:szCs w:val="22"/>
          <w:u w:val="single"/>
        </w:rPr>
        <w:lastRenderedPageBreak/>
        <w:t>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35DAD12"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0674DE">
        <w:rPr>
          <w:rFonts w:ascii="Times New Roman" w:hAnsi="Times New Roman" w:cs="Times New Roman"/>
          <w:sz w:val="22"/>
          <w:szCs w:val="22"/>
        </w:rPr>
        <w:t>em instrumentos financeiros</w:t>
      </w:r>
      <w:r w:rsidR="005C6E4C" w:rsidRPr="00BA75E8">
        <w:rPr>
          <w:rFonts w:ascii="Times New Roman" w:hAnsi="Times New Roman" w:cs="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005C6E4C" w:rsidRPr="00BA75E8">
        <w:rPr>
          <w:rFonts w:ascii="Times New Roman" w:hAnsi="Times New Roman" w:cs="Times New Roman"/>
          <w:sz w:val="22"/>
          <w:szCs w:val="22"/>
        </w:rPr>
        <w:t>ii</w:t>
      </w:r>
      <w:proofErr w:type="spellEnd"/>
      <w:r w:rsidR="005C6E4C" w:rsidRPr="00BA75E8">
        <w:rPr>
          <w:rFonts w:ascii="Times New Roman" w:hAnsi="Times New Roman" w:cs="Times New Roman"/>
          <w:sz w:val="22"/>
          <w:szCs w:val="22"/>
        </w:rPr>
        <w:t>) se expressamente previsto no</w:t>
      </w:r>
      <w:r w:rsidR="00397A0C">
        <w:rPr>
          <w:rFonts w:ascii="Times New Roman" w:hAnsi="Times New Roman" w:cs="Times New Roman"/>
          <w:sz w:val="22"/>
          <w:szCs w:val="22"/>
        </w:rPr>
        <w:t>s</w:t>
      </w:r>
      <w:r w:rsidR="005C6E4C" w:rsidRPr="00BA75E8">
        <w:rPr>
          <w:rFonts w:ascii="Times New Roman" w:hAnsi="Times New Roman" w:cs="Times New Roman"/>
          <w:sz w:val="22"/>
          <w:szCs w:val="22"/>
        </w:rPr>
        <w:t xml:space="preserve"> </w:t>
      </w:r>
      <w:r w:rsidR="00397A0C">
        <w:rPr>
          <w:rFonts w:ascii="Times New Roman" w:hAnsi="Times New Roman" w:cs="Times New Roman"/>
          <w:sz w:val="22"/>
          <w:szCs w:val="22"/>
        </w:rPr>
        <w:t xml:space="preserve">Documentos da Operação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68695FB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w:t>
      </w:r>
      <w:r w:rsidR="00102889">
        <w:rPr>
          <w:rFonts w:ascii="Times New Roman" w:hAnsi="Times New Roman" w:cs="Times New Roman"/>
          <w:sz w:val="22"/>
          <w:szCs w:val="22"/>
        </w:rPr>
        <w:t>s</w:t>
      </w:r>
      <w:r w:rsidRPr="00BA75E8">
        <w:rPr>
          <w:rFonts w:ascii="Times New Roman" w:hAnsi="Times New Roman" w:cs="Times New Roman"/>
          <w:sz w:val="22"/>
          <w:szCs w:val="22"/>
        </w:rPr>
        <w:t xml:space="preserve">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351E6B2D"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5E1333">
        <w:rPr>
          <w:rFonts w:ascii="Times New Roman" w:hAnsi="Times New Roman" w:cs="Times New Roman"/>
          <w:sz w:val="22"/>
          <w:szCs w:val="22"/>
        </w:rPr>
        <w:t>e/</w:t>
      </w:r>
      <w:r w:rsidR="00A43A98">
        <w:rPr>
          <w:rFonts w:ascii="Times New Roman" w:hAnsi="Times New Roman" w:cs="Times New Roman"/>
          <w:sz w:val="22"/>
          <w:szCs w:val="22"/>
        </w:rPr>
        <w:t xml:space="preserve">ou mediante aporte pela Emissora ou pelos Fiadores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Valor Inicial do Fundo de Obras</w:t>
      </w:r>
      <w:r w:rsidRPr="007E2F06">
        <w:rPr>
          <w:rFonts w:ascii="Times New Roman" w:hAnsi="Times New Roman" w:cs="Times New Roman"/>
          <w:sz w:val="22"/>
          <w:szCs w:val="22"/>
        </w:rPr>
        <w:t xml:space="preserve">”), </w:t>
      </w:r>
      <w:r w:rsidRPr="00BA75E8">
        <w:rPr>
          <w:rFonts w:ascii="Times New Roman" w:hAnsi="Times New Roman" w:cs="Times New Roman"/>
          <w:sz w:val="22"/>
          <w:szCs w:val="22"/>
        </w:rPr>
        <w:t xml:space="preserve">montante </w:t>
      </w:r>
      <w:r w:rsidR="00633A97">
        <w:rPr>
          <w:rFonts w:ascii="Times New Roman" w:hAnsi="Times New Roman" w:cs="Times New Roman"/>
          <w:sz w:val="22"/>
          <w:szCs w:val="22"/>
        </w:rPr>
        <w:t xml:space="preserve">este </w:t>
      </w:r>
      <w:r w:rsidRPr="00BA75E8">
        <w:rPr>
          <w:rFonts w:ascii="Times New Roman" w:hAnsi="Times New Roman" w:cs="Times New Roman"/>
          <w:sz w:val="22"/>
          <w:szCs w:val="22"/>
        </w:rPr>
        <w:t>correspondente a</w:t>
      </w:r>
      <w:r w:rsidR="00FC20DB">
        <w:rPr>
          <w:rFonts w:ascii="Times New Roman" w:hAnsi="Times New Roman" w:cs="Times New Roman"/>
          <w:sz w:val="22"/>
          <w:szCs w:val="22"/>
        </w:rPr>
        <w:t>o</w:t>
      </w:r>
      <w:r w:rsidRPr="00BA75E8">
        <w:rPr>
          <w:rFonts w:ascii="Times New Roman" w:hAnsi="Times New Roman" w:cs="Times New Roman"/>
          <w:sz w:val="22"/>
          <w:szCs w:val="22"/>
        </w:rPr>
        <w:t xml:space="preserve"> valor necessário para execução das obras do Empreendimento Imobiliário, conforme validado e informado pelo relatório elaborado pelo Grupo Energia</w:t>
      </w:r>
      <w:r w:rsidR="00633A97">
        <w:rPr>
          <w:rFonts w:ascii="Times New Roman" w:hAnsi="Times New Roman" w:cs="Times New Roman"/>
          <w:sz w:val="22"/>
          <w:szCs w:val="22"/>
        </w:rPr>
        <w:t>.</w:t>
      </w:r>
      <w:r w:rsidR="00633A97">
        <w:rPr>
          <w:rFonts w:ascii="Times New Roman" w:hAnsi="Times New Roman" w:cs="Times New Roman"/>
          <w:b/>
          <w:bCs/>
          <w:sz w:val="22"/>
          <w:szCs w:val="22"/>
        </w:rPr>
        <w:t xml:space="preserve"> </w:t>
      </w:r>
    </w:p>
    <w:p w14:paraId="3E01A0D7" w14:textId="77777777" w:rsidR="00F54BFB" w:rsidRPr="00BA75E8" w:rsidRDefault="00F54BFB" w:rsidP="00F54BFB">
      <w:pPr>
        <w:spacing w:line="300" w:lineRule="auto"/>
        <w:jc w:val="both"/>
        <w:rPr>
          <w:sz w:val="22"/>
          <w:szCs w:val="22"/>
        </w:rPr>
      </w:pPr>
    </w:p>
    <w:p w14:paraId="5F842907" w14:textId="7C117592"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w:t>
      </w:r>
      <w:r w:rsidR="00633A97">
        <w:rPr>
          <w:color w:val="000000"/>
          <w:sz w:val="22"/>
          <w:szCs w:val="22"/>
        </w:rPr>
        <w:t xml:space="preserve">pelo Grupo Energia, </w:t>
      </w:r>
      <w:r w:rsidRPr="00BA75E8">
        <w:rPr>
          <w:color w:val="000000"/>
          <w:sz w:val="22"/>
          <w:szCs w:val="22"/>
        </w:rPr>
        <w:t xml:space="preserve">empresa de engenharia independente, contratada </w:t>
      </w:r>
      <w:r w:rsidR="00633A97">
        <w:rPr>
          <w:color w:val="000000"/>
          <w:sz w:val="22"/>
          <w:szCs w:val="22"/>
        </w:rPr>
        <w:t xml:space="preserve">pela Emissora </w:t>
      </w:r>
      <w:r w:rsidRPr="00BA75E8">
        <w:rPr>
          <w:color w:val="000000"/>
          <w:sz w:val="22"/>
          <w:szCs w:val="22"/>
        </w:rPr>
        <w:t>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que deverá realizar a medição financeira e física das obras em periodicidade mensal ou menor, emitindo o respectivo Relatório de Medição.</w:t>
      </w:r>
    </w:p>
    <w:p w14:paraId="6C26D1F9" w14:textId="77777777" w:rsidR="00F54BFB" w:rsidRPr="00BA75E8" w:rsidRDefault="00F54BFB" w:rsidP="00F54BFB">
      <w:pPr>
        <w:pStyle w:val="PargrafodaLista"/>
        <w:spacing w:line="300" w:lineRule="auto"/>
        <w:ind w:left="360"/>
        <w:rPr>
          <w:sz w:val="22"/>
          <w:szCs w:val="22"/>
        </w:rPr>
      </w:pPr>
    </w:p>
    <w:p w14:paraId="285234E5" w14:textId="008E53D7"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3</w:t>
      </w:r>
      <w:r w:rsidR="00F54BFB" w:rsidRPr="006F235D">
        <w:rPr>
          <w:b/>
          <w:bCs/>
          <w:sz w:val="22"/>
          <w:szCs w:val="22"/>
        </w:rPr>
        <w:t>.</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2898E56F"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4</w:t>
      </w:r>
      <w:r w:rsidR="00F54BFB" w:rsidRPr="00BA75E8">
        <w:rPr>
          <w:sz w:val="22"/>
          <w:szCs w:val="22"/>
        </w:rPr>
        <w:t>. Os recursos objeto do Fundo de Obras somente serão liberados à Conta de Livre Movimentação mediante</w:t>
      </w:r>
      <w:r w:rsidR="00F927BD">
        <w:rPr>
          <w:sz w:val="22"/>
          <w:szCs w:val="22"/>
        </w:rPr>
        <w:t xml:space="preserve"> </w:t>
      </w:r>
      <w:r w:rsidR="000C0A00" w:rsidRPr="000C0A00">
        <w:rPr>
          <w:sz w:val="22"/>
          <w:szCs w:val="22"/>
        </w:rPr>
        <w:t xml:space="preserve">apresentação </w:t>
      </w:r>
      <w:r w:rsidR="00F927BD">
        <w:rPr>
          <w:sz w:val="22"/>
          <w:szCs w:val="22"/>
        </w:rPr>
        <w:t xml:space="preserve">mensal </w:t>
      </w:r>
      <w:r w:rsidR="00DA573A">
        <w:rPr>
          <w:sz w:val="22"/>
          <w:szCs w:val="22"/>
        </w:rPr>
        <w:t xml:space="preserve">obrigatória </w:t>
      </w:r>
      <w:r w:rsidR="000C0A00" w:rsidRPr="000C0A00">
        <w:rPr>
          <w:sz w:val="22"/>
          <w:szCs w:val="22"/>
        </w:rPr>
        <w:t xml:space="preserve">de avaliação técnica do projeto e contratação de acompanhamento mensal do andamento do cronograma físico financeiro estipulado pela </w:t>
      </w:r>
      <w:r w:rsidR="001F4014">
        <w:rPr>
          <w:sz w:val="22"/>
          <w:szCs w:val="22"/>
        </w:rPr>
        <w:t>E</w:t>
      </w:r>
      <w:r w:rsidR="001F4014" w:rsidRPr="000C0A00">
        <w:rPr>
          <w:sz w:val="22"/>
          <w:szCs w:val="22"/>
        </w:rPr>
        <w:t>mpresa</w:t>
      </w:r>
      <w:r w:rsidR="001F4014">
        <w:rPr>
          <w:sz w:val="22"/>
          <w:szCs w:val="22"/>
        </w:rPr>
        <w:t xml:space="preserve"> de Engenharia</w:t>
      </w:r>
      <w:r w:rsidR="001F4014" w:rsidRPr="000C0A00">
        <w:rPr>
          <w:sz w:val="22"/>
          <w:szCs w:val="22"/>
        </w:rPr>
        <w:t xml:space="preserve"> </w:t>
      </w:r>
      <w:r w:rsidR="00487297">
        <w:rPr>
          <w:sz w:val="22"/>
          <w:szCs w:val="22"/>
        </w:rPr>
        <w:t>I</w:t>
      </w:r>
      <w:r w:rsidR="00487297" w:rsidRPr="000C0A00">
        <w:rPr>
          <w:sz w:val="22"/>
          <w:szCs w:val="22"/>
        </w:rPr>
        <w:t>ndependente</w:t>
      </w:r>
      <w:r w:rsidR="000C0A00" w:rsidRPr="000C0A00">
        <w:rPr>
          <w:sz w:val="22"/>
          <w:szCs w:val="22"/>
        </w:rPr>
        <w:t>, definida em comum acordo entre a Emissora e a Credora</w:t>
      </w:r>
      <w:r w:rsidR="00F927BD">
        <w:rPr>
          <w:sz w:val="22"/>
          <w:szCs w:val="22"/>
        </w:rPr>
        <w:t xml:space="preserve"> </w:t>
      </w:r>
      <w:r w:rsidR="00F54BFB" w:rsidRPr="00BA75E8">
        <w:rPr>
          <w:sz w:val="22"/>
          <w:szCs w:val="22"/>
        </w:rPr>
        <w:t xml:space="preserve">pela Emissora </w:t>
      </w:r>
      <w:r w:rsidR="00DF22F8" w:rsidRPr="00BA75E8">
        <w:rPr>
          <w:sz w:val="22"/>
          <w:szCs w:val="22"/>
        </w:rPr>
        <w:t>para a Securitizadora</w:t>
      </w:r>
      <w:r w:rsidR="00DF22F8" w:rsidRPr="00BA75E8" w:rsidDel="00D208BB">
        <w:rPr>
          <w:sz w:val="22"/>
          <w:szCs w:val="22"/>
        </w:rPr>
        <w:t xml:space="preserve"> </w:t>
      </w:r>
      <w:r w:rsidR="00DF22F8" w:rsidRPr="00BA75E8">
        <w:rPr>
          <w:sz w:val="22"/>
          <w:szCs w:val="22"/>
        </w:rPr>
        <w:t>do relatório de medição de obra,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 xml:space="preserve">Eventual valor excedente, objeto do Fundo de Obras, será depositado em favor da Emissora, na Conta de Livre Movimentação, em até 5 (cinco) Dias Úteis após o recebimento </w:t>
      </w:r>
      <w:r w:rsidR="004648A3">
        <w:rPr>
          <w:sz w:val="22"/>
          <w:szCs w:val="22"/>
        </w:rPr>
        <w:t>pela Securitizadora</w:t>
      </w:r>
      <w:r w:rsidR="00F23886">
        <w:rPr>
          <w:sz w:val="22"/>
          <w:szCs w:val="22"/>
        </w:rPr>
        <w:t>, com cópia para o</w:t>
      </w:r>
      <w:r w:rsidR="004648A3" w:rsidRPr="00BA75E8">
        <w:rPr>
          <w:sz w:val="22"/>
          <w:szCs w:val="22"/>
        </w:rPr>
        <w:t xml:space="preserve"> </w:t>
      </w:r>
      <w:r w:rsidR="003470EC" w:rsidRPr="00BA75E8">
        <w:rPr>
          <w:sz w:val="22"/>
          <w:szCs w:val="22"/>
        </w:rPr>
        <w:t>Agente Fiduciário dos CRI, com cópia para a Securitizadora</w:t>
      </w:r>
      <w:r w:rsidR="003470EC" w:rsidRPr="00BA75E8" w:rsidDel="00D208BB">
        <w:rPr>
          <w:sz w:val="22"/>
          <w:szCs w:val="22"/>
        </w:rPr>
        <w:t xml:space="preserve"> </w:t>
      </w:r>
      <w:r w:rsidR="003470EC" w:rsidRPr="00BA75E8">
        <w:rPr>
          <w:sz w:val="22"/>
          <w:szCs w:val="22"/>
        </w:rPr>
        <w:t>do Relatório de Medição que ateste a devida conclusão das obras</w:t>
      </w:r>
      <w:r w:rsidR="00F54BFB" w:rsidRPr="00BA75E8">
        <w:rPr>
          <w:sz w:val="22"/>
          <w:szCs w:val="22"/>
        </w:rPr>
        <w:t>.</w:t>
      </w:r>
    </w:p>
    <w:p w14:paraId="78EBA41B" w14:textId="77777777" w:rsidR="00F54BFB" w:rsidRPr="00BA75E8" w:rsidRDefault="00F54BFB" w:rsidP="00F54BFB">
      <w:pPr>
        <w:pStyle w:val="PargrafodaLista"/>
        <w:spacing w:line="300" w:lineRule="auto"/>
        <w:ind w:left="360"/>
        <w:rPr>
          <w:sz w:val="22"/>
          <w:szCs w:val="22"/>
        </w:rPr>
      </w:pPr>
    </w:p>
    <w:p w14:paraId="133C1BAE" w14:textId="3BA19D58" w:rsidR="004F3B77" w:rsidRDefault="00155121"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5</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r w:rsidR="00372750" w:rsidRPr="00372750">
        <w:rPr>
          <w:sz w:val="22"/>
          <w:szCs w:val="22"/>
        </w:rPr>
        <w:t xml:space="preserve"> </w:t>
      </w:r>
    </w:p>
    <w:p w14:paraId="04D694AE" w14:textId="77777777" w:rsidR="00372750" w:rsidRDefault="00372750" w:rsidP="00F54BFB">
      <w:pPr>
        <w:spacing w:line="300" w:lineRule="auto"/>
        <w:jc w:val="both"/>
        <w:rPr>
          <w:sz w:val="22"/>
          <w:szCs w:val="22"/>
        </w:rPr>
      </w:pPr>
    </w:p>
    <w:p w14:paraId="6BCCA058" w14:textId="1B1908DC" w:rsidR="004F3B77" w:rsidRPr="00BA75E8" w:rsidRDefault="004F3B77" w:rsidP="00F54BFB">
      <w:pPr>
        <w:spacing w:line="300" w:lineRule="auto"/>
        <w:jc w:val="both"/>
        <w:rPr>
          <w:sz w:val="22"/>
          <w:szCs w:val="22"/>
        </w:rPr>
      </w:pPr>
      <w:r w:rsidRPr="00752237">
        <w:rPr>
          <w:b/>
          <w:bCs/>
          <w:sz w:val="22"/>
          <w:szCs w:val="22"/>
        </w:rPr>
        <w:t>9.3.5.1.</w:t>
      </w:r>
      <w:r>
        <w:rPr>
          <w:sz w:val="22"/>
          <w:szCs w:val="22"/>
        </w:rPr>
        <w:t xml:space="preserve"> Caso seja verificado em um Relatório de Medição que os Recursos disponíveis no Fundo de Obras não serão suficientes para arcar com os custos subsequentes da obra, a Emissora se compromete a aportar recursos </w:t>
      </w:r>
      <w:r w:rsidR="006804FA">
        <w:rPr>
          <w:sz w:val="22"/>
          <w:szCs w:val="22"/>
        </w:rPr>
        <w:t xml:space="preserve">próprios </w:t>
      </w:r>
      <w:r>
        <w:rPr>
          <w:sz w:val="22"/>
          <w:szCs w:val="22"/>
        </w:rPr>
        <w:t>na Conta do Patrimônio Separado par</w:t>
      </w:r>
      <w:r w:rsidR="006804FA">
        <w:rPr>
          <w:sz w:val="22"/>
          <w:szCs w:val="22"/>
        </w:rPr>
        <w:t>a</w:t>
      </w:r>
      <w:r>
        <w:rPr>
          <w:sz w:val="22"/>
          <w:szCs w:val="22"/>
        </w:rPr>
        <w:t xml:space="preserve"> fins de </w:t>
      </w:r>
      <w:r w:rsidR="004743CB">
        <w:rPr>
          <w:sz w:val="22"/>
          <w:szCs w:val="22"/>
        </w:rPr>
        <w:t>recomposição do Fundo de Obras</w:t>
      </w:r>
      <w:r w:rsidR="00DE32FC">
        <w:rPr>
          <w:sz w:val="22"/>
          <w:szCs w:val="22"/>
        </w:rPr>
        <w:t xml:space="preserve">, em até 5 (cinco) Dias Úteis a contar </w:t>
      </w:r>
      <w:r w:rsidR="002356CA">
        <w:rPr>
          <w:sz w:val="22"/>
          <w:szCs w:val="22"/>
        </w:rPr>
        <w:t xml:space="preserve">do recebimento de </w:t>
      </w:r>
      <w:r w:rsidR="00DE32FC">
        <w:rPr>
          <w:sz w:val="22"/>
          <w:szCs w:val="22"/>
        </w:rPr>
        <w:t>notificação da Credor</w:t>
      </w:r>
      <w:r w:rsidR="002356CA">
        <w:rPr>
          <w:sz w:val="22"/>
          <w:szCs w:val="22"/>
        </w:rPr>
        <w:t>a</w:t>
      </w:r>
      <w:r w:rsidR="004743CB">
        <w:rPr>
          <w:sz w:val="22"/>
          <w:szCs w:val="22"/>
        </w:rPr>
        <w:t>.</w:t>
      </w:r>
      <w:r w:rsidR="008E2674">
        <w:rPr>
          <w:sz w:val="22"/>
          <w:szCs w:val="22"/>
        </w:rPr>
        <w:t xml:space="preserve"> </w:t>
      </w:r>
    </w:p>
    <w:p w14:paraId="3BB71514" w14:textId="77777777" w:rsidR="00F54BFB" w:rsidRPr="00BA75E8" w:rsidRDefault="00F54BFB" w:rsidP="00F54BFB">
      <w:pPr>
        <w:spacing w:line="300" w:lineRule="auto"/>
        <w:jc w:val="both"/>
        <w:rPr>
          <w:sz w:val="22"/>
          <w:szCs w:val="22"/>
        </w:rPr>
      </w:pPr>
    </w:p>
    <w:p w14:paraId="6A394994" w14:textId="6DE41D3E" w:rsidR="00153DA4" w:rsidRPr="00BA75E8" w:rsidRDefault="00153DA4" w:rsidP="00153DA4">
      <w:pPr>
        <w:spacing w:line="300" w:lineRule="auto"/>
        <w:jc w:val="both"/>
        <w:rPr>
          <w:sz w:val="22"/>
          <w:szCs w:val="22"/>
        </w:rPr>
      </w:pPr>
      <w:r w:rsidRPr="006F235D">
        <w:rPr>
          <w:b/>
          <w:bCs/>
          <w:sz w:val="22"/>
          <w:szCs w:val="22"/>
        </w:rPr>
        <w:t>9.3.</w:t>
      </w:r>
      <w:r w:rsidR="00633A97">
        <w:rPr>
          <w:b/>
          <w:bCs/>
          <w:sz w:val="22"/>
          <w:szCs w:val="22"/>
        </w:rPr>
        <w:t>6</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6342C616"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7</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13B62FDB"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w:t>
      </w:r>
      <w:r w:rsidR="00633A97">
        <w:rPr>
          <w:b/>
          <w:bCs/>
          <w:sz w:val="22"/>
          <w:szCs w:val="22"/>
        </w:rPr>
        <w:t>8</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4F56B3AF" w:rsidR="00F54BFB" w:rsidRDefault="00FF3EF1" w:rsidP="00F54BFB">
      <w:pPr>
        <w:spacing w:line="300" w:lineRule="auto"/>
        <w:jc w:val="both"/>
        <w:rPr>
          <w:sz w:val="22"/>
          <w:szCs w:val="22"/>
        </w:rPr>
      </w:pPr>
      <w:r w:rsidRPr="006F235D">
        <w:rPr>
          <w:b/>
          <w:bCs/>
          <w:sz w:val="22"/>
          <w:szCs w:val="22"/>
        </w:rPr>
        <w:lastRenderedPageBreak/>
        <w:t>9.3</w:t>
      </w:r>
      <w:r w:rsidR="00F54BFB" w:rsidRPr="006F235D">
        <w:rPr>
          <w:b/>
          <w:bCs/>
          <w:sz w:val="22"/>
          <w:szCs w:val="22"/>
        </w:rPr>
        <w:t>.</w:t>
      </w:r>
      <w:r w:rsidR="00633A97">
        <w:rPr>
          <w:b/>
          <w:bCs/>
          <w:sz w:val="22"/>
          <w:szCs w:val="22"/>
        </w:rPr>
        <w:t>9</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52D6D576" w14:textId="77777777" w:rsidR="0040364F" w:rsidRPr="00BA75E8" w:rsidRDefault="0040364F" w:rsidP="00F54BFB">
      <w:pPr>
        <w:spacing w:line="300" w:lineRule="auto"/>
        <w:jc w:val="both"/>
        <w:rPr>
          <w:sz w:val="22"/>
          <w:szCs w:val="22"/>
        </w:rPr>
      </w:pPr>
    </w:p>
    <w:p w14:paraId="503B661C" w14:textId="1B888AB8" w:rsidR="0040364F" w:rsidRDefault="0040364F" w:rsidP="0040364F">
      <w:pPr>
        <w:spacing w:line="300" w:lineRule="auto"/>
        <w:jc w:val="both"/>
        <w:rPr>
          <w:sz w:val="22"/>
          <w:szCs w:val="22"/>
        </w:rPr>
      </w:pPr>
      <w:r>
        <w:rPr>
          <w:b/>
          <w:bCs/>
          <w:sz w:val="22"/>
          <w:szCs w:val="22"/>
        </w:rPr>
        <w:t>9</w:t>
      </w:r>
      <w:r w:rsidRPr="00D2173D">
        <w:rPr>
          <w:b/>
          <w:bCs/>
          <w:sz w:val="22"/>
          <w:szCs w:val="22"/>
        </w:rPr>
        <w:t>.</w:t>
      </w:r>
      <w:r>
        <w:rPr>
          <w:b/>
          <w:bCs/>
          <w:sz w:val="22"/>
          <w:szCs w:val="22"/>
        </w:rPr>
        <w:t>3.10.</w:t>
      </w:r>
      <w:r>
        <w:rPr>
          <w:sz w:val="22"/>
          <w:szCs w:val="22"/>
        </w:rPr>
        <w:t xml:space="preserve"> </w:t>
      </w:r>
      <w:r w:rsidRPr="007D0367">
        <w:rPr>
          <w:sz w:val="22"/>
          <w:szCs w:val="22"/>
        </w:rPr>
        <w:t xml:space="preserve">Sem prejuízo do disposto nesta Cláusula </w:t>
      </w:r>
      <w:r>
        <w:rPr>
          <w:sz w:val="22"/>
          <w:szCs w:val="22"/>
        </w:rPr>
        <w:t>9.3</w:t>
      </w:r>
      <w:r w:rsidRPr="007D0367">
        <w:rPr>
          <w:sz w:val="22"/>
          <w:szCs w:val="22"/>
        </w:rPr>
        <w:t xml:space="preserve">., a </w:t>
      </w:r>
      <w:r>
        <w:rPr>
          <w:sz w:val="22"/>
          <w:szCs w:val="22"/>
        </w:rPr>
        <w:t>Emissora</w:t>
      </w:r>
      <w:r w:rsidRPr="007D0367">
        <w:rPr>
          <w:sz w:val="22"/>
          <w:szCs w:val="22"/>
        </w:rPr>
        <w:t xml:space="preserve"> poderá solicitar </w:t>
      </w:r>
      <w:r>
        <w:rPr>
          <w:sz w:val="22"/>
          <w:szCs w:val="22"/>
        </w:rPr>
        <w:t>a</w:t>
      </w:r>
      <w:r w:rsidRPr="007D0367">
        <w:rPr>
          <w:sz w:val="22"/>
          <w:szCs w:val="22"/>
        </w:rPr>
        <w:t>diantamentos para aquisição de serviços e materiais para entrega futura, desde que apresente à Securitizadora e</w:t>
      </w:r>
      <w:r>
        <w:rPr>
          <w:sz w:val="22"/>
          <w:szCs w:val="22"/>
        </w:rPr>
        <w:t xml:space="preserve"> à Empresa de Engenharia Independente</w:t>
      </w:r>
      <w:r w:rsidRPr="007D0367">
        <w:rPr>
          <w:sz w:val="22"/>
          <w:szCs w:val="22"/>
        </w:rPr>
        <w:t xml:space="preserve"> a descrição dos materiais e/ou serviços a serem pagos com tais recursos, as notas fiscais respectivas e o contrato de aquisição de tais materiais e/ou serviços</w:t>
      </w:r>
      <w:r>
        <w:rPr>
          <w:sz w:val="22"/>
          <w:szCs w:val="22"/>
        </w:rPr>
        <w:t xml:space="preserve"> (“</w:t>
      </w:r>
      <w:r w:rsidRPr="006D204C">
        <w:rPr>
          <w:sz w:val="22"/>
          <w:szCs w:val="22"/>
          <w:u w:val="single"/>
        </w:rPr>
        <w:t>Adiantamentos</w:t>
      </w:r>
      <w:r>
        <w:rPr>
          <w:sz w:val="22"/>
          <w:szCs w:val="22"/>
        </w:rPr>
        <w:t>”)</w:t>
      </w:r>
      <w:r w:rsidRPr="007D0367">
        <w:rPr>
          <w:sz w:val="22"/>
          <w:szCs w:val="22"/>
        </w:rPr>
        <w:t>.</w:t>
      </w:r>
    </w:p>
    <w:p w14:paraId="11C92FAB" w14:textId="77777777" w:rsidR="0040364F" w:rsidRPr="007D0367" w:rsidRDefault="0040364F" w:rsidP="0040364F">
      <w:pPr>
        <w:spacing w:line="300" w:lineRule="auto"/>
        <w:jc w:val="both"/>
        <w:rPr>
          <w:sz w:val="22"/>
          <w:szCs w:val="22"/>
        </w:rPr>
      </w:pPr>
    </w:p>
    <w:p w14:paraId="6E367162" w14:textId="75A2EEF8" w:rsidR="0040364F" w:rsidRDefault="0040364F" w:rsidP="0040364F">
      <w:pPr>
        <w:tabs>
          <w:tab w:val="left" w:pos="851"/>
        </w:tabs>
        <w:spacing w:line="300" w:lineRule="auto"/>
        <w:jc w:val="both"/>
        <w:rPr>
          <w:sz w:val="22"/>
          <w:szCs w:val="22"/>
        </w:rPr>
      </w:pPr>
      <w:r>
        <w:rPr>
          <w:b/>
          <w:bCs/>
          <w:sz w:val="22"/>
          <w:szCs w:val="22"/>
        </w:rPr>
        <w:t>9.3.10</w:t>
      </w:r>
      <w:r w:rsidRPr="00D2173D">
        <w:rPr>
          <w:b/>
          <w:bCs/>
          <w:sz w:val="22"/>
          <w:szCs w:val="22"/>
        </w:rPr>
        <w:t>.1.</w:t>
      </w:r>
      <w:r w:rsidRPr="007D0367">
        <w:rPr>
          <w:sz w:val="22"/>
          <w:szCs w:val="22"/>
        </w:rPr>
        <w:tab/>
        <w:t xml:space="preserve">Os Adiantamentos previstos acima deverão ser realizados com 5 (cinco) Dias Úteis contados da data de solicitação do adiantamento, e deverão observar o limite máximo mensal total de </w:t>
      </w:r>
      <w:r>
        <w:rPr>
          <w:sz w:val="22"/>
          <w:szCs w:val="22"/>
        </w:rPr>
        <w:t>[</w:t>
      </w:r>
      <w:r w:rsidRPr="00752237">
        <w:rPr>
          <w:sz w:val="22"/>
          <w:szCs w:val="22"/>
          <w:highlight w:val="yellow"/>
        </w:rPr>
        <w:t xml:space="preserve">R$ </w:t>
      </w:r>
      <w:r w:rsidR="00B57631">
        <w:rPr>
          <w:sz w:val="22"/>
          <w:szCs w:val="22"/>
          <w:highlight w:val="yellow"/>
        </w:rPr>
        <w:t>12.0</w:t>
      </w:r>
      <w:r w:rsidRPr="00752237">
        <w:rPr>
          <w:sz w:val="22"/>
          <w:szCs w:val="22"/>
          <w:highlight w:val="yellow"/>
        </w:rPr>
        <w:t>00.000,00 (</w:t>
      </w:r>
      <w:r w:rsidR="00B57631">
        <w:rPr>
          <w:sz w:val="22"/>
          <w:szCs w:val="22"/>
          <w:highlight w:val="yellow"/>
        </w:rPr>
        <w:t xml:space="preserve">doze milhões de </w:t>
      </w:r>
      <w:r w:rsidRPr="00752237">
        <w:rPr>
          <w:sz w:val="22"/>
          <w:szCs w:val="22"/>
          <w:highlight w:val="yellow"/>
        </w:rPr>
        <w:t>reais)</w:t>
      </w:r>
      <w:r>
        <w:rPr>
          <w:sz w:val="22"/>
          <w:szCs w:val="22"/>
        </w:rPr>
        <w:t>]</w:t>
      </w:r>
      <w:r w:rsidRPr="007D0367">
        <w:rPr>
          <w:sz w:val="22"/>
          <w:szCs w:val="22"/>
        </w:rPr>
        <w:t xml:space="preserve"> bem como o limite máximo do item do orçamento apresentado inicialmente, sendo certo que sua liberação pela Securitizadora ficará sujeita à aprovação </w:t>
      </w:r>
      <w:r>
        <w:rPr>
          <w:sz w:val="22"/>
          <w:szCs w:val="22"/>
        </w:rPr>
        <w:t>pela Empresa de Engenharia Independente</w:t>
      </w:r>
      <w:r w:rsidRPr="007D0367">
        <w:rPr>
          <w:sz w:val="22"/>
          <w:szCs w:val="22"/>
        </w:rPr>
        <w:t xml:space="preserve">. Os </w:t>
      </w:r>
      <w:r>
        <w:rPr>
          <w:sz w:val="22"/>
          <w:szCs w:val="22"/>
        </w:rPr>
        <w:t>a</w:t>
      </w:r>
      <w:r w:rsidRPr="007D0367">
        <w:rPr>
          <w:sz w:val="22"/>
          <w:szCs w:val="22"/>
        </w:rPr>
        <w:t xml:space="preserve">diantamentos em valor superior ao limite máximo mensal previsto nesta Cláusula, dependerão de aprovação prévia dos </w:t>
      </w:r>
      <w:r>
        <w:rPr>
          <w:sz w:val="22"/>
          <w:szCs w:val="22"/>
        </w:rPr>
        <w:t>t</w:t>
      </w:r>
      <w:r w:rsidRPr="007D0367">
        <w:rPr>
          <w:sz w:val="22"/>
          <w:szCs w:val="22"/>
        </w:rPr>
        <w:t>itulares dos CRI reunidos em assembleia geral.</w:t>
      </w:r>
    </w:p>
    <w:p w14:paraId="39A8BAA2" w14:textId="77777777" w:rsidR="0040364F" w:rsidRPr="007D0367" w:rsidRDefault="0040364F" w:rsidP="0040364F">
      <w:pPr>
        <w:tabs>
          <w:tab w:val="left" w:pos="851"/>
        </w:tabs>
        <w:spacing w:line="300" w:lineRule="auto"/>
        <w:jc w:val="both"/>
        <w:rPr>
          <w:sz w:val="22"/>
          <w:szCs w:val="22"/>
        </w:rPr>
      </w:pPr>
    </w:p>
    <w:p w14:paraId="190CA069" w14:textId="421DFE47" w:rsidR="0040364F" w:rsidRDefault="0040364F" w:rsidP="0040364F">
      <w:pPr>
        <w:tabs>
          <w:tab w:val="left" w:pos="851"/>
        </w:tabs>
        <w:spacing w:line="300" w:lineRule="auto"/>
        <w:jc w:val="both"/>
        <w:rPr>
          <w:sz w:val="22"/>
          <w:szCs w:val="22"/>
        </w:rPr>
      </w:pPr>
      <w:r>
        <w:rPr>
          <w:b/>
          <w:bCs/>
          <w:sz w:val="22"/>
          <w:szCs w:val="22"/>
        </w:rPr>
        <w:t>9</w:t>
      </w:r>
      <w:r w:rsidRPr="006D204C">
        <w:rPr>
          <w:b/>
          <w:bCs/>
          <w:sz w:val="22"/>
          <w:szCs w:val="22"/>
        </w:rPr>
        <w:t>.</w:t>
      </w:r>
      <w:r w:rsidR="00AB121D">
        <w:rPr>
          <w:b/>
          <w:bCs/>
          <w:sz w:val="22"/>
          <w:szCs w:val="22"/>
        </w:rPr>
        <w:t>3</w:t>
      </w:r>
      <w:r w:rsidRPr="006D204C">
        <w:rPr>
          <w:b/>
          <w:bCs/>
          <w:sz w:val="22"/>
          <w:szCs w:val="22"/>
        </w:rPr>
        <w:t>.1</w:t>
      </w:r>
      <w:r>
        <w:rPr>
          <w:b/>
          <w:bCs/>
          <w:sz w:val="22"/>
          <w:szCs w:val="22"/>
        </w:rPr>
        <w:t>0</w:t>
      </w:r>
      <w:r w:rsidRPr="006D204C">
        <w:rPr>
          <w:b/>
          <w:bCs/>
          <w:sz w:val="22"/>
          <w:szCs w:val="22"/>
        </w:rPr>
        <w:t>.2</w:t>
      </w:r>
      <w:r w:rsidRPr="007D0367">
        <w:rPr>
          <w:sz w:val="22"/>
          <w:szCs w:val="22"/>
        </w:rPr>
        <w:t>.</w:t>
      </w:r>
      <w:r w:rsidRPr="007D0367">
        <w:rPr>
          <w:sz w:val="22"/>
          <w:szCs w:val="22"/>
        </w:rPr>
        <w:tab/>
        <w:t xml:space="preserve">O valor dos </w:t>
      </w:r>
      <w:r>
        <w:rPr>
          <w:sz w:val="22"/>
          <w:szCs w:val="22"/>
        </w:rPr>
        <w:t>a</w:t>
      </w:r>
      <w:r w:rsidRPr="007D0367">
        <w:rPr>
          <w:sz w:val="22"/>
          <w:szCs w:val="22"/>
        </w:rPr>
        <w:t xml:space="preserve">diantamentos será deduzido do Fundo de Obras a partir da data em que for liberado à </w:t>
      </w:r>
      <w:r>
        <w:rPr>
          <w:sz w:val="22"/>
          <w:szCs w:val="22"/>
        </w:rPr>
        <w:t>Emissora</w:t>
      </w:r>
      <w:r w:rsidRPr="007D0367">
        <w:rPr>
          <w:sz w:val="22"/>
          <w:szCs w:val="22"/>
        </w:rPr>
        <w:t xml:space="preserve">, deixando de estar disponíveis para novos desembolsos do Fundo de Obras, independentemente de eventuais perecimentos, inocuidades, extravios, inadequações ou qualquer outro motivo que impeça a utilização dos materiais e/ou serviços adquiridos com recursos do </w:t>
      </w:r>
      <w:r>
        <w:rPr>
          <w:sz w:val="22"/>
          <w:szCs w:val="22"/>
        </w:rPr>
        <w:t>a</w:t>
      </w:r>
      <w:r w:rsidRPr="007D0367">
        <w:rPr>
          <w:sz w:val="22"/>
          <w:szCs w:val="22"/>
        </w:rPr>
        <w:t xml:space="preserve">diantamento na obra do </w:t>
      </w:r>
      <w:r w:rsidRPr="00D62D6B">
        <w:rPr>
          <w:rFonts w:eastAsia="Arial Unicode MS"/>
          <w:kern w:val="32"/>
          <w:sz w:val="22"/>
          <w:szCs w:val="22"/>
          <w:lang w:bidi="th-TH"/>
        </w:rPr>
        <w:t>Empreendimento</w:t>
      </w:r>
      <w:r w:rsidRPr="00D62D6B">
        <w:rPr>
          <w:rFonts w:eastAsia="Arial Unicode MS"/>
          <w:sz w:val="22"/>
          <w:szCs w:val="22"/>
          <w:lang w:bidi="th-TH"/>
        </w:rPr>
        <w:t xml:space="preserve"> Imobiliário</w:t>
      </w:r>
      <w:r w:rsidRPr="007D0367">
        <w:rPr>
          <w:sz w:val="22"/>
          <w:szCs w:val="22"/>
        </w:rPr>
        <w:t xml:space="preserve">. </w:t>
      </w:r>
    </w:p>
    <w:p w14:paraId="1472A188" w14:textId="77777777" w:rsidR="0040364F" w:rsidRPr="007D0367" w:rsidRDefault="0040364F" w:rsidP="0040364F">
      <w:pPr>
        <w:tabs>
          <w:tab w:val="left" w:pos="851"/>
        </w:tabs>
        <w:spacing w:line="300" w:lineRule="auto"/>
        <w:jc w:val="both"/>
        <w:rPr>
          <w:sz w:val="22"/>
          <w:szCs w:val="22"/>
        </w:rPr>
      </w:pPr>
    </w:p>
    <w:p w14:paraId="0CAB9987" w14:textId="061B8F9A" w:rsidR="0040364F" w:rsidRDefault="002E56F1" w:rsidP="0040364F">
      <w:pPr>
        <w:tabs>
          <w:tab w:val="left" w:pos="709"/>
          <w:tab w:val="left" w:pos="851"/>
          <w:tab w:val="left" w:pos="1134"/>
        </w:tabs>
        <w:spacing w:line="300" w:lineRule="auto"/>
        <w:jc w:val="both"/>
        <w:rPr>
          <w:sz w:val="22"/>
          <w:szCs w:val="22"/>
        </w:rPr>
      </w:pPr>
      <w:r>
        <w:rPr>
          <w:b/>
          <w:bCs/>
          <w:sz w:val="22"/>
          <w:szCs w:val="22"/>
        </w:rPr>
        <w:t>9</w:t>
      </w:r>
      <w:r w:rsidR="0040364F" w:rsidRPr="006D204C">
        <w:rPr>
          <w:b/>
          <w:bCs/>
          <w:sz w:val="22"/>
          <w:szCs w:val="22"/>
        </w:rPr>
        <w:t>.</w:t>
      </w:r>
      <w:r w:rsidR="00AB121D">
        <w:rPr>
          <w:b/>
          <w:bCs/>
          <w:sz w:val="22"/>
          <w:szCs w:val="22"/>
        </w:rPr>
        <w:t>3</w:t>
      </w:r>
      <w:r w:rsidR="0040364F" w:rsidRPr="006D204C">
        <w:rPr>
          <w:b/>
          <w:bCs/>
          <w:sz w:val="22"/>
          <w:szCs w:val="22"/>
        </w:rPr>
        <w:t>.1</w:t>
      </w:r>
      <w:r>
        <w:rPr>
          <w:b/>
          <w:bCs/>
          <w:sz w:val="22"/>
          <w:szCs w:val="22"/>
        </w:rPr>
        <w:t>0</w:t>
      </w:r>
      <w:r w:rsidR="0040364F" w:rsidRPr="006D204C">
        <w:rPr>
          <w:b/>
          <w:bCs/>
          <w:sz w:val="22"/>
          <w:szCs w:val="22"/>
        </w:rPr>
        <w:t>.3</w:t>
      </w:r>
      <w:r w:rsidR="0040364F" w:rsidRPr="007D0367">
        <w:rPr>
          <w:sz w:val="22"/>
          <w:szCs w:val="22"/>
        </w:rPr>
        <w:t>.</w:t>
      </w:r>
      <w:r w:rsidR="0040364F" w:rsidRPr="007D0367">
        <w:rPr>
          <w:sz w:val="22"/>
          <w:szCs w:val="22"/>
        </w:rPr>
        <w:tab/>
      </w:r>
      <w:r w:rsidR="00AA51BE" w:rsidRPr="008E3237">
        <w:rPr>
          <w:sz w:val="22"/>
          <w:szCs w:val="22"/>
          <w:highlight w:val="yellow"/>
        </w:rPr>
        <w:t>Os pagamentos dos serviços e materiais a serem adquiridos com os recursos dos adiantamentos serão realizados pela Securitizadora por conta e ordem das Devedoras, com os recursos depositados na conta a ser exclusivamente aberta para esse fim junto ao Banco XP [</w:t>
      </w:r>
      <w:r w:rsidR="00AA51BE" w:rsidRPr="00AB121D">
        <w:rPr>
          <w:sz w:val="22"/>
          <w:szCs w:val="22"/>
          <w:highlight w:val="yellow"/>
        </w:rPr>
        <w:t>qualificar]</w:t>
      </w:r>
      <w:r w:rsidR="00AA51BE" w:rsidRPr="008E3237">
        <w:rPr>
          <w:sz w:val="22"/>
          <w:szCs w:val="22"/>
          <w:highlight w:val="yellow"/>
        </w:rPr>
        <w:t xml:space="preserve"> mediante a apresentação dos respectivos comprovantes que deverão ser entregues à Empresa de Engenharia Independente</w:t>
      </w:r>
      <w:r w:rsidR="0040364F" w:rsidRPr="008E3237">
        <w:rPr>
          <w:sz w:val="22"/>
          <w:szCs w:val="22"/>
          <w:highlight w:val="yellow"/>
        </w:rPr>
        <w:t xml:space="preserve">, dentro de </w:t>
      </w:r>
      <w:r w:rsidR="00266F46" w:rsidRPr="008E3237">
        <w:rPr>
          <w:sz w:val="22"/>
          <w:szCs w:val="22"/>
          <w:highlight w:val="yellow"/>
        </w:rPr>
        <w:t xml:space="preserve">2 (dois) </w:t>
      </w:r>
      <w:r w:rsidR="0040364F" w:rsidRPr="008E3237">
        <w:rPr>
          <w:sz w:val="22"/>
          <w:szCs w:val="22"/>
          <w:highlight w:val="yellow"/>
        </w:rPr>
        <w:t xml:space="preserve"> Dias Úteis contados da data em que tais pagamentos tiverem sido realizados.</w:t>
      </w:r>
      <w:bookmarkStart w:id="128" w:name="_Hlk106365710"/>
      <w:r w:rsidR="00B743C6" w:rsidRPr="00AB121D">
        <w:rPr>
          <w:sz w:val="22"/>
          <w:szCs w:val="22"/>
          <w:highlight w:val="yellow"/>
        </w:rPr>
        <w:t xml:space="preserve"> </w:t>
      </w:r>
      <w:bookmarkEnd w:id="128"/>
      <w:r w:rsidR="00736FD4">
        <w:rPr>
          <w:sz w:val="22"/>
          <w:szCs w:val="22"/>
        </w:rPr>
        <w:t>[</w:t>
      </w:r>
      <w:r w:rsidR="00736FD4" w:rsidRPr="007E2F06">
        <w:rPr>
          <w:b/>
          <w:bCs/>
          <w:sz w:val="22"/>
          <w:szCs w:val="22"/>
          <w:highlight w:val="yellow"/>
        </w:rPr>
        <w:t xml:space="preserve">Nota Coelho Advogados: </w:t>
      </w:r>
      <w:r w:rsidR="00F404D6" w:rsidRPr="008E3237">
        <w:rPr>
          <w:b/>
          <w:bCs/>
          <w:sz w:val="22"/>
          <w:szCs w:val="22"/>
          <w:highlight w:val="yellow"/>
        </w:rPr>
        <w:t>Aguardando definição do Operacional</w:t>
      </w:r>
      <w:r w:rsidR="00736FD4">
        <w:rPr>
          <w:sz w:val="22"/>
          <w:szCs w:val="22"/>
        </w:rPr>
        <w:t>]</w:t>
      </w:r>
    </w:p>
    <w:p w14:paraId="3F88004E" w14:textId="77777777" w:rsidR="00FC20DB" w:rsidRPr="00BA75E8" w:rsidRDefault="00FC20DB" w:rsidP="00F54BFB">
      <w:pPr>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15DDE71A" w:rsidR="00F54BFB"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w:t>
      </w:r>
      <w:r w:rsidR="004E3481">
        <w:rPr>
          <w:sz w:val="22"/>
          <w:szCs w:val="22"/>
        </w:rPr>
        <w:t>as</w:t>
      </w:r>
      <w:r w:rsidR="00633A97">
        <w:rPr>
          <w:sz w:val="22"/>
          <w:szCs w:val="22"/>
        </w:rPr>
        <w:t xml:space="preserve"> 3 (três) </w:t>
      </w:r>
      <w:r w:rsidR="004E3481">
        <w:rPr>
          <w:sz w:val="22"/>
          <w:szCs w:val="22"/>
        </w:rPr>
        <w:t xml:space="preserve">próximas </w:t>
      </w:r>
      <w:r w:rsidRPr="00BA75E8">
        <w:rPr>
          <w:sz w:val="22"/>
          <w:szCs w:val="22"/>
        </w:rPr>
        <w:t xml:space="preserve">parcelas </w:t>
      </w:r>
      <w:r w:rsidR="00633A97">
        <w:rPr>
          <w:sz w:val="22"/>
          <w:szCs w:val="22"/>
        </w:rPr>
        <w:t xml:space="preserve">vincendas </w:t>
      </w:r>
      <w:r w:rsidRPr="00BA75E8">
        <w:rPr>
          <w:sz w:val="22"/>
          <w:szCs w:val="22"/>
        </w:rPr>
        <w:t xml:space="preserve">de </w:t>
      </w:r>
      <w:r w:rsidR="00F80622" w:rsidRPr="00BA75E8">
        <w:rPr>
          <w:sz w:val="22"/>
          <w:szCs w:val="22"/>
        </w:rPr>
        <w:t>Remuneração e Amortização</w:t>
      </w:r>
      <w:r w:rsidR="00F80622" w:rsidRPr="006F235D">
        <w:rPr>
          <w:sz w:val="22"/>
          <w:szCs w:val="22"/>
        </w:rPr>
        <w:t xml:space="preserve"> </w:t>
      </w:r>
      <w:r w:rsidR="00633A97">
        <w:rPr>
          <w:sz w:val="22"/>
          <w:szCs w:val="22"/>
        </w:rPr>
        <w:t>das Notas Comerciais</w:t>
      </w:r>
      <w:r w:rsidR="00F80622" w:rsidRPr="006F235D">
        <w:rPr>
          <w:sz w:val="22"/>
          <w:szCs w:val="22"/>
        </w:rPr>
        <w:t>,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Dessa forma, caso haja redução ou aumento do valor das parcelas</w:t>
      </w:r>
      <w:r w:rsidR="00633A97">
        <w:rPr>
          <w:sz w:val="22"/>
          <w:szCs w:val="22"/>
        </w:rPr>
        <w:t xml:space="preserve"> de</w:t>
      </w:r>
      <w:r w:rsidRPr="00BA75E8">
        <w:rPr>
          <w:sz w:val="22"/>
          <w:szCs w:val="22"/>
        </w:rPr>
        <w:t xml:space="preserve"> </w:t>
      </w:r>
      <w:r w:rsidR="00633A97" w:rsidRPr="00BA75E8">
        <w:rPr>
          <w:sz w:val="22"/>
          <w:szCs w:val="22"/>
        </w:rPr>
        <w:t>Remuneração e Amortização</w:t>
      </w:r>
      <w:r w:rsidR="00633A97" w:rsidRPr="006F235D">
        <w:rPr>
          <w:sz w:val="22"/>
          <w:szCs w:val="22"/>
        </w:rPr>
        <w:t xml:space="preserve"> </w:t>
      </w:r>
      <w:r w:rsidRPr="00BA75E8">
        <w:rPr>
          <w:sz w:val="22"/>
          <w:szCs w:val="22"/>
        </w:rPr>
        <w:t xml:space="preserve">ao longo da Operação, o Montante Mínimo do Fundo de Reserva também será proporcionalmente reduzido ou aumentado, conforme aplicável. Esses recursos, caso não utilizados, serão </w:t>
      </w:r>
      <w:r w:rsidRPr="00BA75E8">
        <w:rPr>
          <w:sz w:val="22"/>
          <w:szCs w:val="22"/>
        </w:rPr>
        <w:lastRenderedPageBreak/>
        <w:t xml:space="preserve">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r w:rsidR="00C20C9E">
        <w:rPr>
          <w:sz w:val="22"/>
          <w:szCs w:val="22"/>
        </w:rPr>
        <w:t xml:space="preserve"> </w:t>
      </w:r>
    </w:p>
    <w:p w14:paraId="202954D1" w14:textId="77777777" w:rsidR="00633A97" w:rsidRPr="00BA75E8" w:rsidRDefault="00633A97" w:rsidP="00752237">
      <w:pPr>
        <w:pStyle w:val="PargrafodaLista"/>
        <w:spacing w:line="300" w:lineRule="auto"/>
        <w:ind w:left="0"/>
        <w:jc w:val="both"/>
        <w:rPr>
          <w:sz w:val="22"/>
          <w:szCs w:val="22"/>
        </w:rPr>
      </w:pPr>
    </w:p>
    <w:p w14:paraId="0098A6D6" w14:textId="6351B45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C10530" w:rsidRPr="00BA75E8">
        <w:rPr>
          <w:sz w:val="22"/>
          <w:szCs w:val="22"/>
        </w:rPr>
        <w:t>3</w:t>
      </w:r>
      <w:r w:rsidR="00407B03" w:rsidRPr="00BA75E8">
        <w:rPr>
          <w:sz w:val="22"/>
          <w:szCs w:val="22"/>
        </w:rPr>
        <w:t xml:space="preserve"> (</w:t>
      </w:r>
      <w:r w:rsidR="00C10530" w:rsidRPr="00BA75E8">
        <w:rPr>
          <w:sz w:val="22"/>
          <w:szCs w:val="22"/>
        </w:rPr>
        <w:t>três</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53A6DB7C"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w:t>
      </w:r>
      <w:r w:rsidR="00633A97">
        <w:rPr>
          <w:sz w:val="22"/>
          <w:szCs w:val="22"/>
        </w:rPr>
        <w:t xml:space="preserve">a Emissora ou </w:t>
      </w:r>
      <w:r w:rsidRPr="00BA75E8">
        <w:rPr>
          <w:sz w:val="22"/>
          <w:szCs w:val="22"/>
        </w:rPr>
        <w:t xml:space="preserve"> 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61E6C769"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w:t>
      </w:r>
      <w:r w:rsidR="00397A0C">
        <w:rPr>
          <w:sz w:val="22"/>
          <w:szCs w:val="22"/>
        </w:rPr>
        <w:t>s</w:t>
      </w:r>
      <w:r w:rsidRPr="00BA75E8">
        <w:rPr>
          <w:sz w:val="22"/>
          <w:szCs w:val="22"/>
        </w:rPr>
        <w:t xml:space="preserve"> </w:t>
      </w:r>
      <w:r w:rsidR="00633A97">
        <w:rPr>
          <w:sz w:val="22"/>
          <w:szCs w:val="22"/>
        </w:rPr>
        <w:t>Documentos da Operação</w:t>
      </w:r>
      <w:r w:rsidRPr="00BA75E8">
        <w:rPr>
          <w:sz w:val="22"/>
          <w:szCs w:val="22"/>
        </w:rPr>
        <w:t xml:space="preserve">), administrado sob regime fiduciário em benefício dos </w:t>
      </w:r>
      <w:r w:rsidR="00633A97">
        <w:rPr>
          <w:sz w:val="22"/>
          <w:szCs w:val="22"/>
        </w:rPr>
        <w:t>t</w:t>
      </w:r>
      <w:r w:rsidR="00633A97" w:rsidRPr="00BA75E8">
        <w:rPr>
          <w:sz w:val="22"/>
          <w:szCs w:val="22"/>
        </w:rPr>
        <w:t xml:space="preserve">itulares </w:t>
      </w:r>
      <w:r w:rsidRPr="00BA75E8">
        <w:rPr>
          <w:sz w:val="22"/>
          <w:szCs w:val="22"/>
        </w:rPr>
        <w:t>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6FC67C0E" w:rsidR="00AE74DA" w:rsidRDefault="00AE74DA" w:rsidP="00AE74DA">
      <w:pPr>
        <w:pStyle w:val="PargrafodaLista"/>
        <w:numPr>
          <w:ilvl w:val="2"/>
          <w:numId w:val="70"/>
        </w:numPr>
        <w:spacing w:line="300" w:lineRule="auto"/>
        <w:ind w:left="0" w:firstLine="0"/>
        <w:jc w:val="both"/>
        <w:rPr>
          <w:sz w:val="22"/>
          <w:szCs w:val="22"/>
        </w:rPr>
      </w:pPr>
      <w:r w:rsidRPr="00BA75E8">
        <w:rPr>
          <w:sz w:val="22"/>
          <w:szCs w:val="22"/>
        </w:rPr>
        <w:lastRenderedPageBreak/>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BA75E8">
        <w:rPr>
          <w:sz w:val="22"/>
          <w:szCs w:val="22"/>
        </w:rPr>
        <w:t>ii</w:t>
      </w:r>
      <w:proofErr w:type="spellEnd"/>
      <w:r w:rsidRPr="00BA75E8">
        <w:rPr>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3470961E" w14:textId="77777777" w:rsidR="00AF09C3" w:rsidRPr="00752237" w:rsidRDefault="00AF09C3" w:rsidP="00752237">
      <w:pPr>
        <w:pStyle w:val="PargrafodaLista"/>
        <w:rPr>
          <w:sz w:val="22"/>
          <w:szCs w:val="22"/>
        </w:rPr>
      </w:pPr>
    </w:p>
    <w:p w14:paraId="159B6A62" w14:textId="77777777" w:rsidR="00AF09C3" w:rsidRDefault="00AF09C3" w:rsidP="00AF09C3">
      <w:pPr>
        <w:pStyle w:val="PargrafodaLista"/>
        <w:numPr>
          <w:ilvl w:val="2"/>
          <w:numId w:val="70"/>
        </w:numPr>
        <w:spacing w:line="300" w:lineRule="auto"/>
        <w:ind w:left="0" w:firstLine="0"/>
        <w:jc w:val="both"/>
        <w:rPr>
          <w:sz w:val="22"/>
          <w:szCs w:val="22"/>
        </w:rPr>
      </w:pPr>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r>
        <w:rPr>
          <w:sz w:val="22"/>
          <w:szCs w:val="22"/>
        </w:rPr>
        <w:t>Emissora</w:t>
      </w:r>
      <w:r w:rsidRPr="00274594">
        <w:rPr>
          <w:sz w:val="22"/>
          <w:szCs w:val="22"/>
        </w:rPr>
        <w:t>, os montantes restituídos.</w:t>
      </w:r>
    </w:p>
    <w:p w14:paraId="064CE216" w14:textId="77777777" w:rsidR="00AF09C3" w:rsidRPr="00752237" w:rsidRDefault="00AF09C3" w:rsidP="00752237">
      <w:pPr>
        <w:pStyle w:val="PargrafodaLista"/>
        <w:rPr>
          <w:sz w:val="22"/>
          <w:szCs w:val="22"/>
        </w:rPr>
      </w:pPr>
    </w:p>
    <w:p w14:paraId="4E8A071C" w14:textId="77777777" w:rsidR="00AF09C3" w:rsidRPr="00BA75E8" w:rsidRDefault="00AF09C3" w:rsidP="00AF09C3">
      <w:pPr>
        <w:pStyle w:val="PargrafodaLista"/>
        <w:numPr>
          <w:ilvl w:val="2"/>
          <w:numId w:val="70"/>
        </w:numPr>
        <w:spacing w:line="300" w:lineRule="auto"/>
        <w:ind w:left="0" w:firstLine="0"/>
        <w:jc w:val="both"/>
        <w:rPr>
          <w:sz w:val="22"/>
          <w:szCs w:val="22"/>
        </w:rPr>
      </w:pPr>
      <w:r w:rsidRPr="00274594">
        <w:rPr>
          <w:sz w:val="22"/>
          <w:szCs w:val="22"/>
        </w:rPr>
        <w:t>As estipulações de indenização previstas n</w:t>
      </w:r>
      <w:r>
        <w:rPr>
          <w:sz w:val="22"/>
          <w:szCs w:val="22"/>
        </w:rPr>
        <w:t>as</w:t>
      </w:r>
      <w:r w:rsidRPr="00274594">
        <w:rPr>
          <w:sz w:val="22"/>
          <w:szCs w:val="22"/>
        </w:rPr>
        <w:t xml:space="preserve"> Cláusula</w:t>
      </w:r>
      <w:r>
        <w:rPr>
          <w:sz w:val="22"/>
          <w:szCs w:val="22"/>
        </w:rPr>
        <w:t>s acima</w:t>
      </w:r>
      <w:r w:rsidRPr="00274594">
        <w:rPr>
          <w:sz w:val="22"/>
          <w:szCs w:val="22"/>
        </w:rPr>
        <w:t xml:space="preserve"> deverão sobreviver à resolução, término (antecipado ou não) ou rescisão da presente Escritura de Emissão</w:t>
      </w:r>
      <w:r>
        <w:rPr>
          <w:sz w:val="22"/>
          <w:szCs w:val="22"/>
        </w:rPr>
        <w:t>.</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29"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29"/>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w:t>
      </w:r>
      <w:proofErr w:type="spellStart"/>
      <w:r w:rsidRPr="00BA75E8">
        <w:rPr>
          <w:bCs/>
          <w:sz w:val="22"/>
          <w:szCs w:val="22"/>
        </w:rPr>
        <w:t>i</w:t>
      </w:r>
      <w:r w:rsidR="005C59BE" w:rsidRPr="00BA75E8">
        <w:rPr>
          <w:bCs/>
          <w:sz w:val="22"/>
          <w:szCs w:val="22"/>
        </w:rPr>
        <w:t>i</w:t>
      </w:r>
      <w:proofErr w:type="spellEnd"/>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w:t>
      </w:r>
      <w:proofErr w:type="spellStart"/>
      <w:r w:rsidRPr="00BA75E8">
        <w:rPr>
          <w:rFonts w:ascii="Times New Roman" w:hAnsi="Times New Roman"/>
          <w:sz w:val="22"/>
          <w:szCs w:val="22"/>
        </w:rPr>
        <w:t>Concept</w:t>
      </w:r>
      <w:proofErr w:type="spellEnd"/>
      <w:r w:rsidRPr="00BA75E8">
        <w:rPr>
          <w:rFonts w:ascii="Times New Roman" w:hAnsi="Times New Roman"/>
          <w:sz w:val="22"/>
          <w:szCs w:val="22"/>
        </w:rPr>
        <w:t xml:space="preserve">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lastRenderedPageBreak/>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proofErr w:type="spellStart"/>
      <w:r w:rsidR="00E52D19" w:rsidRPr="00BA75E8">
        <w:rPr>
          <w:bCs/>
          <w:sz w:val="22"/>
          <w:szCs w:val="22"/>
        </w:rPr>
        <w:t>iii</w:t>
      </w:r>
      <w:proofErr w:type="spellEnd"/>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proofErr w:type="spellStart"/>
      <w:r w:rsidR="00E52D19" w:rsidRPr="00BA75E8">
        <w:rPr>
          <w:sz w:val="22"/>
          <w:szCs w:val="22"/>
        </w:rPr>
        <w:t>i</w:t>
      </w:r>
      <w:r w:rsidRPr="00BA75E8">
        <w:rPr>
          <w:sz w:val="22"/>
          <w:szCs w:val="22"/>
        </w:rPr>
        <w:t>v</w:t>
      </w:r>
      <w:proofErr w:type="spellEnd"/>
      <w:r w:rsidRPr="00BA75E8">
        <w:rPr>
          <w:sz w:val="22"/>
          <w:szCs w:val="22"/>
        </w:rPr>
        <w:t xml:space="preserve">)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iii</w:t>
      </w:r>
      <w:proofErr w:type="spellEnd"/>
      <w:r w:rsidRPr="00BA75E8">
        <w:rPr>
          <w:bCs/>
          <w:sz w:val="22"/>
          <w:szCs w:val="22"/>
        </w:rPr>
        <w:t>)</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lastRenderedPageBreak/>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w:t>
      </w:r>
      <w:proofErr w:type="spellStart"/>
      <w:r w:rsidRPr="00BA75E8">
        <w:rPr>
          <w:bCs/>
          <w:sz w:val="22"/>
          <w:szCs w:val="22"/>
        </w:rPr>
        <w:t>vii</w:t>
      </w:r>
      <w:proofErr w:type="spellEnd"/>
      <w:r w:rsidRPr="00BA75E8">
        <w:rPr>
          <w:bCs/>
          <w:sz w:val="22"/>
          <w:szCs w:val="22"/>
        </w:rPr>
        <w:t xml:space="preserve">)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w:t>
      </w:r>
      <w:proofErr w:type="spellStart"/>
      <w:r w:rsidRPr="00BA75E8">
        <w:rPr>
          <w:rFonts w:ascii="Times New Roman" w:eastAsia="Arial Unicode MS" w:hAnsi="Times New Roman" w:cs="Times New Roman"/>
          <w:color w:val="auto"/>
          <w:w w:val="0"/>
          <w:sz w:val="22"/>
          <w:szCs w:val="22"/>
        </w:rPr>
        <w:t>ii</w:t>
      </w:r>
      <w:proofErr w:type="spellEnd"/>
      <w:r w:rsidRPr="00BA75E8">
        <w:rPr>
          <w:rFonts w:ascii="Times New Roman" w:eastAsia="Arial Unicode MS" w:hAnsi="Times New Roman" w:cs="Times New Roman"/>
          <w:color w:val="auto"/>
          <w:w w:val="0"/>
          <w:sz w:val="22"/>
          <w:szCs w:val="22"/>
        </w:rPr>
        <w:t>)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30" w:name="_DV_M375"/>
      <w:bookmarkStart w:id="131" w:name="_DV_M376"/>
      <w:bookmarkEnd w:id="130"/>
      <w:bookmarkEnd w:id="131"/>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32" w:name="_DV_M378"/>
      <w:bookmarkEnd w:id="132"/>
      <w:r w:rsidRPr="00BA75E8">
        <w:rPr>
          <w:rFonts w:ascii="Times New Roman" w:eastAsia="Arial Unicode MS" w:hAnsi="Times New Roman" w:cs="Times New Roman"/>
          <w:color w:val="auto"/>
          <w:w w:val="0"/>
          <w:sz w:val="22"/>
          <w:szCs w:val="22"/>
          <w:u w:val="single"/>
        </w:rPr>
        <w:lastRenderedPageBreak/>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33" w:name="_DV_M379"/>
      <w:bookmarkEnd w:id="133"/>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xml:space="preserve">: A Emissora e os Fiadores consentem, de maneira livre, esclarecida e inequívoca, com a utilização de seus dados pessoais para a realização da operação de crédito ora estabelecida, nos termos e propósitos contidos nos Documentos da Operação, autorizando expressamente, </w:t>
      </w:r>
      <w:r w:rsidRPr="00BA75E8">
        <w:rPr>
          <w:rFonts w:ascii="Times New Roman" w:hAnsi="Times New Roman" w:cs="Times New Roman"/>
          <w:color w:val="auto"/>
          <w:sz w:val="22"/>
          <w:szCs w:val="22"/>
          <w:lang w:bidi="th-TH"/>
        </w:rPr>
        <w:lastRenderedPageBreak/>
        <w:t>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134" w:name="_DV_M188"/>
      <w:bookmarkStart w:id="135" w:name="_DV_M189"/>
      <w:bookmarkStart w:id="136" w:name="_DV_M190"/>
      <w:bookmarkStart w:id="137" w:name="_DV_M191"/>
      <w:bookmarkStart w:id="138" w:name="_DV_M197"/>
      <w:bookmarkStart w:id="139" w:name="_DV_M74"/>
      <w:bookmarkStart w:id="140" w:name="_DV_M75"/>
      <w:bookmarkStart w:id="141" w:name="_DV_M76"/>
      <w:bookmarkStart w:id="142" w:name="_DV_M77"/>
      <w:bookmarkStart w:id="143" w:name="_DV_M78"/>
      <w:bookmarkStart w:id="144" w:name="_DV_M79"/>
      <w:bookmarkStart w:id="145" w:name="_DV_M80"/>
      <w:bookmarkStart w:id="146" w:name="_DV_M213"/>
      <w:bookmarkStart w:id="147" w:name="_DV_M214"/>
      <w:bookmarkStart w:id="148" w:name="_DV_M215"/>
      <w:bookmarkStart w:id="149" w:name="_DV_M216"/>
      <w:bookmarkStart w:id="150" w:name="_DV_M217"/>
      <w:bookmarkStart w:id="151" w:name="_DV_M218"/>
      <w:bookmarkStart w:id="152" w:name="_DV_M219"/>
      <w:bookmarkStart w:id="153" w:name="_DV_M231"/>
      <w:bookmarkStart w:id="154" w:name="_DV_M232"/>
      <w:bookmarkStart w:id="155" w:name="_DV_M238"/>
      <w:bookmarkStart w:id="156" w:name="_DV_M241"/>
      <w:bookmarkStart w:id="157" w:name="_DV_M242"/>
      <w:bookmarkStart w:id="158" w:name="_DV_M250"/>
      <w:bookmarkStart w:id="159" w:name="_DV_M252"/>
      <w:bookmarkStart w:id="160" w:name="_DV_M254"/>
      <w:bookmarkStart w:id="161" w:name="_DV_M257"/>
      <w:bookmarkStart w:id="162" w:name="_DV_M258"/>
      <w:bookmarkStart w:id="163" w:name="_DV_M266"/>
      <w:bookmarkStart w:id="164" w:name="_DV_M267"/>
      <w:bookmarkStart w:id="165" w:name="_DV_M269"/>
      <w:bookmarkStart w:id="166" w:name="_DV_M270"/>
      <w:bookmarkStart w:id="167" w:name="_DV_M271"/>
      <w:bookmarkStart w:id="168" w:name="_DV_M289"/>
      <w:bookmarkStart w:id="169" w:name="_DV_M290"/>
      <w:bookmarkStart w:id="170" w:name="_DV_M310"/>
      <w:bookmarkStart w:id="171" w:name="_DV_M313"/>
      <w:bookmarkStart w:id="172" w:name="_DV_M314"/>
      <w:bookmarkStart w:id="173" w:name="_DV_M315"/>
      <w:bookmarkStart w:id="174" w:name="_DV_M319"/>
      <w:bookmarkStart w:id="175" w:name="_DV_M320"/>
      <w:bookmarkStart w:id="176" w:name="_DV_M323"/>
      <w:bookmarkStart w:id="177" w:name="_DV_M324"/>
      <w:bookmarkStart w:id="178" w:name="_DV_M325"/>
      <w:bookmarkStart w:id="179" w:name="_DV_M326"/>
      <w:bookmarkStart w:id="180" w:name="_DV_M349"/>
      <w:bookmarkStart w:id="181" w:name="_DV_M339"/>
      <w:bookmarkStart w:id="182" w:name="_DV_M340"/>
      <w:bookmarkStart w:id="183" w:name="_DV_M343"/>
      <w:bookmarkStart w:id="184" w:name="_DV_M344"/>
      <w:bookmarkStart w:id="185" w:name="_DV_M345"/>
      <w:bookmarkStart w:id="186" w:name="_DV_M346"/>
      <w:bookmarkStart w:id="187" w:name="_DV_M347"/>
      <w:bookmarkStart w:id="188" w:name="_DV_M348"/>
      <w:bookmarkStart w:id="189" w:name="_DV_M380"/>
      <w:bookmarkStart w:id="190" w:name="_DV_M381"/>
      <w:bookmarkStart w:id="191" w:name="_DV_M382"/>
      <w:bookmarkStart w:id="192" w:name="_DV_M383"/>
      <w:bookmarkStart w:id="193" w:name="_DV_M384"/>
      <w:bookmarkStart w:id="194" w:name="_DV_M386"/>
      <w:bookmarkStart w:id="195" w:name="_DV_M388"/>
      <w:bookmarkStart w:id="196" w:name="_DV_M387"/>
      <w:bookmarkStart w:id="197" w:name="_Toc293194905"/>
      <w:bookmarkStart w:id="198" w:name="_DV_M389"/>
      <w:bookmarkStart w:id="199" w:name="_Toc293194906"/>
      <w:bookmarkStart w:id="200" w:name="_DV_M390"/>
      <w:bookmarkStart w:id="201" w:name="_Toc293194908"/>
      <w:bookmarkStart w:id="202" w:name="_Toc293194910"/>
      <w:bookmarkStart w:id="203" w:name="_Toc293194912"/>
      <w:bookmarkStart w:id="204" w:name="_Toc293194914"/>
      <w:bookmarkStart w:id="205" w:name="_Toc293194916"/>
      <w:bookmarkStart w:id="206" w:name="_Toc293194918"/>
      <w:bookmarkStart w:id="207" w:name="_Toc293194920"/>
      <w:bookmarkStart w:id="208" w:name="_DV_M393"/>
      <w:bookmarkStart w:id="209" w:name="_DV_M394"/>
      <w:bookmarkStart w:id="210" w:name="_DV_M410"/>
      <w:bookmarkStart w:id="211" w:name="_DV_M412"/>
      <w:bookmarkStart w:id="212" w:name="_DV_M422"/>
      <w:bookmarkStart w:id="213" w:name="_Toc293194924"/>
      <w:bookmarkStart w:id="214" w:name="_DV_M413"/>
      <w:bookmarkStart w:id="215" w:name="_DV_M414"/>
      <w:bookmarkEnd w:id="110"/>
      <w:bookmarkEnd w:id="111"/>
      <w:bookmarkEnd w:id="112"/>
      <w:bookmarkEnd w:id="118"/>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216" w:name="_Hlk68028801"/>
      <w:r w:rsidRPr="00BA75E8">
        <w:rPr>
          <w:b/>
          <w:sz w:val="22"/>
          <w:szCs w:val="22"/>
        </w:rPr>
        <w:t xml:space="preserve">CRONOGRAMA INDICATIVO </w:t>
      </w:r>
      <w:bookmarkEnd w:id="216"/>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BA75E8">
        <w:rPr>
          <w:sz w:val="22"/>
          <w:szCs w:val="22"/>
        </w:rPr>
        <w:t>ii</w:t>
      </w:r>
      <w:proofErr w:type="spellEnd"/>
      <w:r w:rsidRPr="00BA75E8">
        <w:rPr>
          <w:sz w:val="22"/>
          <w:szCs w:val="22"/>
        </w:rPr>
        <w:t>)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2957B650" w14:textId="65F2A3E3" w:rsidR="00E1393F" w:rsidRPr="000720A1" w:rsidRDefault="00CD3FB7" w:rsidP="00E1393F">
      <w:pPr>
        <w:spacing w:line="360" w:lineRule="auto"/>
        <w:rPr>
          <w:b/>
          <w:sz w:val="22"/>
          <w:szCs w:val="22"/>
        </w:rPr>
      </w:pPr>
      <w:r w:rsidRPr="00CD3FB7">
        <w:rPr>
          <w:b/>
          <w:sz w:val="22"/>
          <w:szCs w:val="22"/>
        </w:rPr>
        <w:t>SIMPLIFIC PAVARINI DISTRIBUIDORA DE TÍTULOS E VALORES MOBILIÁRIOS LTDA.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217"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217"/>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7777777" w:rsidR="00982C2D" w:rsidRPr="00BA75E8" w:rsidRDefault="00982C2D" w:rsidP="00982C2D">
      <w:pPr>
        <w:spacing w:line="300" w:lineRule="auto"/>
        <w:jc w:val="both"/>
        <w:rPr>
          <w:i/>
          <w:sz w:val="22"/>
          <w:szCs w:val="22"/>
        </w:rPr>
      </w:pPr>
      <w:r w:rsidRPr="00BA75E8">
        <w:rPr>
          <w:i/>
          <w:sz w:val="22"/>
          <w:szCs w:val="22"/>
        </w:rPr>
        <w:t>As despesas acima estão acrescidas dos tributos.</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a qual deverá ser paga até o 5º (quinto) Dia Útil após a data de integralização dos CRI;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devida em até o 5º (quinto) Dia Útil a contar da Primeira Data de Integralização dos CRI ou 30 (trinta) dias a contar da data de assinatura do Termo de Securitização, e (</w:t>
      </w:r>
      <w:proofErr w:type="spellStart"/>
      <w:r w:rsidRPr="00BA75E8">
        <w:rPr>
          <w:rFonts w:ascii="Times New Roman" w:hAnsi="Times New Roman" w:cs="Times New Roman"/>
          <w:sz w:val="22"/>
          <w:szCs w:val="22"/>
        </w:rPr>
        <w:t>ii</w:t>
      </w:r>
      <w:proofErr w:type="spellEnd"/>
      <w:r w:rsidRPr="00BA75E8">
        <w:rPr>
          <w:rFonts w:ascii="Times New Roman" w:hAnsi="Times New Roman" w:cs="Times New Roman"/>
          <w:sz w:val="22"/>
          <w:szCs w:val="22"/>
        </w:rPr>
        <w:t xml:space="preserve">)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cada, sendo a primeira parcela devida até o 5º (quinto) Dia Útil a contar da Primeira Data de Integralização dos CRI e as demais nos semestres subsequentes ou 30 (trinta) dias a contar da data de assinatura do Termo de Securitização, até o resgate total dos CRI, e (</w:t>
      </w:r>
      <w:proofErr w:type="spellStart"/>
      <w:r w:rsidRPr="00BA75E8">
        <w:rPr>
          <w:rFonts w:ascii="Times New Roman" w:hAnsi="Times New Roman" w:cs="Times New Roman"/>
          <w:sz w:val="22"/>
          <w:szCs w:val="22"/>
        </w:rPr>
        <w:t>iii</w:t>
      </w:r>
      <w:proofErr w:type="spellEnd"/>
      <w:r w:rsidRPr="00BA75E8">
        <w:rPr>
          <w:rFonts w:ascii="Times New Roman" w:hAnsi="Times New Roman" w:cs="Times New Roman"/>
          <w:sz w:val="22"/>
          <w:szCs w:val="22"/>
        </w:rPr>
        <w:t xml:space="preserve">)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w:t>
      </w:r>
      <w:proofErr w:type="spellStart"/>
      <w:r w:rsidRPr="00BA75E8">
        <w:rPr>
          <w:rFonts w:ascii="Times New Roman" w:hAnsi="Times New Roman" w:cs="Times New Roman"/>
          <w:sz w:val="22"/>
          <w:szCs w:val="22"/>
        </w:rPr>
        <w:t>abort</w:t>
      </w:r>
      <w:proofErr w:type="spellEnd"/>
      <w:r w:rsidRPr="00BA75E8">
        <w:rPr>
          <w:rFonts w:ascii="Times New Roman" w:hAnsi="Times New Roman" w:cs="Times New Roman"/>
          <w:sz w:val="22"/>
          <w:szCs w:val="22"/>
        </w:rPr>
        <w:t xml:space="preserve"> </w:t>
      </w:r>
      <w:proofErr w:type="spellStart"/>
      <w:r w:rsidRPr="00BA75E8">
        <w:rPr>
          <w:rFonts w:ascii="Times New Roman" w:hAnsi="Times New Roman" w:cs="Times New Roman"/>
          <w:sz w:val="22"/>
          <w:szCs w:val="22"/>
        </w:rPr>
        <w:t>fee</w:t>
      </w:r>
      <w:proofErr w:type="spellEnd"/>
      <w:r w:rsidRPr="00BA75E8">
        <w:rPr>
          <w:rFonts w:ascii="Times New Roman" w:hAnsi="Times New Roman" w:cs="Times New Roman"/>
          <w:sz w:val="22"/>
          <w:szCs w:val="22"/>
        </w:rPr>
        <w:t>”;</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proofErr w:type="spellStart"/>
      <w:r w:rsidRPr="00BA75E8">
        <w:rPr>
          <w:rFonts w:ascii="Times New Roman" w:hAnsi="Times New Roman" w:cs="Times New Roman"/>
          <w:i/>
          <w:sz w:val="22"/>
          <w:szCs w:val="22"/>
        </w:rPr>
        <w:t>gross</w:t>
      </w:r>
      <w:proofErr w:type="spellEnd"/>
      <w:r w:rsidRPr="00BA75E8">
        <w:rPr>
          <w:rFonts w:ascii="Times New Roman" w:hAnsi="Times New Roman" w:cs="Times New Roman"/>
          <w:i/>
          <w:sz w:val="22"/>
          <w:szCs w:val="22"/>
        </w:rPr>
        <w:t xml:space="preserve"> </w:t>
      </w:r>
      <w:proofErr w:type="spellStart"/>
      <w:r w:rsidRPr="00BA75E8">
        <w:rPr>
          <w:rFonts w:ascii="Times New Roman" w:hAnsi="Times New Roman" w:cs="Times New Roman"/>
          <w:i/>
          <w:sz w:val="22"/>
          <w:szCs w:val="22"/>
        </w:rPr>
        <w:t>up</w:t>
      </w:r>
      <w:proofErr w:type="spellEnd"/>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w:t>
      </w:r>
      <w:proofErr w:type="spellStart"/>
      <w:r w:rsidRPr="00BA75E8">
        <w:rPr>
          <w:color w:val="000000"/>
          <w:sz w:val="22"/>
          <w:szCs w:val="22"/>
        </w:rPr>
        <w:t>iv</w:t>
      </w:r>
      <w:proofErr w:type="spellEnd"/>
      <w:r w:rsidRPr="00BA75E8">
        <w:rPr>
          <w:color w:val="000000"/>
          <w:sz w:val="22"/>
          <w:szCs w:val="22"/>
        </w:rPr>
        <w:t>)</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1F5F94AB" w14:textId="77777777" w:rsidR="0020428A" w:rsidRDefault="0020428A"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0428A" w:rsidSect="00572818">
          <w:headerReference w:type="default" r:id="rId22"/>
          <w:headerReference w:type="first" r:id="rId23"/>
          <w:pgSz w:w="11907" w:h="16840" w:code="9"/>
          <w:pgMar w:top="1985" w:right="851" w:bottom="1701" w:left="1701" w:header="709" w:footer="227" w:gutter="0"/>
          <w:pgNumType w:start="1"/>
          <w:cols w:space="708"/>
          <w:titlePg/>
          <w:docGrid w:linePitch="360"/>
        </w:sect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1F56734D" w14:textId="5CA7B148" w:rsidR="008A78B1"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778"/>
        <w:gridCol w:w="1081"/>
        <w:gridCol w:w="1503"/>
        <w:gridCol w:w="1236"/>
        <w:gridCol w:w="923"/>
        <w:gridCol w:w="1265"/>
        <w:gridCol w:w="690"/>
        <w:gridCol w:w="1228"/>
        <w:gridCol w:w="1940"/>
      </w:tblGrid>
      <w:tr w:rsidR="000375CF" w:rsidRPr="00BA75E8" w14:paraId="34BA8CDC" w14:textId="12A2D06D"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658D3F82"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4C2B186B"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448C4C1E"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1D56CD82"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4FD0232E"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5284DFB8"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6B32132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0B9AD9DA"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0D7312BF"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0F1BB758"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4CFD758B"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53FBE2DF"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5C8A9030"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506A2C70"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34173ABC"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5FE65FAA"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6B486786"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67B896BA"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274B4ED3"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003F230B"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7E2F06">
      <w:pgSz w:w="16840" w:h="11907" w:orient="landscape" w:code="9"/>
      <w:pgMar w:top="1701" w:right="1985" w:bottom="85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A966" w14:textId="77777777" w:rsidR="00E73856" w:rsidRDefault="00E73856">
      <w:r>
        <w:separator/>
      </w:r>
    </w:p>
    <w:p w14:paraId="4AD373F6" w14:textId="77777777" w:rsidR="00E73856" w:rsidRDefault="00E73856"/>
  </w:endnote>
  <w:endnote w:type="continuationSeparator" w:id="0">
    <w:p w14:paraId="08EF49C3" w14:textId="77777777" w:rsidR="00E73856" w:rsidRDefault="00E73856">
      <w:r>
        <w:continuationSeparator/>
      </w:r>
    </w:p>
    <w:p w14:paraId="5EED7523" w14:textId="77777777" w:rsidR="00E73856" w:rsidRDefault="00E73856"/>
  </w:endnote>
  <w:endnote w:type="continuationNotice" w:id="1">
    <w:p w14:paraId="43616AE5" w14:textId="77777777" w:rsidR="00E73856" w:rsidRDefault="00E73856"/>
    <w:p w14:paraId="0B4EB487" w14:textId="77777777" w:rsidR="00E73856" w:rsidRDefault="00E73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61BE" w14:textId="77777777" w:rsidR="00E73856" w:rsidRDefault="00E73856">
      <w:r>
        <w:separator/>
      </w:r>
    </w:p>
    <w:p w14:paraId="3F1874D0" w14:textId="77777777" w:rsidR="00E73856" w:rsidRDefault="00E73856"/>
  </w:footnote>
  <w:footnote w:type="continuationSeparator" w:id="0">
    <w:p w14:paraId="27EB57DE" w14:textId="77777777" w:rsidR="00E73856" w:rsidRDefault="00E73856">
      <w:r>
        <w:continuationSeparator/>
      </w:r>
    </w:p>
    <w:p w14:paraId="0A9699B9" w14:textId="77777777" w:rsidR="00E73856" w:rsidRDefault="00E73856"/>
  </w:footnote>
  <w:footnote w:type="continuationNotice" w:id="1">
    <w:p w14:paraId="1DC11761" w14:textId="77777777" w:rsidR="00E73856" w:rsidRDefault="00E73856"/>
    <w:p w14:paraId="13AAAD12" w14:textId="77777777" w:rsidR="00E73856" w:rsidRDefault="00E73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0"/>
      <w:gridCol w:w="3070"/>
      <w:gridCol w:w="3071"/>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0E0246"/>
    <w:multiLevelType w:val="hybridMultilevel"/>
    <w:tmpl w:val="B718B05A"/>
    <w:lvl w:ilvl="0" w:tplc="21169DB8">
      <w:start w:val="1"/>
      <w:numFmt w:val="lowerRoman"/>
      <w:lvlText w:val="(%1)"/>
      <w:lvlJc w:val="left"/>
      <w:pPr>
        <w:ind w:left="720" w:hanging="360"/>
      </w:pPr>
    </w:lvl>
    <w:lvl w:ilvl="1" w:tplc="1B90BA68">
      <w:start w:val="1"/>
      <w:numFmt w:val="lowerLetter"/>
      <w:lvlText w:val="%2."/>
      <w:lvlJc w:val="left"/>
      <w:pPr>
        <w:ind w:left="1440" w:hanging="360"/>
      </w:pPr>
    </w:lvl>
    <w:lvl w:ilvl="2" w:tplc="C2E454B4">
      <w:start w:val="1"/>
      <w:numFmt w:val="lowerRoman"/>
      <w:lvlText w:val="%3."/>
      <w:lvlJc w:val="right"/>
      <w:pPr>
        <w:ind w:left="2160" w:hanging="180"/>
      </w:pPr>
    </w:lvl>
    <w:lvl w:ilvl="3" w:tplc="EB7ECE40">
      <w:start w:val="1"/>
      <w:numFmt w:val="decimal"/>
      <w:lvlText w:val="%4."/>
      <w:lvlJc w:val="left"/>
      <w:pPr>
        <w:ind w:left="2880" w:hanging="360"/>
      </w:pPr>
    </w:lvl>
    <w:lvl w:ilvl="4" w:tplc="26C00376">
      <w:start w:val="1"/>
      <w:numFmt w:val="lowerLetter"/>
      <w:lvlText w:val="%5."/>
      <w:lvlJc w:val="left"/>
      <w:pPr>
        <w:ind w:left="3600" w:hanging="360"/>
      </w:pPr>
    </w:lvl>
    <w:lvl w:ilvl="5" w:tplc="131C871A">
      <w:start w:val="1"/>
      <w:numFmt w:val="lowerRoman"/>
      <w:lvlText w:val="%6."/>
      <w:lvlJc w:val="right"/>
      <w:pPr>
        <w:ind w:left="4320" w:hanging="180"/>
      </w:pPr>
    </w:lvl>
    <w:lvl w:ilvl="6" w:tplc="8348BFD6">
      <w:start w:val="1"/>
      <w:numFmt w:val="decimal"/>
      <w:lvlText w:val="%7."/>
      <w:lvlJc w:val="left"/>
      <w:pPr>
        <w:ind w:left="5040" w:hanging="360"/>
      </w:pPr>
    </w:lvl>
    <w:lvl w:ilvl="7" w:tplc="1654FA94">
      <w:start w:val="1"/>
      <w:numFmt w:val="lowerLetter"/>
      <w:lvlText w:val="%8."/>
      <w:lvlJc w:val="left"/>
      <w:pPr>
        <w:ind w:left="5760" w:hanging="360"/>
      </w:pPr>
    </w:lvl>
    <w:lvl w:ilvl="8" w:tplc="8F4490C4">
      <w:start w:val="1"/>
      <w:numFmt w:val="lowerRoman"/>
      <w:lvlText w:val="%9."/>
      <w:lvlJc w:val="right"/>
      <w:pPr>
        <w:ind w:left="6480" w:hanging="180"/>
      </w:pPr>
    </w:lvl>
  </w:abstractNum>
  <w:abstractNum w:abstractNumId="13"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673F3C"/>
    <w:multiLevelType w:val="multilevel"/>
    <w:tmpl w:val="5516AB70"/>
    <w:lvl w:ilvl="0">
      <w:start w:val="3"/>
      <w:numFmt w:val="decimal"/>
      <w:lvlText w:val="%1."/>
      <w:lvlJc w:val="left"/>
      <w:pPr>
        <w:tabs>
          <w:tab w:val="num" w:pos="567"/>
        </w:tabs>
        <w:ind w:left="0" w:firstLine="0"/>
      </w:pPr>
      <w:rPr>
        <w:rFonts w:ascii="Tahoma" w:hAnsi="Tahoma" w:hint="default"/>
        <w:b/>
        <w:i w:val="0"/>
        <w:color w:val="FFFFFF" w:themeColor="background1"/>
        <w:sz w:val="21"/>
        <w:szCs w:val="21"/>
      </w:rPr>
    </w:lvl>
    <w:lvl w:ilvl="1">
      <w:start w:val="10"/>
      <w:numFmt w:val="none"/>
      <w:lvlText w:val="3.10."/>
      <w:lvlJc w:val="left"/>
      <w:pPr>
        <w:tabs>
          <w:tab w:val="num" w:pos="3516"/>
        </w:tabs>
        <w:ind w:left="2836" w:firstLine="0"/>
      </w:pPr>
      <w:rPr>
        <w:rFonts w:ascii="Tahoma" w:hAnsi="Tahoma" w:cs="Tahoma" w:hint="default"/>
        <w:b w:val="0"/>
        <w:bCs/>
        <w:i w:val="0"/>
        <w:sz w:val="21"/>
        <w:szCs w:val="21"/>
      </w:rPr>
    </w:lvl>
    <w:lvl w:ilvl="2">
      <w:start w:val="1"/>
      <w:numFmt w:val="decimal"/>
      <w:lvlText w:val="%1.%2.%3."/>
      <w:lvlJc w:val="left"/>
      <w:pPr>
        <w:tabs>
          <w:tab w:val="num" w:pos="2496"/>
        </w:tabs>
        <w:ind w:left="1702" w:firstLine="0"/>
      </w:pPr>
      <w:rPr>
        <w:rFonts w:ascii="Tahoma" w:hAnsi="Tahoma" w:cs="Tahoma" w:hint="default"/>
        <w:b w:val="0"/>
        <w:bCs/>
        <w:i w:val="0"/>
        <w:sz w:val="21"/>
        <w:szCs w:val="21"/>
      </w:rPr>
    </w:lvl>
    <w:lvl w:ilvl="3">
      <w:start w:val="1"/>
      <w:numFmt w:val="decimal"/>
      <w:lvlText w:val="%1.%2.%3.%4."/>
      <w:lvlJc w:val="left"/>
      <w:pPr>
        <w:tabs>
          <w:tab w:val="num" w:pos="2722"/>
        </w:tabs>
        <w:ind w:left="2041" w:firstLine="0"/>
      </w:pPr>
      <w:rPr>
        <w:rFonts w:ascii="Tahoma" w:hAnsi="Tahoma" w:hint="default"/>
        <w:b w:val="0"/>
        <w:bCs/>
        <w:i w:val="0"/>
        <w:sz w:val="21"/>
        <w:szCs w:val="21"/>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5"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9"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6"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30"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8"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9"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4"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7"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5B29031C"/>
    <w:multiLevelType w:val="hybridMultilevel"/>
    <w:tmpl w:val="7CAAF128"/>
    <w:lvl w:ilvl="0" w:tplc="24E49C6E">
      <w:start w:val="1"/>
      <w:numFmt w:val="lowerRoman"/>
      <w:lvlText w:val="(%1)"/>
      <w:lvlJc w:val="left"/>
      <w:pPr>
        <w:ind w:left="1967" w:hanging="720"/>
      </w:pPr>
      <w:rPr>
        <w:rFonts w:hint="default"/>
        <w:b w:val="0"/>
        <w:bCs/>
      </w:rPr>
    </w:lvl>
    <w:lvl w:ilvl="1" w:tplc="04160019">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53" w15:restartNumberingAfterBreak="0">
    <w:nsid w:val="5B6D2B8E"/>
    <w:multiLevelType w:val="multilevel"/>
    <w:tmpl w:val="F046744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1"/>
        <w:szCs w:val="21"/>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ahoma" w:hAnsi="Tahoma" w:cs="Tahoma" w:hint="default"/>
        <w:b w:val="0"/>
        <w:i w:val="0"/>
        <w:sz w:val="21"/>
        <w:szCs w:val="21"/>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ahoma" w:hAnsi="Tahoma" w:cs="Tahoma" w:hint="default"/>
        <w:b w:val="0"/>
        <w:i w:val="0"/>
        <w:sz w:val="21"/>
        <w:szCs w:val="21"/>
      </w:rPr>
    </w:lvl>
  </w:abstractNum>
  <w:abstractNum w:abstractNumId="54"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57"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1"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63"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64"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5812B80"/>
    <w:multiLevelType w:val="hybridMultilevel"/>
    <w:tmpl w:val="304E99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1"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1453135663">
    <w:abstractNumId w:val="66"/>
  </w:num>
  <w:num w:numId="2" w16cid:durableId="1497259869">
    <w:abstractNumId w:val="38"/>
  </w:num>
  <w:num w:numId="3" w16cid:durableId="31345629">
    <w:abstractNumId w:val="32"/>
  </w:num>
  <w:num w:numId="4" w16cid:durableId="1233156033">
    <w:abstractNumId w:val="57"/>
  </w:num>
  <w:num w:numId="5" w16cid:durableId="1263339408">
    <w:abstractNumId w:val="21"/>
  </w:num>
  <w:num w:numId="6" w16cid:durableId="132989589">
    <w:abstractNumId w:val="39"/>
  </w:num>
  <w:num w:numId="7" w16cid:durableId="432437872">
    <w:abstractNumId w:val="50"/>
  </w:num>
  <w:num w:numId="8" w16cid:durableId="1099637923">
    <w:abstractNumId w:val="19"/>
  </w:num>
  <w:num w:numId="9" w16cid:durableId="2017026607">
    <w:abstractNumId w:val="61"/>
  </w:num>
  <w:num w:numId="10" w16cid:durableId="1258903030">
    <w:abstractNumId w:val="68"/>
  </w:num>
  <w:num w:numId="11" w16cid:durableId="1966427404">
    <w:abstractNumId w:val="6"/>
  </w:num>
  <w:num w:numId="12" w16cid:durableId="851722258">
    <w:abstractNumId w:val="59"/>
  </w:num>
  <w:num w:numId="13" w16cid:durableId="1757439826">
    <w:abstractNumId w:val="55"/>
  </w:num>
  <w:num w:numId="14" w16cid:durableId="1034961036">
    <w:abstractNumId w:val="41"/>
  </w:num>
  <w:num w:numId="15" w16cid:durableId="1934194831">
    <w:abstractNumId w:val="17"/>
  </w:num>
  <w:num w:numId="16" w16cid:durableId="848642856">
    <w:abstractNumId w:val="34"/>
  </w:num>
  <w:num w:numId="17" w16cid:durableId="16411141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7903807">
    <w:abstractNumId w:val="30"/>
  </w:num>
  <w:num w:numId="19" w16cid:durableId="877863183">
    <w:abstractNumId w:val="2"/>
  </w:num>
  <w:num w:numId="20" w16cid:durableId="1876388605">
    <w:abstractNumId w:val="10"/>
  </w:num>
  <w:num w:numId="21" w16cid:durableId="1273435387">
    <w:abstractNumId w:val="23"/>
  </w:num>
  <w:num w:numId="22" w16cid:durableId="1887838868">
    <w:abstractNumId w:val="16"/>
  </w:num>
  <w:num w:numId="23" w16cid:durableId="2135782694">
    <w:abstractNumId w:val="44"/>
  </w:num>
  <w:num w:numId="24" w16cid:durableId="898058979">
    <w:abstractNumId w:val="36"/>
  </w:num>
  <w:num w:numId="25" w16cid:durableId="336080236">
    <w:abstractNumId w:val="5"/>
  </w:num>
  <w:num w:numId="26" w16cid:durableId="1952932083">
    <w:abstractNumId w:val="73"/>
  </w:num>
  <w:num w:numId="27" w16cid:durableId="501897823">
    <w:abstractNumId w:val="18"/>
  </w:num>
  <w:num w:numId="28" w16cid:durableId="2125494811">
    <w:abstractNumId w:val="9"/>
  </w:num>
  <w:num w:numId="29" w16cid:durableId="740904022">
    <w:abstractNumId w:val="25"/>
  </w:num>
  <w:num w:numId="30" w16cid:durableId="918292252">
    <w:abstractNumId w:val="1"/>
  </w:num>
  <w:num w:numId="31" w16cid:durableId="1717007198">
    <w:abstractNumId w:val="13"/>
  </w:num>
  <w:num w:numId="32" w16cid:durableId="1518034521">
    <w:abstractNumId w:val="33"/>
  </w:num>
  <w:num w:numId="33" w16cid:durableId="2085715794">
    <w:abstractNumId w:val="43"/>
  </w:num>
  <w:num w:numId="34" w16cid:durableId="549389709">
    <w:abstractNumId w:val="3"/>
  </w:num>
  <w:num w:numId="35" w16cid:durableId="1406878173">
    <w:abstractNumId w:val="27"/>
  </w:num>
  <w:num w:numId="36" w16cid:durableId="1609006749">
    <w:abstractNumId w:val="51"/>
  </w:num>
  <w:num w:numId="37" w16cid:durableId="1039477086">
    <w:abstractNumId w:val="35"/>
  </w:num>
  <w:num w:numId="38" w16cid:durableId="1687830390">
    <w:abstractNumId w:val="45"/>
  </w:num>
  <w:num w:numId="39" w16cid:durableId="1362048571">
    <w:abstractNumId w:val="26"/>
  </w:num>
  <w:num w:numId="40" w16cid:durableId="41558930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81386622">
    <w:abstractNumId w:val="0"/>
    <w:lvlOverride w:ilvl="0">
      <w:startOverride w:val="1"/>
    </w:lvlOverride>
  </w:num>
  <w:num w:numId="42" w16cid:durableId="473136116">
    <w:abstractNumId w:val="22"/>
  </w:num>
  <w:num w:numId="43" w16cid:durableId="1579288107">
    <w:abstractNumId w:val="18"/>
  </w:num>
  <w:num w:numId="44" w16cid:durableId="172844745">
    <w:abstractNumId w:val="18"/>
  </w:num>
  <w:num w:numId="45" w16cid:durableId="146365968">
    <w:abstractNumId w:val="18"/>
  </w:num>
  <w:num w:numId="46" w16cid:durableId="548034215">
    <w:abstractNumId w:val="18"/>
  </w:num>
  <w:num w:numId="47" w16cid:durableId="690188114">
    <w:abstractNumId w:val="18"/>
  </w:num>
  <w:num w:numId="48" w16cid:durableId="2050445348">
    <w:abstractNumId w:val="69"/>
  </w:num>
  <w:num w:numId="49" w16cid:durableId="52506359">
    <w:abstractNumId w:val="48"/>
  </w:num>
  <w:num w:numId="50" w16cid:durableId="1907103145">
    <w:abstractNumId w:val="18"/>
  </w:num>
  <w:num w:numId="51" w16cid:durableId="1030499197">
    <w:abstractNumId w:val="18"/>
  </w:num>
  <w:num w:numId="52" w16cid:durableId="1413045680">
    <w:abstractNumId w:val="18"/>
  </w:num>
  <w:num w:numId="53" w16cid:durableId="1670210910">
    <w:abstractNumId w:val="18"/>
  </w:num>
  <w:num w:numId="54" w16cid:durableId="252057736">
    <w:abstractNumId w:val="18"/>
  </w:num>
  <w:num w:numId="55" w16cid:durableId="802966819">
    <w:abstractNumId w:val="28"/>
  </w:num>
  <w:num w:numId="56" w16cid:durableId="2037777265">
    <w:abstractNumId w:val="49"/>
  </w:num>
  <w:num w:numId="57" w16cid:durableId="1293748634">
    <w:abstractNumId w:val="11"/>
  </w:num>
  <w:num w:numId="58" w16cid:durableId="723483354">
    <w:abstractNumId w:val="46"/>
  </w:num>
  <w:num w:numId="59" w16cid:durableId="1445147521">
    <w:abstractNumId w:val="29"/>
  </w:num>
  <w:num w:numId="60" w16cid:durableId="1583175588">
    <w:abstractNumId w:val="62"/>
  </w:num>
  <w:num w:numId="61" w16cid:durableId="1049184526">
    <w:abstractNumId w:val="37"/>
  </w:num>
  <w:num w:numId="62" w16cid:durableId="413629703">
    <w:abstractNumId w:val="4"/>
  </w:num>
  <w:num w:numId="63" w16cid:durableId="1684891263">
    <w:abstractNumId w:val="71"/>
  </w:num>
  <w:num w:numId="64" w16cid:durableId="1084037473">
    <w:abstractNumId w:val="40"/>
  </w:num>
  <w:num w:numId="65" w16cid:durableId="1983919949">
    <w:abstractNumId w:val="42"/>
  </w:num>
  <w:num w:numId="66" w16cid:durableId="1405880622">
    <w:abstractNumId w:val="47"/>
  </w:num>
  <w:num w:numId="67" w16cid:durableId="1974361148">
    <w:abstractNumId w:val="64"/>
  </w:num>
  <w:num w:numId="68" w16cid:durableId="1140925303">
    <w:abstractNumId w:val="58"/>
  </w:num>
  <w:num w:numId="69" w16cid:durableId="404299091">
    <w:abstractNumId w:val="8"/>
  </w:num>
  <w:num w:numId="70" w16cid:durableId="970674146">
    <w:abstractNumId w:val="31"/>
  </w:num>
  <w:num w:numId="71" w16cid:durableId="419375216">
    <w:abstractNumId w:val="15"/>
  </w:num>
  <w:num w:numId="72" w16cid:durableId="1556430690">
    <w:abstractNumId w:val="72"/>
  </w:num>
  <w:num w:numId="73" w16cid:durableId="1795293253">
    <w:abstractNumId w:val="63"/>
  </w:num>
  <w:num w:numId="74" w16cid:durableId="1671635593">
    <w:abstractNumId w:val="18"/>
  </w:num>
  <w:num w:numId="75" w16cid:durableId="1588030078">
    <w:abstractNumId w:val="18"/>
  </w:num>
  <w:num w:numId="76" w16cid:durableId="174269690">
    <w:abstractNumId w:val="18"/>
  </w:num>
  <w:num w:numId="77" w16cid:durableId="508956099">
    <w:abstractNumId w:val="18"/>
  </w:num>
  <w:num w:numId="78" w16cid:durableId="1754471169">
    <w:abstractNumId w:val="7"/>
  </w:num>
  <w:num w:numId="79" w16cid:durableId="894197904">
    <w:abstractNumId w:val="24"/>
  </w:num>
  <w:num w:numId="80" w16cid:durableId="763649583">
    <w:abstractNumId w:val="60"/>
  </w:num>
  <w:num w:numId="81" w16cid:durableId="2017028130">
    <w:abstractNumId w:val="54"/>
  </w:num>
  <w:num w:numId="82" w16cid:durableId="2006057118">
    <w:abstractNumId w:val="14"/>
  </w:num>
  <w:num w:numId="83" w16cid:durableId="564416233">
    <w:abstractNumId w:val="52"/>
  </w:num>
  <w:num w:numId="84" w16cid:durableId="1170608784">
    <w:abstractNumId w:val="18"/>
  </w:num>
  <w:num w:numId="85" w16cid:durableId="2115902736">
    <w:abstractNumId w:val="12"/>
  </w:num>
  <w:num w:numId="86" w16cid:durableId="354501059">
    <w:abstractNumId w:val="53"/>
  </w:num>
  <w:num w:numId="87" w16cid:durableId="1497188374">
    <w:abstractNumId w:val="65"/>
  </w:num>
  <w:num w:numId="88" w16cid:durableId="842208980">
    <w:abstractNumId w:val="56"/>
  </w:num>
  <w:num w:numId="89" w16cid:durableId="470632915">
    <w:abstractNumId w:val="18"/>
  </w:num>
  <w:num w:numId="90" w16cid:durableId="1800301078">
    <w:abstractNumId w:val="20"/>
  </w:num>
  <w:num w:numId="91" w16cid:durableId="2041584016">
    <w:abstractNumId w:val="6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2A3"/>
    <w:rsid w:val="00002CBF"/>
    <w:rsid w:val="00003F6E"/>
    <w:rsid w:val="000043A8"/>
    <w:rsid w:val="00004848"/>
    <w:rsid w:val="00004AF9"/>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0F87"/>
    <w:rsid w:val="0001123E"/>
    <w:rsid w:val="000120BB"/>
    <w:rsid w:val="0001214A"/>
    <w:rsid w:val="0001270F"/>
    <w:rsid w:val="00012AFF"/>
    <w:rsid w:val="00012DA1"/>
    <w:rsid w:val="00013900"/>
    <w:rsid w:val="00013A52"/>
    <w:rsid w:val="00014428"/>
    <w:rsid w:val="00015573"/>
    <w:rsid w:val="00016B77"/>
    <w:rsid w:val="00016E08"/>
    <w:rsid w:val="000174F8"/>
    <w:rsid w:val="000200E2"/>
    <w:rsid w:val="0002041A"/>
    <w:rsid w:val="000211A0"/>
    <w:rsid w:val="000235D6"/>
    <w:rsid w:val="00025528"/>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3B8"/>
    <w:rsid w:val="000415A4"/>
    <w:rsid w:val="00041C6F"/>
    <w:rsid w:val="00042BF5"/>
    <w:rsid w:val="00042DF2"/>
    <w:rsid w:val="0004359D"/>
    <w:rsid w:val="00043C1F"/>
    <w:rsid w:val="00043F61"/>
    <w:rsid w:val="00044820"/>
    <w:rsid w:val="0004485D"/>
    <w:rsid w:val="00044BF2"/>
    <w:rsid w:val="00044FF7"/>
    <w:rsid w:val="000452A1"/>
    <w:rsid w:val="00045369"/>
    <w:rsid w:val="000458FF"/>
    <w:rsid w:val="0004628E"/>
    <w:rsid w:val="00046910"/>
    <w:rsid w:val="000470EB"/>
    <w:rsid w:val="0004762F"/>
    <w:rsid w:val="000503F2"/>
    <w:rsid w:val="0005072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4DE"/>
    <w:rsid w:val="00067BA4"/>
    <w:rsid w:val="00070D54"/>
    <w:rsid w:val="00070EC5"/>
    <w:rsid w:val="000716A6"/>
    <w:rsid w:val="00071D8D"/>
    <w:rsid w:val="000720A1"/>
    <w:rsid w:val="0007248E"/>
    <w:rsid w:val="00072F5E"/>
    <w:rsid w:val="000738E5"/>
    <w:rsid w:val="000741FE"/>
    <w:rsid w:val="000748A1"/>
    <w:rsid w:val="0007627D"/>
    <w:rsid w:val="0007682F"/>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018C"/>
    <w:rsid w:val="000B106C"/>
    <w:rsid w:val="000B1A0A"/>
    <w:rsid w:val="000B2B79"/>
    <w:rsid w:val="000B32EF"/>
    <w:rsid w:val="000B341E"/>
    <w:rsid w:val="000B5724"/>
    <w:rsid w:val="000B6381"/>
    <w:rsid w:val="000B68D0"/>
    <w:rsid w:val="000B7F3B"/>
    <w:rsid w:val="000C001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507"/>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E77AF"/>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889"/>
    <w:rsid w:val="00102BFA"/>
    <w:rsid w:val="00102FF4"/>
    <w:rsid w:val="001038BE"/>
    <w:rsid w:val="00104334"/>
    <w:rsid w:val="00104A17"/>
    <w:rsid w:val="00104C0E"/>
    <w:rsid w:val="00104C52"/>
    <w:rsid w:val="00104E3B"/>
    <w:rsid w:val="00104E48"/>
    <w:rsid w:val="00105124"/>
    <w:rsid w:val="001055B3"/>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302A"/>
    <w:rsid w:val="0011409C"/>
    <w:rsid w:val="001140FA"/>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6120"/>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699E"/>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068E"/>
    <w:rsid w:val="0016122D"/>
    <w:rsid w:val="00161741"/>
    <w:rsid w:val="001618D2"/>
    <w:rsid w:val="001619F2"/>
    <w:rsid w:val="0016282B"/>
    <w:rsid w:val="00163422"/>
    <w:rsid w:val="001636C4"/>
    <w:rsid w:val="00164764"/>
    <w:rsid w:val="001647BC"/>
    <w:rsid w:val="00165BF2"/>
    <w:rsid w:val="00166281"/>
    <w:rsid w:val="00166AAC"/>
    <w:rsid w:val="00166CB7"/>
    <w:rsid w:val="00170EC3"/>
    <w:rsid w:val="00172CF3"/>
    <w:rsid w:val="0017356B"/>
    <w:rsid w:val="00173B84"/>
    <w:rsid w:val="00174A0E"/>
    <w:rsid w:val="00174CDF"/>
    <w:rsid w:val="00174F4C"/>
    <w:rsid w:val="001764C0"/>
    <w:rsid w:val="001767F4"/>
    <w:rsid w:val="0017692E"/>
    <w:rsid w:val="00177299"/>
    <w:rsid w:val="0017747F"/>
    <w:rsid w:val="00177732"/>
    <w:rsid w:val="00177E22"/>
    <w:rsid w:val="0018004C"/>
    <w:rsid w:val="0018060D"/>
    <w:rsid w:val="00180830"/>
    <w:rsid w:val="001809A8"/>
    <w:rsid w:val="0018198E"/>
    <w:rsid w:val="0018277B"/>
    <w:rsid w:val="00183266"/>
    <w:rsid w:val="0018366A"/>
    <w:rsid w:val="001850E9"/>
    <w:rsid w:val="001853A7"/>
    <w:rsid w:val="001862AF"/>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673"/>
    <w:rsid w:val="001A715A"/>
    <w:rsid w:val="001A7CBC"/>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EE6"/>
    <w:rsid w:val="001D47C8"/>
    <w:rsid w:val="001D53D5"/>
    <w:rsid w:val="001D5D6B"/>
    <w:rsid w:val="001D5EB1"/>
    <w:rsid w:val="001D6373"/>
    <w:rsid w:val="001D6CB5"/>
    <w:rsid w:val="001D6D92"/>
    <w:rsid w:val="001E1F67"/>
    <w:rsid w:val="001E3D87"/>
    <w:rsid w:val="001E4004"/>
    <w:rsid w:val="001E4218"/>
    <w:rsid w:val="001E5E77"/>
    <w:rsid w:val="001E6C7F"/>
    <w:rsid w:val="001E7EC2"/>
    <w:rsid w:val="001F15E9"/>
    <w:rsid w:val="001F18AE"/>
    <w:rsid w:val="001F259A"/>
    <w:rsid w:val="001F26B8"/>
    <w:rsid w:val="001F2FBE"/>
    <w:rsid w:val="001F3C45"/>
    <w:rsid w:val="001F4014"/>
    <w:rsid w:val="001F480A"/>
    <w:rsid w:val="001F6262"/>
    <w:rsid w:val="001F65CA"/>
    <w:rsid w:val="001F72F3"/>
    <w:rsid w:val="0020000A"/>
    <w:rsid w:val="0020066C"/>
    <w:rsid w:val="002011B3"/>
    <w:rsid w:val="002019C8"/>
    <w:rsid w:val="00201C8F"/>
    <w:rsid w:val="00201CA9"/>
    <w:rsid w:val="0020428A"/>
    <w:rsid w:val="00204895"/>
    <w:rsid w:val="00204AFD"/>
    <w:rsid w:val="002069EA"/>
    <w:rsid w:val="00206AB4"/>
    <w:rsid w:val="00206DE3"/>
    <w:rsid w:val="00206F51"/>
    <w:rsid w:val="002073E9"/>
    <w:rsid w:val="00207D44"/>
    <w:rsid w:val="002103E3"/>
    <w:rsid w:val="002111B9"/>
    <w:rsid w:val="00211956"/>
    <w:rsid w:val="00211BA3"/>
    <w:rsid w:val="00212204"/>
    <w:rsid w:val="0021231A"/>
    <w:rsid w:val="00212FE1"/>
    <w:rsid w:val="00213CAA"/>
    <w:rsid w:val="00213DEC"/>
    <w:rsid w:val="00215905"/>
    <w:rsid w:val="0021633B"/>
    <w:rsid w:val="002165F3"/>
    <w:rsid w:val="00220043"/>
    <w:rsid w:val="0022008F"/>
    <w:rsid w:val="0022141D"/>
    <w:rsid w:val="002214C3"/>
    <w:rsid w:val="0022152A"/>
    <w:rsid w:val="00221F81"/>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6CA"/>
    <w:rsid w:val="00235DCA"/>
    <w:rsid w:val="00235F65"/>
    <w:rsid w:val="0023648A"/>
    <w:rsid w:val="00237BBD"/>
    <w:rsid w:val="00237FBE"/>
    <w:rsid w:val="0024080D"/>
    <w:rsid w:val="002413C5"/>
    <w:rsid w:val="00241742"/>
    <w:rsid w:val="002428D9"/>
    <w:rsid w:val="00242FE9"/>
    <w:rsid w:val="0024302D"/>
    <w:rsid w:val="00243FF2"/>
    <w:rsid w:val="0024467F"/>
    <w:rsid w:val="00244955"/>
    <w:rsid w:val="00244DC8"/>
    <w:rsid w:val="00245ADC"/>
    <w:rsid w:val="0024621D"/>
    <w:rsid w:val="00246826"/>
    <w:rsid w:val="00246C7F"/>
    <w:rsid w:val="00246FDF"/>
    <w:rsid w:val="00247DBB"/>
    <w:rsid w:val="00250413"/>
    <w:rsid w:val="0025206B"/>
    <w:rsid w:val="002522E8"/>
    <w:rsid w:val="0025333F"/>
    <w:rsid w:val="00253F05"/>
    <w:rsid w:val="00254D9D"/>
    <w:rsid w:val="0025640E"/>
    <w:rsid w:val="002567D7"/>
    <w:rsid w:val="00256A6E"/>
    <w:rsid w:val="002572D6"/>
    <w:rsid w:val="00260B33"/>
    <w:rsid w:val="00260B38"/>
    <w:rsid w:val="00260B76"/>
    <w:rsid w:val="00262D1A"/>
    <w:rsid w:val="0026322D"/>
    <w:rsid w:val="00263B05"/>
    <w:rsid w:val="00265943"/>
    <w:rsid w:val="00265EDB"/>
    <w:rsid w:val="002664B4"/>
    <w:rsid w:val="00266519"/>
    <w:rsid w:val="00266922"/>
    <w:rsid w:val="00266C24"/>
    <w:rsid w:val="00266F46"/>
    <w:rsid w:val="00266FBF"/>
    <w:rsid w:val="0026752A"/>
    <w:rsid w:val="00267E30"/>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80"/>
    <w:rsid w:val="002B56FA"/>
    <w:rsid w:val="002B5B15"/>
    <w:rsid w:val="002B5F98"/>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E6"/>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56F1"/>
    <w:rsid w:val="002E5A3E"/>
    <w:rsid w:val="002E6757"/>
    <w:rsid w:val="002E691F"/>
    <w:rsid w:val="002E6DD5"/>
    <w:rsid w:val="002E7FD9"/>
    <w:rsid w:val="002F13BE"/>
    <w:rsid w:val="002F1E63"/>
    <w:rsid w:val="002F2128"/>
    <w:rsid w:val="002F2418"/>
    <w:rsid w:val="002F24B0"/>
    <w:rsid w:val="002F2BDF"/>
    <w:rsid w:val="002F37E6"/>
    <w:rsid w:val="002F3D7E"/>
    <w:rsid w:val="002F3D9D"/>
    <w:rsid w:val="002F4A07"/>
    <w:rsid w:val="002F52C1"/>
    <w:rsid w:val="002F5BBA"/>
    <w:rsid w:val="002F6648"/>
    <w:rsid w:val="002F7878"/>
    <w:rsid w:val="002F7982"/>
    <w:rsid w:val="002F7DD2"/>
    <w:rsid w:val="002F7EA8"/>
    <w:rsid w:val="003001A1"/>
    <w:rsid w:val="003006FF"/>
    <w:rsid w:val="00303099"/>
    <w:rsid w:val="0030339F"/>
    <w:rsid w:val="00304786"/>
    <w:rsid w:val="00304B7B"/>
    <w:rsid w:val="00304F8F"/>
    <w:rsid w:val="0030501D"/>
    <w:rsid w:val="0030703E"/>
    <w:rsid w:val="003075C3"/>
    <w:rsid w:val="00307E3E"/>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279F0"/>
    <w:rsid w:val="003304C2"/>
    <w:rsid w:val="00331988"/>
    <w:rsid w:val="00331D5E"/>
    <w:rsid w:val="0033360B"/>
    <w:rsid w:val="003348EC"/>
    <w:rsid w:val="0033509D"/>
    <w:rsid w:val="003374F7"/>
    <w:rsid w:val="00337B7C"/>
    <w:rsid w:val="003403CD"/>
    <w:rsid w:val="00340B3A"/>
    <w:rsid w:val="003415CF"/>
    <w:rsid w:val="00341631"/>
    <w:rsid w:val="00342758"/>
    <w:rsid w:val="003437BA"/>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24B"/>
    <w:rsid w:val="00363804"/>
    <w:rsid w:val="00364E95"/>
    <w:rsid w:val="00366CC0"/>
    <w:rsid w:val="00367D64"/>
    <w:rsid w:val="00367F1E"/>
    <w:rsid w:val="0037013C"/>
    <w:rsid w:val="00370C3F"/>
    <w:rsid w:val="00370D7C"/>
    <w:rsid w:val="00371B1B"/>
    <w:rsid w:val="00372486"/>
    <w:rsid w:val="00372750"/>
    <w:rsid w:val="00373157"/>
    <w:rsid w:val="00373620"/>
    <w:rsid w:val="00373A67"/>
    <w:rsid w:val="00374904"/>
    <w:rsid w:val="00374FA1"/>
    <w:rsid w:val="00375170"/>
    <w:rsid w:val="003811D5"/>
    <w:rsid w:val="003821F7"/>
    <w:rsid w:val="00382D6C"/>
    <w:rsid w:val="00383DED"/>
    <w:rsid w:val="00384FEF"/>
    <w:rsid w:val="00385C5D"/>
    <w:rsid w:val="003870E6"/>
    <w:rsid w:val="003871DB"/>
    <w:rsid w:val="00387347"/>
    <w:rsid w:val="003876F2"/>
    <w:rsid w:val="00387728"/>
    <w:rsid w:val="0038797E"/>
    <w:rsid w:val="00390320"/>
    <w:rsid w:val="0039168F"/>
    <w:rsid w:val="00392540"/>
    <w:rsid w:val="00392637"/>
    <w:rsid w:val="00392A4B"/>
    <w:rsid w:val="00392C3A"/>
    <w:rsid w:val="003930CE"/>
    <w:rsid w:val="003930F8"/>
    <w:rsid w:val="003934D8"/>
    <w:rsid w:val="00394A9E"/>
    <w:rsid w:val="0039547B"/>
    <w:rsid w:val="003957DE"/>
    <w:rsid w:val="00397193"/>
    <w:rsid w:val="003973A7"/>
    <w:rsid w:val="003979B9"/>
    <w:rsid w:val="00397A0C"/>
    <w:rsid w:val="003A0667"/>
    <w:rsid w:val="003A0C61"/>
    <w:rsid w:val="003A0D18"/>
    <w:rsid w:val="003A0EFD"/>
    <w:rsid w:val="003A13B9"/>
    <w:rsid w:val="003A15C7"/>
    <w:rsid w:val="003A34E2"/>
    <w:rsid w:val="003A440E"/>
    <w:rsid w:val="003A4DB4"/>
    <w:rsid w:val="003A6243"/>
    <w:rsid w:val="003A63D8"/>
    <w:rsid w:val="003A6672"/>
    <w:rsid w:val="003A728C"/>
    <w:rsid w:val="003B0035"/>
    <w:rsid w:val="003B0175"/>
    <w:rsid w:val="003B0F40"/>
    <w:rsid w:val="003B1008"/>
    <w:rsid w:val="003B2936"/>
    <w:rsid w:val="003B37CC"/>
    <w:rsid w:val="003B4058"/>
    <w:rsid w:val="003B4886"/>
    <w:rsid w:val="003B4D25"/>
    <w:rsid w:val="003B4FE2"/>
    <w:rsid w:val="003B5492"/>
    <w:rsid w:val="003B56C2"/>
    <w:rsid w:val="003B645D"/>
    <w:rsid w:val="003B6586"/>
    <w:rsid w:val="003B7061"/>
    <w:rsid w:val="003B76E9"/>
    <w:rsid w:val="003B7B43"/>
    <w:rsid w:val="003B7FB3"/>
    <w:rsid w:val="003C068F"/>
    <w:rsid w:val="003C1D43"/>
    <w:rsid w:val="003C2006"/>
    <w:rsid w:val="003C21E4"/>
    <w:rsid w:val="003C2A25"/>
    <w:rsid w:val="003C4759"/>
    <w:rsid w:val="003C47E1"/>
    <w:rsid w:val="003C4A25"/>
    <w:rsid w:val="003C4CF9"/>
    <w:rsid w:val="003C4D4F"/>
    <w:rsid w:val="003C5791"/>
    <w:rsid w:val="003C6213"/>
    <w:rsid w:val="003C6778"/>
    <w:rsid w:val="003C7648"/>
    <w:rsid w:val="003C7A22"/>
    <w:rsid w:val="003C7CA9"/>
    <w:rsid w:val="003C7CE7"/>
    <w:rsid w:val="003D09C3"/>
    <w:rsid w:val="003D110D"/>
    <w:rsid w:val="003D1DDD"/>
    <w:rsid w:val="003D20AC"/>
    <w:rsid w:val="003D39F4"/>
    <w:rsid w:val="003D4266"/>
    <w:rsid w:val="003D43F0"/>
    <w:rsid w:val="003D523E"/>
    <w:rsid w:val="003D56E6"/>
    <w:rsid w:val="003D5873"/>
    <w:rsid w:val="003D6124"/>
    <w:rsid w:val="003D6D3C"/>
    <w:rsid w:val="003D6DAF"/>
    <w:rsid w:val="003D7125"/>
    <w:rsid w:val="003D76F3"/>
    <w:rsid w:val="003E1069"/>
    <w:rsid w:val="003E1876"/>
    <w:rsid w:val="003E1E71"/>
    <w:rsid w:val="003E2D94"/>
    <w:rsid w:val="003E32D9"/>
    <w:rsid w:val="003E373C"/>
    <w:rsid w:val="003E40B7"/>
    <w:rsid w:val="003E442D"/>
    <w:rsid w:val="003E4AA0"/>
    <w:rsid w:val="003E4EE4"/>
    <w:rsid w:val="003E5805"/>
    <w:rsid w:val="003E58C3"/>
    <w:rsid w:val="003E5967"/>
    <w:rsid w:val="003E5DB1"/>
    <w:rsid w:val="003E623E"/>
    <w:rsid w:val="003E66CD"/>
    <w:rsid w:val="003E6711"/>
    <w:rsid w:val="003E7395"/>
    <w:rsid w:val="003F087C"/>
    <w:rsid w:val="003F099D"/>
    <w:rsid w:val="003F1C32"/>
    <w:rsid w:val="003F1E98"/>
    <w:rsid w:val="003F30B6"/>
    <w:rsid w:val="003F3DD3"/>
    <w:rsid w:val="003F4128"/>
    <w:rsid w:val="003F4680"/>
    <w:rsid w:val="003F5015"/>
    <w:rsid w:val="003F503E"/>
    <w:rsid w:val="003F51C3"/>
    <w:rsid w:val="003F6C54"/>
    <w:rsid w:val="003F6F9A"/>
    <w:rsid w:val="00400B55"/>
    <w:rsid w:val="00400C58"/>
    <w:rsid w:val="00401585"/>
    <w:rsid w:val="004028C1"/>
    <w:rsid w:val="0040364F"/>
    <w:rsid w:val="00403DFB"/>
    <w:rsid w:val="004042A9"/>
    <w:rsid w:val="00404774"/>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0AB4"/>
    <w:rsid w:val="00421938"/>
    <w:rsid w:val="00421DB6"/>
    <w:rsid w:val="00422403"/>
    <w:rsid w:val="00424A3C"/>
    <w:rsid w:val="00425696"/>
    <w:rsid w:val="0042578D"/>
    <w:rsid w:val="00425817"/>
    <w:rsid w:val="00425B7E"/>
    <w:rsid w:val="00425F03"/>
    <w:rsid w:val="0042607F"/>
    <w:rsid w:val="004263E6"/>
    <w:rsid w:val="004263F3"/>
    <w:rsid w:val="00427FD6"/>
    <w:rsid w:val="0043138F"/>
    <w:rsid w:val="004321B6"/>
    <w:rsid w:val="00432538"/>
    <w:rsid w:val="00432E06"/>
    <w:rsid w:val="004347BB"/>
    <w:rsid w:val="00434E86"/>
    <w:rsid w:val="00435A35"/>
    <w:rsid w:val="00435DAB"/>
    <w:rsid w:val="00436213"/>
    <w:rsid w:val="00436775"/>
    <w:rsid w:val="0043731F"/>
    <w:rsid w:val="004373D3"/>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89"/>
    <w:rsid w:val="00462FA1"/>
    <w:rsid w:val="004646B5"/>
    <w:rsid w:val="004648A3"/>
    <w:rsid w:val="0046620C"/>
    <w:rsid w:val="004670C5"/>
    <w:rsid w:val="00467349"/>
    <w:rsid w:val="004673F5"/>
    <w:rsid w:val="00467446"/>
    <w:rsid w:val="004679F3"/>
    <w:rsid w:val="00470342"/>
    <w:rsid w:val="004709E2"/>
    <w:rsid w:val="0047117A"/>
    <w:rsid w:val="004715DA"/>
    <w:rsid w:val="00472CC4"/>
    <w:rsid w:val="0047403C"/>
    <w:rsid w:val="00474250"/>
    <w:rsid w:val="004743CB"/>
    <w:rsid w:val="004751D2"/>
    <w:rsid w:val="00475BC1"/>
    <w:rsid w:val="004761E9"/>
    <w:rsid w:val="00480201"/>
    <w:rsid w:val="00481116"/>
    <w:rsid w:val="0048138A"/>
    <w:rsid w:val="004821DE"/>
    <w:rsid w:val="00482201"/>
    <w:rsid w:val="00482A5A"/>
    <w:rsid w:val="0048342B"/>
    <w:rsid w:val="0048439C"/>
    <w:rsid w:val="00485BF2"/>
    <w:rsid w:val="00486DB9"/>
    <w:rsid w:val="00487297"/>
    <w:rsid w:val="0048732D"/>
    <w:rsid w:val="00487F40"/>
    <w:rsid w:val="00490FD1"/>
    <w:rsid w:val="004917ED"/>
    <w:rsid w:val="004924C4"/>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B7536"/>
    <w:rsid w:val="004C0260"/>
    <w:rsid w:val="004C10D0"/>
    <w:rsid w:val="004C10E3"/>
    <w:rsid w:val="004C222D"/>
    <w:rsid w:val="004C2284"/>
    <w:rsid w:val="004C4292"/>
    <w:rsid w:val="004C4EF0"/>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481"/>
    <w:rsid w:val="004E361D"/>
    <w:rsid w:val="004E4235"/>
    <w:rsid w:val="004E4AFA"/>
    <w:rsid w:val="004E531B"/>
    <w:rsid w:val="004E53C1"/>
    <w:rsid w:val="004E5420"/>
    <w:rsid w:val="004E5C0E"/>
    <w:rsid w:val="004E5EAB"/>
    <w:rsid w:val="004E62FB"/>
    <w:rsid w:val="004E740D"/>
    <w:rsid w:val="004E7B13"/>
    <w:rsid w:val="004E7B9E"/>
    <w:rsid w:val="004F0496"/>
    <w:rsid w:val="004F04DB"/>
    <w:rsid w:val="004F0EC1"/>
    <w:rsid w:val="004F142A"/>
    <w:rsid w:val="004F145D"/>
    <w:rsid w:val="004F1DCE"/>
    <w:rsid w:val="004F2A8E"/>
    <w:rsid w:val="004F2E7C"/>
    <w:rsid w:val="004F3B77"/>
    <w:rsid w:val="004F41CB"/>
    <w:rsid w:val="004F48BD"/>
    <w:rsid w:val="004F493F"/>
    <w:rsid w:val="004F53BC"/>
    <w:rsid w:val="004F5739"/>
    <w:rsid w:val="004F6F02"/>
    <w:rsid w:val="004F6FC6"/>
    <w:rsid w:val="004F701B"/>
    <w:rsid w:val="004F70C7"/>
    <w:rsid w:val="004F7E25"/>
    <w:rsid w:val="00500084"/>
    <w:rsid w:val="005002EE"/>
    <w:rsid w:val="005029EA"/>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1D4"/>
    <w:rsid w:val="00541D0A"/>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19"/>
    <w:rsid w:val="005901D9"/>
    <w:rsid w:val="005902E4"/>
    <w:rsid w:val="00590EB8"/>
    <w:rsid w:val="0059314D"/>
    <w:rsid w:val="005935FF"/>
    <w:rsid w:val="00593B33"/>
    <w:rsid w:val="005944B4"/>
    <w:rsid w:val="005956DC"/>
    <w:rsid w:val="00595B91"/>
    <w:rsid w:val="00595DDD"/>
    <w:rsid w:val="005A0C03"/>
    <w:rsid w:val="005A0DDB"/>
    <w:rsid w:val="005A2938"/>
    <w:rsid w:val="005A4B6A"/>
    <w:rsid w:val="005A4F14"/>
    <w:rsid w:val="005A50FD"/>
    <w:rsid w:val="005A5318"/>
    <w:rsid w:val="005A5CB8"/>
    <w:rsid w:val="005A650D"/>
    <w:rsid w:val="005A6D27"/>
    <w:rsid w:val="005A6E9C"/>
    <w:rsid w:val="005A7FD4"/>
    <w:rsid w:val="005B055B"/>
    <w:rsid w:val="005B0CE9"/>
    <w:rsid w:val="005B1568"/>
    <w:rsid w:val="005B1735"/>
    <w:rsid w:val="005B1F6F"/>
    <w:rsid w:val="005B231E"/>
    <w:rsid w:val="005B253D"/>
    <w:rsid w:val="005B2873"/>
    <w:rsid w:val="005B2AA9"/>
    <w:rsid w:val="005B3692"/>
    <w:rsid w:val="005B36AB"/>
    <w:rsid w:val="005B43F2"/>
    <w:rsid w:val="005B6877"/>
    <w:rsid w:val="005B6BA0"/>
    <w:rsid w:val="005B713B"/>
    <w:rsid w:val="005B720E"/>
    <w:rsid w:val="005C16EE"/>
    <w:rsid w:val="005C18DA"/>
    <w:rsid w:val="005C399B"/>
    <w:rsid w:val="005C43D3"/>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51E5"/>
    <w:rsid w:val="005D6364"/>
    <w:rsid w:val="005D6513"/>
    <w:rsid w:val="005D6596"/>
    <w:rsid w:val="005D687D"/>
    <w:rsid w:val="005D6BF0"/>
    <w:rsid w:val="005D7841"/>
    <w:rsid w:val="005D79AE"/>
    <w:rsid w:val="005E090E"/>
    <w:rsid w:val="005E0DC9"/>
    <w:rsid w:val="005E1125"/>
    <w:rsid w:val="005E1333"/>
    <w:rsid w:val="005E1492"/>
    <w:rsid w:val="005E3AA2"/>
    <w:rsid w:val="005E3D7E"/>
    <w:rsid w:val="005E5395"/>
    <w:rsid w:val="005E5495"/>
    <w:rsid w:val="005E5A38"/>
    <w:rsid w:val="005E63E0"/>
    <w:rsid w:val="005E6DAC"/>
    <w:rsid w:val="005E7835"/>
    <w:rsid w:val="005F21DE"/>
    <w:rsid w:val="005F23C6"/>
    <w:rsid w:val="005F29FE"/>
    <w:rsid w:val="005F40EE"/>
    <w:rsid w:val="005F445D"/>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0B38"/>
    <w:rsid w:val="00611B52"/>
    <w:rsid w:val="006133FA"/>
    <w:rsid w:val="006135A4"/>
    <w:rsid w:val="006149FB"/>
    <w:rsid w:val="00615E07"/>
    <w:rsid w:val="006160DA"/>
    <w:rsid w:val="006160F3"/>
    <w:rsid w:val="006162FF"/>
    <w:rsid w:val="00616694"/>
    <w:rsid w:val="006170E4"/>
    <w:rsid w:val="006176BC"/>
    <w:rsid w:val="006207D8"/>
    <w:rsid w:val="00622C28"/>
    <w:rsid w:val="00622C5C"/>
    <w:rsid w:val="0062325D"/>
    <w:rsid w:val="0062372E"/>
    <w:rsid w:val="00625310"/>
    <w:rsid w:val="0062624E"/>
    <w:rsid w:val="00626433"/>
    <w:rsid w:val="0062649E"/>
    <w:rsid w:val="006267AF"/>
    <w:rsid w:val="00626818"/>
    <w:rsid w:val="0062683C"/>
    <w:rsid w:val="00626B27"/>
    <w:rsid w:val="00627E50"/>
    <w:rsid w:val="00627EBB"/>
    <w:rsid w:val="00630C38"/>
    <w:rsid w:val="00630C66"/>
    <w:rsid w:val="00631400"/>
    <w:rsid w:val="00631522"/>
    <w:rsid w:val="0063330D"/>
    <w:rsid w:val="00633A97"/>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68F8"/>
    <w:rsid w:val="00647194"/>
    <w:rsid w:val="0064767E"/>
    <w:rsid w:val="00647707"/>
    <w:rsid w:val="00647894"/>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D99"/>
    <w:rsid w:val="00661F39"/>
    <w:rsid w:val="006623B5"/>
    <w:rsid w:val="006625FD"/>
    <w:rsid w:val="0066445B"/>
    <w:rsid w:val="0066481A"/>
    <w:rsid w:val="00664B19"/>
    <w:rsid w:val="00664FAE"/>
    <w:rsid w:val="00665A90"/>
    <w:rsid w:val="006665E8"/>
    <w:rsid w:val="006666EF"/>
    <w:rsid w:val="006679DD"/>
    <w:rsid w:val="00670BA8"/>
    <w:rsid w:val="00670D22"/>
    <w:rsid w:val="0067263F"/>
    <w:rsid w:val="00672711"/>
    <w:rsid w:val="006739F4"/>
    <w:rsid w:val="00674B97"/>
    <w:rsid w:val="006763AC"/>
    <w:rsid w:val="0067678A"/>
    <w:rsid w:val="00676C6F"/>
    <w:rsid w:val="006774E2"/>
    <w:rsid w:val="00677CC2"/>
    <w:rsid w:val="00680012"/>
    <w:rsid w:val="006803C1"/>
    <w:rsid w:val="006804FA"/>
    <w:rsid w:val="0068057B"/>
    <w:rsid w:val="006830C3"/>
    <w:rsid w:val="00683385"/>
    <w:rsid w:val="0068529F"/>
    <w:rsid w:val="0068622E"/>
    <w:rsid w:val="00686B25"/>
    <w:rsid w:val="0068782B"/>
    <w:rsid w:val="00691811"/>
    <w:rsid w:val="006918ED"/>
    <w:rsid w:val="00692550"/>
    <w:rsid w:val="0069271D"/>
    <w:rsid w:val="00692E16"/>
    <w:rsid w:val="00693123"/>
    <w:rsid w:val="00693708"/>
    <w:rsid w:val="00693948"/>
    <w:rsid w:val="00694113"/>
    <w:rsid w:val="00694426"/>
    <w:rsid w:val="006955AF"/>
    <w:rsid w:val="0069596E"/>
    <w:rsid w:val="00695C26"/>
    <w:rsid w:val="0069603A"/>
    <w:rsid w:val="00696262"/>
    <w:rsid w:val="006967AD"/>
    <w:rsid w:val="00696986"/>
    <w:rsid w:val="00696CC6"/>
    <w:rsid w:val="00697C15"/>
    <w:rsid w:val="00697FE1"/>
    <w:rsid w:val="006A1155"/>
    <w:rsid w:val="006A29D6"/>
    <w:rsid w:val="006A2FE0"/>
    <w:rsid w:val="006A3656"/>
    <w:rsid w:val="006A37DE"/>
    <w:rsid w:val="006A37F0"/>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F02A5"/>
    <w:rsid w:val="006F1219"/>
    <w:rsid w:val="006F125E"/>
    <w:rsid w:val="006F12F4"/>
    <w:rsid w:val="006F1749"/>
    <w:rsid w:val="006F1B61"/>
    <w:rsid w:val="006F235D"/>
    <w:rsid w:val="006F271D"/>
    <w:rsid w:val="006F447F"/>
    <w:rsid w:val="006F4720"/>
    <w:rsid w:val="006F4DB1"/>
    <w:rsid w:val="006F4EED"/>
    <w:rsid w:val="006F50B4"/>
    <w:rsid w:val="006F634C"/>
    <w:rsid w:val="007003F6"/>
    <w:rsid w:val="00700512"/>
    <w:rsid w:val="00701E7A"/>
    <w:rsid w:val="00702FD5"/>
    <w:rsid w:val="00704799"/>
    <w:rsid w:val="00704C1E"/>
    <w:rsid w:val="00705675"/>
    <w:rsid w:val="00710C7A"/>
    <w:rsid w:val="00711694"/>
    <w:rsid w:val="007116F8"/>
    <w:rsid w:val="0071184F"/>
    <w:rsid w:val="007118D5"/>
    <w:rsid w:val="00711B94"/>
    <w:rsid w:val="007120A6"/>
    <w:rsid w:val="00712D94"/>
    <w:rsid w:val="00713EF7"/>
    <w:rsid w:val="0072025D"/>
    <w:rsid w:val="00720677"/>
    <w:rsid w:val="0072201D"/>
    <w:rsid w:val="00722B8B"/>
    <w:rsid w:val="00724BB4"/>
    <w:rsid w:val="0072516E"/>
    <w:rsid w:val="0072613A"/>
    <w:rsid w:val="00726324"/>
    <w:rsid w:val="007273AC"/>
    <w:rsid w:val="0072768A"/>
    <w:rsid w:val="007304B1"/>
    <w:rsid w:val="007309D3"/>
    <w:rsid w:val="00731F4B"/>
    <w:rsid w:val="0073271A"/>
    <w:rsid w:val="007327A9"/>
    <w:rsid w:val="00732980"/>
    <w:rsid w:val="00733546"/>
    <w:rsid w:val="00733B80"/>
    <w:rsid w:val="00733E7B"/>
    <w:rsid w:val="00736FD4"/>
    <w:rsid w:val="0073741B"/>
    <w:rsid w:val="007376EF"/>
    <w:rsid w:val="00740768"/>
    <w:rsid w:val="00740838"/>
    <w:rsid w:val="007414A8"/>
    <w:rsid w:val="00741A51"/>
    <w:rsid w:val="0074283F"/>
    <w:rsid w:val="0074294B"/>
    <w:rsid w:val="0074469D"/>
    <w:rsid w:val="00745D09"/>
    <w:rsid w:val="0074629B"/>
    <w:rsid w:val="0074629D"/>
    <w:rsid w:val="007506F2"/>
    <w:rsid w:val="00750C89"/>
    <w:rsid w:val="00751027"/>
    <w:rsid w:val="00751256"/>
    <w:rsid w:val="007512B0"/>
    <w:rsid w:val="00751539"/>
    <w:rsid w:val="0075207D"/>
    <w:rsid w:val="00752237"/>
    <w:rsid w:val="00752711"/>
    <w:rsid w:val="0075305D"/>
    <w:rsid w:val="007542F9"/>
    <w:rsid w:val="007546D6"/>
    <w:rsid w:val="00754988"/>
    <w:rsid w:val="00756ABA"/>
    <w:rsid w:val="00756DD1"/>
    <w:rsid w:val="00760C8C"/>
    <w:rsid w:val="00762AF6"/>
    <w:rsid w:val="007633F9"/>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B8C"/>
    <w:rsid w:val="00777E98"/>
    <w:rsid w:val="00784B77"/>
    <w:rsid w:val="00784FB5"/>
    <w:rsid w:val="007858BD"/>
    <w:rsid w:val="0078592F"/>
    <w:rsid w:val="00785E42"/>
    <w:rsid w:val="0078631C"/>
    <w:rsid w:val="0078637A"/>
    <w:rsid w:val="00786EA9"/>
    <w:rsid w:val="00790524"/>
    <w:rsid w:val="0079157A"/>
    <w:rsid w:val="00792C3A"/>
    <w:rsid w:val="00792CF1"/>
    <w:rsid w:val="00793315"/>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A7AAF"/>
    <w:rsid w:val="007B1238"/>
    <w:rsid w:val="007B1367"/>
    <w:rsid w:val="007B1C22"/>
    <w:rsid w:val="007B1C52"/>
    <w:rsid w:val="007B25C5"/>
    <w:rsid w:val="007B2AF5"/>
    <w:rsid w:val="007B35B6"/>
    <w:rsid w:val="007B380C"/>
    <w:rsid w:val="007B44DE"/>
    <w:rsid w:val="007B472E"/>
    <w:rsid w:val="007B5423"/>
    <w:rsid w:val="007B6DAA"/>
    <w:rsid w:val="007C1837"/>
    <w:rsid w:val="007C1CE5"/>
    <w:rsid w:val="007C2291"/>
    <w:rsid w:val="007C32CC"/>
    <w:rsid w:val="007C48DD"/>
    <w:rsid w:val="007C48DE"/>
    <w:rsid w:val="007C50F1"/>
    <w:rsid w:val="007C6068"/>
    <w:rsid w:val="007C608F"/>
    <w:rsid w:val="007C611C"/>
    <w:rsid w:val="007C6188"/>
    <w:rsid w:val="007C6945"/>
    <w:rsid w:val="007C6BFF"/>
    <w:rsid w:val="007C7BF0"/>
    <w:rsid w:val="007D0367"/>
    <w:rsid w:val="007D0675"/>
    <w:rsid w:val="007D0EF4"/>
    <w:rsid w:val="007D17CA"/>
    <w:rsid w:val="007D1A96"/>
    <w:rsid w:val="007D2FB1"/>
    <w:rsid w:val="007D3255"/>
    <w:rsid w:val="007D34B8"/>
    <w:rsid w:val="007D3A36"/>
    <w:rsid w:val="007D48D8"/>
    <w:rsid w:val="007D4A23"/>
    <w:rsid w:val="007D4BE1"/>
    <w:rsid w:val="007D4E06"/>
    <w:rsid w:val="007D5CF4"/>
    <w:rsid w:val="007D6D8D"/>
    <w:rsid w:val="007D70C1"/>
    <w:rsid w:val="007D739A"/>
    <w:rsid w:val="007E10DC"/>
    <w:rsid w:val="007E2B7C"/>
    <w:rsid w:val="007E2F06"/>
    <w:rsid w:val="007E30A0"/>
    <w:rsid w:val="007E564E"/>
    <w:rsid w:val="007E57F0"/>
    <w:rsid w:val="007E58B5"/>
    <w:rsid w:val="007E654D"/>
    <w:rsid w:val="007F297E"/>
    <w:rsid w:val="007F3747"/>
    <w:rsid w:val="007F49CA"/>
    <w:rsid w:val="007F4D49"/>
    <w:rsid w:val="007F6017"/>
    <w:rsid w:val="007F6970"/>
    <w:rsid w:val="007F6E7B"/>
    <w:rsid w:val="007F7AB5"/>
    <w:rsid w:val="007F7E72"/>
    <w:rsid w:val="00803A61"/>
    <w:rsid w:val="00803C70"/>
    <w:rsid w:val="00803FDB"/>
    <w:rsid w:val="008058EE"/>
    <w:rsid w:val="00805A97"/>
    <w:rsid w:val="0080641E"/>
    <w:rsid w:val="008064A4"/>
    <w:rsid w:val="0080711E"/>
    <w:rsid w:val="008072E8"/>
    <w:rsid w:val="008109D3"/>
    <w:rsid w:val="00811A64"/>
    <w:rsid w:val="00811EBA"/>
    <w:rsid w:val="00811EEE"/>
    <w:rsid w:val="00812E14"/>
    <w:rsid w:val="0081338E"/>
    <w:rsid w:val="00813B19"/>
    <w:rsid w:val="008147B6"/>
    <w:rsid w:val="00814A87"/>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6E47"/>
    <w:rsid w:val="00827A99"/>
    <w:rsid w:val="00827BBB"/>
    <w:rsid w:val="008300B3"/>
    <w:rsid w:val="00831417"/>
    <w:rsid w:val="00831832"/>
    <w:rsid w:val="00832BA3"/>
    <w:rsid w:val="00832CAA"/>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4D61"/>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4F5"/>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834"/>
    <w:rsid w:val="008819E2"/>
    <w:rsid w:val="00882816"/>
    <w:rsid w:val="00883209"/>
    <w:rsid w:val="00883D22"/>
    <w:rsid w:val="0088663D"/>
    <w:rsid w:val="00886908"/>
    <w:rsid w:val="00886AE6"/>
    <w:rsid w:val="00890E77"/>
    <w:rsid w:val="00891934"/>
    <w:rsid w:val="008923BB"/>
    <w:rsid w:val="008925E3"/>
    <w:rsid w:val="00892973"/>
    <w:rsid w:val="00893214"/>
    <w:rsid w:val="008934A1"/>
    <w:rsid w:val="008954C1"/>
    <w:rsid w:val="00895B6C"/>
    <w:rsid w:val="00895EA8"/>
    <w:rsid w:val="00896D6C"/>
    <w:rsid w:val="00897B2F"/>
    <w:rsid w:val="00897D45"/>
    <w:rsid w:val="008A08AE"/>
    <w:rsid w:val="008A21C3"/>
    <w:rsid w:val="008A4A36"/>
    <w:rsid w:val="008A5051"/>
    <w:rsid w:val="008A52AD"/>
    <w:rsid w:val="008A6507"/>
    <w:rsid w:val="008A72B7"/>
    <w:rsid w:val="008A7760"/>
    <w:rsid w:val="008A78B1"/>
    <w:rsid w:val="008A7931"/>
    <w:rsid w:val="008A7EB6"/>
    <w:rsid w:val="008B0080"/>
    <w:rsid w:val="008B0A81"/>
    <w:rsid w:val="008B0E53"/>
    <w:rsid w:val="008B2723"/>
    <w:rsid w:val="008B3B4B"/>
    <w:rsid w:val="008B3CDB"/>
    <w:rsid w:val="008B482A"/>
    <w:rsid w:val="008B54D1"/>
    <w:rsid w:val="008B623B"/>
    <w:rsid w:val="008B6EA5"/>
    <w:rsid w:val="008B7D5A"/>
    <w:rsid w:val="008C046C"/>
    <w:rsid w:val="008C06C0"/>
    <w:rsid w:val="008C270C"/>
    <w:rsid w:val="008C2786"/>
    <w:rsid w:val="008C3478"/>
    <w:rsid w:val="008C3987"/>
    <w:rsid w:val="008C408F"/>
    <w:rsid w:val="008C410F"/>
    <w:rsid w:val="008C4C80"/>
    <w:rsid w:val="008C6231"/>
    <w:rsid w:val="008C744E"/>
    <w:rsid w:val="008D0B35"/>
    <w:rsid w:val="008D0B97"/>
    <w:rsid w:val="008D13A5"/>
    <w:rsid w:val="008D15F4"/>
    <w:rsid w:val="008D1EFA"/>
    <w:rsid w:val="008D3D80"/>
    <w:rsid w:val="008D4E89"/>
    <w:rsid w:val="008D59F4"/>
    <w:rsid w:val="008D7BC5"/>
    <w:rsid w:val="008D7BC6"/>
    <w:rsid w:val="008D7D75"/>
    <w:rsid w:val="008E0AD8"/>
    <w:rsid w:val="008E1042"/>
    <w:rsid w:val="008E198E"/>
    <w:rsid w:val="008E20BA"/>
    <w:rsid w:val="008E253C"/>
    <w:rsid w:val="008E2674"/>
    <w:rsid w:val="008E3237"/>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0A95"/>
    <w:rsid w:val="00910AFA"/>
    <w:rsid w:val="009111CD"/>
    <w:rsid w:val="00911EDD"/>
    <w:rsid w:val="00912316"/>
    <w:rsid w:val="00912FB8"/>
    <w:rsid w:val="00912FC1"/>
    <w:rsid w:val="009136AE"/>
    <w:rsid w:val="00913FBC"/>
    <w:rsid w:val="009140F4"/>
    <w:rsid w:val="00914E0B"/>
    <w:rsid w:val="00916612"/>
    <w:rsid w:val="0091698B"/>
    <w:rsid w:val="009177CC"/>
    <w:rsid w:val="00920481"/>
    <w:rsid w:val="00920A59"/>
    <w:rsid w:val="00921376"/>
    <w:rsid w:val="00923461"/>
    <w:rsid w:val="00923725"/>
    <w:rsid w:val="009238FF"/>
    <w:rsid w:val="00924BD8"/>
    <w:rsid w:val="00924E3C"/>
    <w:rsid w:val="009250CF"/>
    <w:rsid w:val="0092553D"/>
    <w:rsid w:val="009263FC"/>
    <w:rsid w:val="00926720"/>
    <w:rsid w:val="009271E9"/>
    <w:rsid w:val="00927236"/>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54EF"/>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0EAC"/>
    <w:rsid w:val="0097149A"/>
    <w:rsid w:val="00971C12"/>
    <w:rsid w:val="00971D1A"/>
    <w:rsid w:val="009727DC"/>
    <w:rsid w:val="009733D2"/>
    <w:rsid w:val="009737C6"/>
    <w:rsid w:val="00974294"/>
    <w:rsid w:val="009745BF"/>
    <w:rsid w:val="009754BD"/>
    <w:rsid w:val="009760B5"/>
    <w:rsid w:val="00976334"/>
    <w:rsid w:val="00976BE8"/>
    <w:rsid w:val="00976C12"/>
    <w:rsid w:val="00977AC2"/>
    <w:rsid w:val="0098049F"/>
    <w:rsid w:val="0098077D"/>
    <w:rsid w:val="00980800"/>
    <w:rsid w:val="00980DBF"/>
    <w:rsid w:val="00981B22"/>
    <w:rsid w:val="00982C2D"/>
    <w:rsid w:val="00983699"/>
    <w:rsid w:val="00984163"/>
    <w:rsid w:val="009844DA"/>
    <w:rsid w:val="009852C9"/>
    <w:rsid w:val="0098536C"/>
    <w:rsid w:val="00986992"/>
    <w:rsid w:val="009870FC"/>
    <w:rsid w:val="0098724A"/>
    <w:rsid w:val="0099153B"/>
    <w:rsid w:val="00993FFF"/>
    <w:rsid w:val="0099554D"/>
    <w:rsid w:val="00997908"/>
    <w:rsid w:val="009A06C5"/>
    <w:rsid w:val="009A132A"/>
    <w:rsid w:val="009A1358"/>
    <w:rsid w:val="009A2A97"/>
    <w:rsid w:val="009A3F33"/>
    <w:rsid w:val="009A458E"/>
    <w:rsid w:val="009A47CA"/>
    <w:rsid w:val="009A4912"/>
    <w:rsid w:val="009A4955"/>
    <w:rsid w:val="009A4CF4"/>
    <w:rsid w:val="009A4D7A"/>
    <w:rsid w:val="009A4F7A"/>
    <w:rsid w:val="009A5206"/>
    <w:rsid w:val="009A66FE"/>
    <w:rsid w:val="009A6ED5"/>
    <w:rsid w:val="009B0750"/>
    <w:rsid w:val="009B0CA9"/>
    <w:rsid w:val="009B126B"/>
    <w:rsid w:val="009B18EB"/>
    <w:rsid w:val="009B2628"/>
    <w:rsid w:val="009B3389"/>
    <w:rsid w:val="009B343F"/>
    <w:rsid w:val="009B4B93"/>
    <w:rsid w:val="009B4E13"/>
    <w:rsid w:val="009B5ACD"/>
    <w:rsid w:val="009B5EAB"/>
    <w:rsid w:val="009B6F3E"/>
    <w:rsid w:val="009B7E4A"/>
    <w:rsid w:val="009C01E9"/>
    <w:rsid w:val="009C158D"/>
    <w:rsid w:val="009C413A"/>
    <w:rsid w:val="009C443D"/>
    <w:rsid w:val="009C4AA5"/>
    <w:rsid w:val="009C6796"/>
    <w:rsid w:val="009C6ED7"/>
    <w:rsid w:val="009D0241"/>
    <w:rsid w:val="009D0506"/>
    <w:rsid w:val="009D19A8"/>
    <w:rsid w:val="009D33AE"/>
    <w:rsid w:val="009D34E3"/>
    <w:rsid w:val="009D3A70"/>
    <w:rsid w:val="009D3AC0"/>
    <w:rsid w:val="009D43FE"/>
    <w:rsid w:val="009D4F71"/>
    <w:rsid w:val="009D5B9D"/>
    <w:rsid w:val="009D670B"/>
    <w:rsid w:val="009D6B78"/>
    <w:rsid w:val="009D6C73"/>
    <w:rsid w:val="009D72E3"/>
    <w:rsid w:val="009D7C24"/>
    <w:rsid w:val="009D7C2C"/>
    <w:rsid w:val="009E0E0B"/>
    <w:rsid w:val="009E23C6"/>
    <w:rsid w:val="009E255D"/>
    <w:rsid w:val="009E2DF8"/>
    <w:rsid w:val="009E309C"/>
    <w:rsid w:val="009E32C9"/>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6CF6"/>
    <w:rsid w:val="009F70B5"/>
    <w:rsid w:val="009F7147"/>
    <w:rsid w:val="009F7DB8"/>
    <w:rsid w:val="009F7E03"/>
    <w:rsid w:val="00A000FE"/>
    <w:rsid w:val="00A008CC"/>
    <w:rsid w:val="00A013D5"/>
    <w:rsid w:val="00A01D18"/>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476C"/>
    <w:rsid w:val="00A14FDC"/>
    <w:rsid w:val="00A153FA"/>
    <w:rsid w:val="00A15840"/>
    <w:rsid w:val="00A17882"/>
    <w:rsid w:val="00A20C34"/>
    <w:rsid w:val="00A22835"/>
    <w:rsid w:val="00A23EF3"/>
    <w:rsid w:val="00A24555"/>
    <w:rsid w:val="00A26357"/>
    <w:rsid w:val="00A265AB"/>
    <w:rsid w:val="00A2725A"/>
    <w:rsid w:val="00A27755"/>
    <w:rsid w:val="00A303F3"/>
    <w:rsid w:val="00A30408"/>
    <w:rsid w:val="00A30A8A"/>
    <w:rsid w:val="00A314CF"/>
    <w:rsid w:val="00A31772"/>
    <w:rsid w:val="00A31F69"/>
    <w:rsid w:val="00A31FC9"/>
    <w:rsid w:val="00A31FE1"/>
    <w:rsid w:val="00A3265F"/>
    <w:rsid w:val="00A33461"/>
    <w:rsid w:val="00A33472"/>
    <w:rsid w:val="00A33653"/>
    <w:rsid w:val="00A33706"/>
    <w:rsid w:val="00A3711F"/>
    <w:rsid w:val="00A373DF"/>
    <w:rsid w:val="00A37D8B"/>
    <w:rsid w:val="00A403F7"/>
    <w:rsid w:val="00A40662"/>
    <w:rsid w:val="00A40751"/>
    <w:rsid w:val="00A41032"/>
    <w:rsid w:val="00A41576"/>
    <w:rsid w:val="00A42F7A"/>
    <w:rsid w:val="00A43214"/>
    <w:rsid w:val="00A43A98"/>
    <w:rsid w:val="00A44C2F"/>
    <w:rsid w:val="00A46097"/>
    <w:rsid w:val="00A46134"/>
    <w:rsid w:val="00A462F9"/>
    <w:rsid w:val="00A468F0"/>
    <w:rsid w:val="00A46D7A"/>
    <w:rsid w:val="00A4783D"/>
    <w:rsid w:val="00A5030B"/>
    <w:rsid w:val="00A5042F"/>
    <w:rsid w:val="00A504EF"/>
    <w:rsid w:val="00A515B1"/>
    <w:rsid w:val="00A52A4D"/>
    <w:rsid w:val="00A53147"/>
    <w:rsid w:val="00A551DD"/>
    <w:rsid w:val="00A5689C"/>
    <w:rsid w:val="00A57554"/>
    <w:rsid w:val="00A57BEE"/>
    <w:rsid w:val="00A601C7"/>
    <w:rsid w:val="00A60632"/>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1AC"/>
    <w:rsid w:val="00A7397E"/>
    <w:rsid w:val="00A7433C"/>
    <w:rsid w:val="00A74726"/>
    <w:rsid w:val="00A752D5"/>
    <w:rsid w:val="00A7640B"/>
    <w:rsid w:val="00A80AB6"/>
    <w:rsid w:val="00A80C01"/>
    <w:rsid w:val="00A80D5D"/>
    <w:rsid w:val="00A81EB7"/>
    <w:rsid w:val="00A82429"/>
    <w:rsid w:val="00A833A4"/>
    <w:rsid w:val="00A86192"/>
    <w:rsid w:val="00A8694C"/>
    <w:rsid w:val="00A86C5C"/>
    <w:rsid w:val="00A87DB7"/>
    <w:rsid w:val="00A9015E"/>
    <w:rsid w:val="00A916D0"/>
    <w:rsid w:val="00A91888"/>
    <w:rsid w:val="00A924AF"/>
    <w:rsid w:val="00A92FBA"/>
    <w:rsid w:val="00A931AC"/>
    <w:rsid w:val="00A93546"/>
    <w:rsid w:val="00A95A18"/>
    <w:rsid w:val="00A95C2B"/>
    <w:rsid w:val="00A95E8C"/>
    <w:rsid w:val="00A96634"/>
    <w:rsid w:val="00A96696"/>
    <w:rsid w:val="00AA011D"/>
    <w:rsid w:val="00AA0161"/>
    <w:rsid w:val="00AA12E8"/>
    <w:rsid w:val="00AA1849"/>
    <w:rsid w:val="00AA3C4F"/>
    <w:rsid w:val="00AA5147"/>
    <w:rsid w:val="00AA51BE"/>
    <w:rsid w:val="00AA5274"/>
    <w:rsid w:val="00AA5FEF"/>
    <w:rsid w:val="00AA61AE"/>
    <w:rsid w:val="00AA6CEB"/>
    <w:rsid w:val="00AA6F72"/>
    <w:rsid w:val="00AB0975"/>
    <w:rsid w:val="00AB121D"/>
    <w:rsid w:val="00AB27E4"/>
    <w:rsid w:val="00AB2B22"/>
    <w:rsid w:val="00AB3152"/>
    <w:rsid w:val="00AB36C1"/>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6EC2"/>
    <w:rsid w:val="00AC7273"/>
    <w:rsid w:val="00AC76DD"/>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E7BB8"/>
    <w:rsid w:val="00AF0074"/>
    <w:rsid w:val="00AF09C3"/>
    <w:rsid w:val="00AF132A"/>
    <w:rsid w:val="00AF16AA"/>
    <w:rsid w:val="00AF268B"/>
    <w:rsid w:val="00AF2D6A"/>
    <w:rsid w:val="00AF2F90"/>
    <w:rsid w:val="00AF469F"/>
    <w:rsid w:val="00AF4B0B"/>
    <w:rsid w:val="00AF580F"/>
    <w:rsid w:val="00AF6FFE"/>
    <w:rsid w:val="00AF7530"/>
    <w:rsid w:val="00AF79DA"/>
    <w:rsid w:val="00AF7C8F"/>
    <w:rsid w:val="00B0057B"/>
    <w:rsid w:val="00B01A68"/>
    <w:rsid w:val="00B03909"/>
    <w:rsid w:val="00B04A8B"/>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3908"/>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379CD"/>
    <w:rsid w:val="00B404E0"/>
    <w:rsid w:val="00B40608"/>
    <w:rsid w:val="00B40798"/>
    <w:rsid w:val="00B41739"/>
    <w:rsid w:val="00B41784"/>
    <w:rsid w:val="00B41FFE"/>
    <w:rsid w:val="00B42F02"/>
    <w:rsid w:val="00B4351E"/>
    <w:rsid w:val="00B43666"/>
    <w:rsid w:val="00B43889"/>
    <w:rsid w:val="00B43BE4"/>
    <w:rsid w:val="00B444A2"/>
    <w:rsid w:val="00B4477A"/>
    <w:rsid w:val="00B45885"/>
    <w:rsid w:val="00B45D08"/>
    <w:rsid w:val="00B461BF"/>
    <w:rsid w:val="00B4659F"/>
    <w:rsid w:val="00B46E46"/>
    <w:rsid w:val="00B47294"/>
    <w:rsid w:val="00B50402"/>
    <w:rsid w:val="00B504BF"/>
    <w:rsid w:val="00B51A94"/>
    <w:rsid w:val="00B51AE7"/>
    <w:rsid w:val="00B526F9"/>
    <w:rsid w:val="00B52E2F"/>
    <w:rsid w:val="00B52E7C"/>
    <w:rsid w:val="00B53047"/>
    <w:rsid w:val="00B54822"/>
    <w:rsid w:val="00B55C79"/>
    <w:rsid w:val="00B5624D"/>
    <w:rsid w:val="00B56B05"/>
    <w:rsid w:val="00B56DC0"/>
    <w:rsid w:val="00B5740E"/>
    <w:rsid w:val="00B57631"/>
    <w:rsid w:val="00B57701"/>
    <w:rsid w:val="00B57EB5"/>
    <w:rsid w:val="00B621DB"/>
    <w:rsid w:val="00B628BE"/>
    <w:rsid w:val="00B62C7B"/>
    <w:rsid w:val="00B63893"/>
    <w:rsid w:val="00B63F9F"/>
    <w:rsid w:val="00B64232"/>
    <w:rsid w:val="00B642B5"/>
    <w:rsid w:val="00B64C32"/>
    <w:rsid w:val="00B65268"/>
    <w:rsid w:val="00B652EA"/>
    <w:rsid w:val="00B65DDA"/>
    <w:rsid w:val="00B66984"/>
    <w:rsid w:val="00B70F96"/>
    <w:rsid w:val="00B716BC"/>
    <w:rsid w:val="00B72D78"/>
    <w:rsid w:val="00B73A74"/>
    <w:rsid w:val="00B743C6"/>
    <w:rsid w:val="00B74FC3"/>
    <w:rsid w:val="00B75FF6"/>
    <w:rsid w:val="00B760C3"/>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97D08"/>
    <w:rsid w:val="00BA0BA3"/>
    <w:rsid w:val="00BA13E6"/>
    <w:rsid w:val="00BA3353"/>
    <w:rsid w:val="00BA4E88"/>
    <w:rsid w:val="00BA5419"/>
    <w:rsid w:val="00BA58EC"/>
    <w:rsid w:val="00BA5ED0"/>
    <w:rsid w:val="00BA687B"/>
    <w:rsid w:val="00BA6B8F"/>
    <w:rsid w:val="00BA75E8"/>
    <w:rsid w:val="00BB014C"/>
    <w:rsid w:val="00BB045B"/>
    <w:rsid w:val="00BB0FD2"/>
    <w:rsid w:val="00BB1577"/>
    <w:rsid w:val="00BB2F54"/>
    <w:rsid w:val="00BB3164"/>
    <w:rsid w:val="00BB321D"/>
    <w:rsid w:val="00BB39B5"/>
    <w:rsid w:val="00BB587E"/>
    <w:rsid w:val="00BB736C"/>
    <w:rsid w:val="00BB7BAD"/>
    <w:rsid w:val="00BB7CE6"/>
    <w:rsid w:val="00BC0B44"/>
    <w:rsid w:val="00BC0E59"/>
    <w:rsid w:val="00BC283E"/>
    <w:rsid w:val="00BC3646"/>
    <w:rsid w:val="00BC372B"/>
    <w:rsid w:val="00BC396B"/>
    <w:rsid w:val="00BC3B90"/>
    <w:rsid w:val="00BC4AD1"/>
    <w:rsid w:val="00BC4D07"/>
    <w:rsid w:val="00BD0318"/>
    <w:rsid w:val="00BD0708"/>
    <w:rsid w:val="00BD0DC1"/>
    <w:rsid w:val="00BD11F7"/>
    <w:rsid w:val="00BD441E"/>
    <w:rsid w:val="00BD4827"/>
    <w:rsid w:val="00BD4E5D"/>
    <w:rsid w:val="00BD4FA9"/>
    <w:rsid w:val="00BD7E59"/>
    <w:rsid w:val="00BE2012"/>
    <w:rsid w:val="00BE4271"/>
    <w:rsid w:val="00BE4473"/>
    <w:rsid w:val="00BE494A"/>
    <w:rsid w:val="00BE6B38"/>
    <w:rsid w:val="00BE7BB8"/>
    <w:rsid w:val="00BF10BB"/>
    <w:rsid w:val="00BF1453"/>
    <w:rsid w:val="00BF2011"/>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078B8"/>
    <w:rsid w:val="00C102F4"/>
    <w:rsid w:val="00C10530"/>
    <w:rsid w:val="00C10F00"/>
    <w:rsid w:val="00C112B1"/>
    <w:rsid w:val="00C11556"/>
    <w:rsid w:val="00C11DE0"/>
    <w:rsid w:val="00C12179"/>
    <w:rsid w:val="00C13423"/>
    <w:rsid w:val="00C14D7B"/>
    <w:rsid w:val="00C14DA7"/>
    <w:rsid w:val="00C1776A"/>
    <w:rsid w:val="00C177FA"/>
    <w:rsid w:val="00C17996"/>
    <w:rsid w:val="00C17A4B"/>
    <w:rsid w:val="00C209C2"/>
    <w:rsid w:val="00C20C9E"/>
    <w:rsid w:val="00C21138"/>
    <w:rsid w:val="00C214B0"/>
    <w:rsid w:val="00C2159B"/>
    <w:rsid w:val="00C21E0C"/>
    <w:rsid w:val="00C22268"/>
    <w:rsid w:val="00C22333"/>
    <w:rsid w:val="00C22EA7"/>
    <w:rsid w:val="00C23533"/>
    <w:rsid w:val="00C23A84"/>
    <w:rsid w:val="00C257C9"/>
    <w:rsid w:val="00C2614C"/>
    <w:rsid w:val="00C26551"/>
    <w:rsid w:val="00C277D8"/>
    <w:rsid w:val="00C303BD"/>
    <w:rsid w:val="00C3085A"/>
    <w:rsid w:val="00C33A5F"/>
    <w:rsid w:val="00C33A9E"/>
    <w:rsid w:val="00C34093"/>
    <w:rsid w:val="00C3419C"/>
    <w:rsid w:val="00C348DD"/>
    <w:rsid w:val="00C359E1"/>
    <w:rsid w:val="00C36099"/>
    <w:rsid w:val="00C36BB6"/>
    <w:rsid w:val="00C37371"/>
    <w:rsid w:val="00C37A12"/>
    <w:rsid w:val="00C45445"/>
    <w:rsid w:val="00C45BDB"/>
    <w:rsid w:val="00C46340"/>
    <w:rsid w:val="00C46BB7"/>
    <w:rsid w:val="00C47ECB"/>
    <w:rsid w:val="00C50D03"/>
    <w:rsid w:val="00C51054"/>
    <w:rsid w:val="00C51300"/>
    <w:rsid w:val="00C5371C"/>
    <w:rsid w:val="00C54E94"/>
    <w:rsid w:val="00C54F83"/>
    <w:rsid w:val="00C54FB9"/>
    <w:rsid w:val="00C55154"/>
    <w:rsid w:val="00C55822"/>
    <w:rsid w:val="00C561BD"/>
    <w:rsid w:val="00C5626B"/>
    <w:rsid w:val="00C56583"/>
    <w:rsid w:val="00C56CF4"/>
    <w:rsid w:val="00C57B04"/>
    <w:rsid w:val="00C57DB1"/>
    <w:rsid w:val="00C61589"/>
    <w:rsid w:val="00C63325"/>
    <w:rsid w:val="00C63557"/>
    <w:rsid w:val="00C637DB"/>
    <w:rsid w:val="00C6513F"/>
    <w:rsid w:val="00C66B81"/>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2AFD"/>
    <w:rsid w:val="00C83062"/>
    <w:rsid w:val="00C8396E"/>
    <w:rsid w:val="00C84AF1"/>
    <w:rsid w:val="00C85CAD"/>
    <w:rsid w:val="00C85D70"/>
    <w:rsid w:val="00C85EA1"/>
    <w:rsid w:val="00C8612D"/>
    <w:rsid w:val="00C878BA"/>
    <w:rsid w:val="00C907A2"/>
    <w:rsid w:val="00C92149"/>
    <w:rsid w:val="00C931F1"/>
    <w:rsid w:val="00C93FA1"/>
    <w:rsid w:val="00C94684"/>
    <w:rsid w:val="00C94BEF"/>
    <w:rsid w:val="00C95652"/>
    <w:rsid w:val="00C95DF0"/>
    <w:rsid w:val="00C960C7"/>
    <w:rsid w:val="00C9701E"/>
    <w:rsid w:val="00C97371"/>
    <w:rsid w:val="00C97BC6"/>
    <w:rsid w:val="00C97C23"/>
    <w:rsid w:val="00C97C30"/>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639"/>
    <w:rsid w:val="00CC792F"/>
    <w:rsid w:val="00CC7CFF"/>
    <w:rsid w:val="00CD07A7"/>
    <w:rsid w:val="00CD0DF8"/>
    <w:rsid w:val="00CD1B8F"/>
    <w:rsid w:val="00CD2778"/>
    <w:rsid w:val="00CD3032"/>
    <w:rsid w:val="00CD3FB7"/>
    <w:rsid w:val="00CD4EDD"/>
    <w:rsid w:val="00CD6531"/>
    <w:rsid w:val="00CE33DE"/>
    <w:rsid w:val="00CE38AC"/>
    <w:rsid w:val="00CE38B2"/>
    <w:rsid w:val="00CE422B"/>
    <w:rsid w:val="00CE450F"/>
    <w:rsid w:val="00CE4D4B"/>
    <w:rsid w:val="00CE5606"/>
    <w:rsid w:val="00CE5F53"/>
    <w:rsid w:val="00CE63E1"/>
    <w:rsid w:val="00CE794A"/>
    <w:rsid w:val="00CE7BCB"/>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3E90"/>
    <w:rsid w:val="00D05590"/>
    <w:rsid w:val="00D05FC7"/>
    <w:rsid w:val="00D0606B"/>
    <w:rsid w:val="00D06AB7"/>
    <w:rsid w:val="00D10435"/>
    <w:rsid w:val="00D10BA2"/>
    <w:rsid w:val="00D10F83"/>
    <w:rsid w:val="00D1103E"/>
    <w:rsid w:val="00D11198"/>
    <w:rsid w:val="00D113B6"/>
    <w:rsid w:val="00D113DB"/>
    <w:rsid w:val="00D11749"/>
    <w:rsid w:val="00D11CC9"/>
    <w:rsid w:val="00D127E1"/>
    <w:rsid w:val="00D137AD"/>
    <w:rsid w:val="00D1421E"/>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5F2C"/>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1F23"/>
    <w:rsid w:val="00D52351"/>
    <w:rsid w:val="00D54753"/>
    <w:rsid w:val="00D5604E"/>
    <w:rsid w:val="00D57E55"/>
    <w:rsid w:val="00D57FDB"/>
    <w:rsid w:val="00D61DAC"/>
    <w:rsid w:val="00D64470"/>
    <w:rsid w:val="00D649D0"/>
    <w:rsid w:val="00D65D3F"/>
    <w:rsid w:val="00D65E07"/>
    <w:rsid w:val="00D65FCB"/>
    <w:rsid w:val="00D66DD0"/>
    <w:rsid w:val="00D677E9"/>
    <w:rsid w:val="00D67E03"/>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D6D"/>
    <w:rsid w:val="00D86E6F"/>
    <w:rsid w:val="00D870F8"/>
    <w:rsid w:val="00D906DC"/>
    <w:rsid w:val="00D93A49"/>
    <w:rsid w:val="00D93B79"/>
    <w:rsid w:val="00D93C57"/>
    <w:rsid w:val="00D9544C"/>
    <w:rsid w:val="00D9674C"/>
    <w:rsid w:val="00DA1328"/>
    <w:rsid w:val="00DA19D5"/>
    <w:rsid w:val="00DA25AE"/>
    <w:rsid w:val="00DA3280"/>
    <w:rsid w:val="00DA3B27"/>
    <w:rsid w:val="00DA485D"/>
    <w:rsid w:val="00DA499E"/>
    <w:rsid w:val="00DA573A"/>
    <w:rsid w:val="00DA59CB"/>
    <w:rsid w:val="00DA6A31"/>
    <w:rsid w:val="00DA6FD6"/>
    <w:rsid w:val="00DB0AA9"/>
    <w:rsid w:val="00DB1680"/>
    <w:rsid w:val="00DB1F13"/>
    <w:rsid w:val="00DB20C7"/>
    <w:rsid w:val="00DB2548"/>
    <w:rsid w:val="00DB32DA"/>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C76F5"/>
    <w:rsid w:val="00DD073B"/>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1BF"/>
    <w:rsid w:val="00DE32FC"/>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4D45"/>
    <w:rsid w:val="00DF61AC"/>
    <w:rsid w:val="00DF6FA6"/>
    <w:rsid w:val="00E011F6"/>
    <w:rsid w:val="00E01A61"/>
    <w:rsid w:val="00E01FBA"/>
    <w:rsid w:val="00E020DF"/>
    <w:rsid w:val="00E024F9"/>
    <w:rsid w:val="00E028F6"/>
    <w:rsid w:val="00E0386D"/>
    <w:rsid w:val="00E038B9"/>
    <w:rsid w:val="00E04168"/>
    <w:rsid w:val="00E045E9"/>
    <w:rsid w:val="00E04FEB"/>
    <w:rsid w:val="00E0717D"/>
    <w:rsid w:val="00E07899"/>
    <w:rsid w:val="00E11257"/>
    <w:rsid w:val="00E113A6"/>
    <w:rsid w:val="00E11D5D"/>
    <w:rsid w:val="00E12B3E"/>
    <w:rsid w:val="00E1348A"/>
    <w:rsid w:val="00E134B7"/>
    <w:rsid w:val="00E1393F"/>
    <w:rsid w:val="00E13B97"/>
    <w:rsid w:val="00E15719"/>
    <w:rsid w:val="00E15722"/>
    <w:rsid w:val="00E16346"/>
    <w:rsid w:val="00E16E38"/>
    <w:rsid w:val="00E1751B"/>
    <w:rsid w:val="00E17576"/>
    <w:rsid w:val="00E1785C"/>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4EF5"/>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0BB"/>
    <w:rsid w:val="00E52592"/>
    <w:rsid w:val="00E52734"/>
    <w:rsid w:val="00E52D19"/>
    <w:rsid w:val="00E530FB"/>
    <w:rsid w:val="00E537F9"/>
    <w:rsid w:val="00E53C53"/>
    <w:rsid w:val="00E559B5"/>
    <w:rsid w:val="00E55B24"/>
    <w:rsid w:val="00E55B95"/>
    <w:rsid w:val="00E55C32"/>
    <w:rsid w:val="00E56A14"/>
    <w:rsid w:val="00E570B3"/>
    <w:rsid w:val="00E5788B"/>
    <w:rsid w:val="00E6244E"/>
    <w:rsid w:val="00E625D0"/>
    <w:rsid w:val="00E6366F"/>
    <w:rsid w:val="00E6369A"/>
    <w:rsid w:val="00E64623"/>
    <w:rsid w:val="00E646E8"/>
    <w:rsid w:val="00E64D4A"/>
    <w:rsid w:val="00E64E9A"/>
    <w:rsid w:val="00E65085"/>
    <w:rsid w:val="00E65D16"/>
    <w:rsid w:val="00E66553"/>
    <w:rsid w:val="00E67CE8"/>
    <w:rsid w:val="00E702D8"/>
    <w:rsid w:val="00E70673"/>
    <w:rsid w:val="00E70B32"/>
    <w:rsid w:val="00E70D3F"/>
    <w:rsid w:val="00E70D80"/>
    <w:rsid w:val="00E70F0F"/>
    <w:rsid w:val="00E71740"/>
    <w:rsid w:val="00E7181C"/>
    <w:rsid w:val="00E71E42"/>
    <w:rsid w:val="00E72EB6"/>
    <w:rsid w:val="00E7385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87D0C"/>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0495"/>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25A3"/>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6860"/>
    <w:rsid w:val="00ED75F2"/>
    <w:rsid w:val="00ED763E"/>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4674"/>
    <w:rsid w:val="00EF58E0"/>
    <w:rsid w:val="00EF5AD8"/>
    <w:rsid w:val="00EF5F42"/>
    <w:rsid w:val="00EF655B"/>
    <w:rsid w:val="00EF664E"/>
    <w:rsid w:val="00EF73CC"/>
    <w:rsid w:val="00F00409"/>
    <w:rsid w:val="00F009B1"/>
    <w:rsid w:val="00F012C8"/>
    <w:rsid w:val="00F01DA3"/>
    <w:rsid w:val="00F028EC"/>
    <w:rsid w:val="00F03D82"/>
    <w:rsid w:val="00F04390"/>
    <w:rsid w:val="00F04AB4"/>
    <w:rsid w:val="00F05B27"/>
    <w:rsid w:val="00F062F1"/>
    <w:rsid w:val="00F06592"/>
    <w:rsid w:val="00F06716"/>
    <w:rsid w:val="00F0732B"/>
    <w:rsid w:val="00F07C9C"/>
    <w:rsid w:val="00F10343"/>
    <w:rsid w:val="00F117C7"/>
    <w:rsid w:val="00F117E0"/>
    <w:rsid w:val="00F155B7"/>
    <w:rsid w:val="00F15A1A"/>
    <w:rsid w:val="00F15C23"/>
    <w:rsid w:val="00F172C7"/>
    <w:rsid w:val="00F176E0"/>
    <w:rsid w:val="00F17888"/>
    <w:rsid w:val="00F20B7A"/>
    <w:rsid w:val="00F21001"/>
    <w:rsid w:val="00F21AB3"/>
    <w:rsid w:val="00F2256B"/>
    <w:rsid w:val="00F23886"/>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4D6"/>
    <w:rsid w:val="00F40F4F"/>
    <w:rsid w:val="00F427E6"/>
    <w:rsid w:val="00F44236"/>
    <w:rsid w:val="00F454AF"/>
    <w:rsid w:val="00F454EA"/>
    <w:rsid w:val="00F456AE"/>
    <w:rsid w:val="00F45B3C"/>
    <w:rsid w:val="00F460C2"/>
    <w:rsid w:val="00F460CB"/>
    <w:rsid w:val="00F46AFD"/>
    <w:rsid w:val="00F478D6"/>
    <w:rsid w:val="00F47B86"/>
    <w:rsid w:val="00F47CE9"/>
    <w:rsid w:val="00F47CEE"/>
    <w:rsid w:val="00F512F1"/>
    <w:rsid w:val="00F5179B"/>
    <w:rsid w:val="00F51C7C"/>
    <w:rsid w:val="00F51E20"/>
    <w:rsid w:val="00F52804"/>
    <w:rsid w:val="00F5486B"/>
    <w:rsid w:val="00F54A1B"/>
    <w:rsid w:val="00F54BAC"/>
    <w:rsid w:val="00F54BFB"/>
    <w:rsid w:val="00F551DD"/>
    <w:rsid w:val="00F554A2"/>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CA2"/>
    <w:rsid w:val="00F76DCA"/>
    <w:rsid w:val="00F777AE"/>
    <w:rsid w:val="00F77825"/>
    <w:rsid w:val="00F8037F"/>
    <w:rsid w:val="00F80622"/>
    <w:rsid w:val="00F80B1A"/>
    <w:rsid w:val="00F80F4C"/>
    <w:rsid w:val="00F80FC8"/>
    <w:rsid w:val="00F8192F"/>
    <w:rsid w:val="00F81F57"/>
    <w:rsid w:val="00F8326E"/>
    <w:rsid w:val="00F83363"/>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AF3"/>
    <w:rsid w:val="00F92C3B"/>
    <w:rsid w:val="00F93562"/>
    <w:rsid w:val="00F939F1"/>
    <w:rsid w:val="00F93DB7"/>
    <w:rsid w:val="00F93E6F"/>
    <w:rsid w:val="00F948A1"/>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49C"/>
    <w:rsid w:val="00FB4A89"/>
    <w:rsid w:val="00FB4A9E"/>
    <w:rsid w:val="00FB5149"/>
    <w:rsid w:val="00FB5F5F"/>
    <w:rsid w:val="00FB62EA"/>
    <w:rsid w:val="00FB6DB5"/>
    <w:rsid w:val="00FB735D"/>
    <w:rsid w:val="00FB7C93"/>
    <w:rsid w:val="00FB7E12"/>
    <w:rsid w:val="00FC06B5"/>
    <w:rsid w:val="00FC1307"/>
    <w:rsid w:val="00FC155A"/>
    <w:rsid w:val="00FC1FA3"/>
    <w:rsid w:val="00FC20DB"/>
    <w:rsid w:val="00FC2145"/>
    <w:rsid w:val="00FC29A1"/>
    <w:rsid w:val="00FC2A8F"/>
    <w:rsid w:val="00FC2D19"/>
    <w:rsid w:val="00FC2DB2"/>
    <w:rsid w:val="00FC46AF"/>
    <w:rsid w:val="00FC4DAF"/>
    <w:rsid w:val="00FC65D9"/>
    <w:rsid w:val="00FC6E3C"/>
    <w:rsid w:val="00FC6FFD"/>
    <w:rsid w:val="00FC72AB"/>
    <w:rsid w:val="00FD01A1"/>
    <w:rsid w:val="00FD0997"/>
    <w:rsid w:val="00FD0BA3"/>
    <w:rsid w:val="00FD1FB8"/>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83A"/>
    <w:rsid w:val="00FF3EF1"/>
    <w:rsid w:val="00FF511D"/>
    <w:rsid w:val="00FF535B"/>
    <w:rsid w:val="00FF5577"/>
    <w:rsid w:val="00FF58BA"/>
    <w:rsid w:val="00FF62CC"/>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link w:val="Level1Char"/>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 w:type="paragraph" w:customStyle="1" w:styleId="Body3">
    <w:name w:val="Body 3"/>
    <w:basedOn w:val="Normal"/>
    <w:rsid w:val="000B018C"/>
    <w:pPr>
      <w:spacing w:after="140" w:line="290" w:lineRule="auto"/>
      <w:ind w:left="2041"/>
      <w:jc w:val="both"/>
    </w:pPr>
    <w:rPr>
      <w:rFonts w:ascii="Tahoma" w:hAnsi="Tahoma"/>
      <w:kern w:val="20"/>
      <w:sz w:val="20"/>
      <w:lang w:eastAsia="en-US"/>
    </w:rPr>
  </w:style>
  <w:style w:type="paragraph" w:customStyle="1" w:styleId="roman3">
    <w:name w:val="roman 3"/>
    <w:basedOn w:val="Normal"/>
    <w:link w:val="roman3Char"/>
    <w:rsid w:val="007D0675"/>
    <w:pPr>
      <w:numPr>
        <w:numId w:val="88"/>
      </w:numPr>
      <w:spacing w:after="140" w:line="290" w:lineRule="auto"/>
      <w:jc w:val="both"/>
    </w:pPr>
    <w:rPr>
      <w:rFonts w:ascii="Tahoma" w:hAnsi="Tahoma"/>
      <w:kern w:val="20"/>
      <w:sz w:val="20"/>
      <w:szCs w:val="20"/>
      <w:lang w:eastAsia="en-US"/>
    </w:rPr>
  </w:style>
  <w:style w:type="character" w:customStyle="1" w:styleId="roman3Char">
    <w:name w:val="roman 3 Char"/>
    <w:link w:val="roman3"/>
    <w:locked/>
    <w:rsid w:val="007D0675"/>
    <w:rPr>
      <w:rFonts w:ascii="Tahoma" w:eastAsia="Times New Roman" w:hAnsi="Tahoma" w:cs="Times New Roman"/>
      <w:kern w:val="20"/>
      <w:sz w:val="20"/>
      <w:szCs w:val="20"/>
    </w:rPr>
  </w:style>
  <w:style w:type="character" w:customStyle="1" w:styleId="cf01">
    <w:name w:val="cf01"/>
    <w:basedOn w:val="Fontepargpadro"/>
    <w:rsid w:val="0036324B"/>
    <w:rPr>
      <w:rFonts w:ascii="Segoe UI" w:hAnsi="Segoe UI" w:cs="Segoe UI" w:hint="default"/>
      <w:sz w:val="18"/>
      <w:szCs w:val="18"/>
    </w:rPr>
  </w:style>
  <w:style w:type="paragraph" w:customStyle="1" w:styleId="SubTtulo0">
    <w:name w:val="SubTítulo"/>
    <w:basedOn w:val="Normal"/>
    <w:next w:val="Normal"/>
    <w:rsid w:val="008A78B1"/>
    <w:pPr>
      <w:keepNext/>
      <w:spacing w:before="140" w:after="140" w:line="290" w:lineRule="auto"/>
      <w:jc w:val="both"/>
      <w:outlineLvl w:val="0"/>
    </w:pPr>
    <w:rPr>
      <w:rFonts w:ascii="Tahoma" w:hAnsi="Tahoma"/>
      <w:b/>
      <w:kern w:val="21"/>
      <w:sz w:val="21"/>
      <w:lang w:eastAsia="en-US"/>
    </w:rPr>
  </w:style>
  <w:style w:type="character" w:customStyle="1" w:styleId="Level1Char">
    <w:name w:val="Level 1 Char"/>
    <w:link w:val="Level1"/>
    <w:rsid w:val="003C579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98640139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2.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3.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4.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6.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7.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8.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26430</Words>
  <Characters>142726</Characters>
  <Application>Microsoft Office Word</Application>
  <DocSecurity>0</DocSecurity>
  <Lines>1189</Lines>
  <Paragraphs>337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168819</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3</cp:revision>
  <cp:lastPrinted>2021-12-22T01:04:00Z</cp:lastPrinted>
  <dcterms:created xsi:type="dcterms:W3CDTF">2022-06-29T13:11:00Z</dcterms:created>
  <dcterms:modified xsi:type="dcterms:W3CDTF">2022-06-29T13:12:00Z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