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78C14468"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3E527F">
        <w:rPr>
          <w:sz w:val="22"/>
          <w:szCs w:val="22"/>
        </w:rPr>
        <w:t xml:space="preserve"> ou “</w:t>
      </w:r>
      <w:r w:rsidR="003E527F" w:rsidRPr="001E5DD9">
        <w:rPr>
          <w:sz w:val="22"/>
          <w:szCs w:val="22"/>
          <w:u w:val="single"/>
        </w:rPr>
        <w:t>Welt</w:t>
      </w:r>
      <w:r w:rsidR="003E527F">
        <w:rPr>
          <w:sz w:val="22"/>
          <w:szCs w:val="22"/>
        </w:rPr>
        <w:t>”</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289CF7E3" w14:textId="210C107D" w:rsidR="00687608" w:rsidRPr="00760BB3" w:rsidRDefault="00687608" w:rsidP="00687608">
      <w:pPr>
        <w:pStyle w:val="Recuonormal"/>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 xml:space="preserve">sociedade </w:t>
      </w:r>
      <w:r w:rsidR="00010331">
        <w:rPr>
          <w:sz w:val="22"/>
          <w:szCs w:val="22"/>
          <w:lang w:val="pt-BR"/>
        </w:rPr>
        <w:t>por ações</w:t>
      </w:r>
      <w:r w:rsidRPr="00BE269D">
        <w:rPr>
          <w:sz w:val="22"/>
          <w:szCs w:val="22"/>
          <w:lang w:val="pt-BR"/>
        </w:rPr>
        <w:t>,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74EB4E9F"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sidRPr="003264A5">
        <w:rPr>
          <w:sz w:val="22"/>
          <w:szCs w:val="22"/>
        </w:rPr>
        <w:t>“</w:t>
      </w:r>
      <w:r w:rsidRPr="003264A5">
        <w:rPr>
          <w:sz w:val="22"/>
          <w:szCs w:val="22"/>
          <w:u w:val="single"/>
        </w:rPr>
        <w:t>Ouvidor</w:t>
      </w:r>
      <w:r w:rsidRPr="003264A5">
        <w:rPr>
          <w:sz w:val="22"/>
          <w:szCs w:val="22"/>
        </w:rPr>
        <w:t>”</w:t>
      </w:r>
      <w:r w:rsidR="00584A0D" w:rsidRPr="002D4089">
        <w:rPr>
          <w:sz w:val="22"/>
          <w:szCs w:val="22"/>
        </w:rPr>
        <w:t>)</w:t>
      </w:r>
      <w:r w:rsidR="00425F2A" w:rsidRPr="002D4089">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7DB25102"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(Fiduciante,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0FB2E9C4" w:rsidR="008E1055" w:rsidRPr="005B63F5" w:rsidRDefault="000E6376" w:rsidP="005B63F5">
      <w:pPr>
        <w:pStyle w:val="PargrafodaLista"/>
        <w:numPr>
          <w:ilvl w:val="0"/>
          <w:numId w:val="46"/>
        </w:numPr>
        <w:spacing w:line="300" w:lineRule="auto"/>
        <w:ind w:left="0" w:firstLine="0"/>
        <w:jc w:val="both"/>
        <w:rPr>
          <w:bCs/>
          <w:sz w:val="22"/>
          <w:szCs w:val="22"/>
        </w:rPr>
      </w:pPr>
      <w:r>
        <w:rPr>
          <w:sz w:val="22"/>
          <w:szCs w:val="22"/>
        </w:rPr>
        <w:t xml:space="preserve">A </w:t>
      </w:r>
      <w:r w:rsidR="001954A6">
        <w:rPr>
          <w:sz w:val="22"/>
          <w:szCs w:val="22"/>
        </w:rPr>
        <w:t>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lastRenderedPageBreak/>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25BDFE9A" w:rsidR="00A4429D" w:rsidRDefault="00A4429D" w:rsidP="00A4429D">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00D0735F">
        <w:rPr>
          <w:sz w:val="22"/>
          <w:szCs w:val="22"/>
        </w:rPr>
        <w:t xml:space="preserve"> (conforme abaixo definido)</w:t>
      </w:r>
      <w:r w:rsidRPr="00BF27E8">
        <w:rPr>
          <w:sz w:val="22"/>
          <w:szCs w:val="22"/>
        </w:rPr>
        <w:t xml:space="preserve"> </w:t>
      </w:r>
      <w:r w:rsidR="00291E59">
        <w:rPr>
          <w:sz w:val="22"/>
          <w:szCs w:val="22"/>
        </w:rPr>
        <w:t>celebrou a emissão das</w:t>
      </w:r>
      <w:r w:rsidR="00291E59"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w:t>
      </w:r>
      <w:r w:rsidRPr="003264A5">
        <w:rPr>
          <w:sz w:val="22"/>
          <w:szCs w:val="22"/>
        </w:rPr>
        <w:t xml:space="preserve">Bernoulli </w:t>
      </w:r>
      <w:r w:rsidR="00E04F53" w:rsidRPr="003264A5">
        <w:rPr>
          <w:sz w:val="22"/>
          <w:szCs w:val="22"/>
        </w:rPr>
        <w:t>Energia Ltda (“</w:t>
      </w:r>
      <w:r w:rsidR="00E04F53" w:rsidRPr="003264A5">
        <w:rPr>
          <w:sz w:val="22"/>
          <w:szCs w:val="22"/>
          <w:u w:val="single"/>
        </w:rPr>
        <w:t>Bernoulli</w:t>
      </w:r>
      <w:r w:rsidR="004047B6" w:rsidRPr="003264A5">
        <w:rPr>
          <w:sz w:val="22"/>
          <w:szCs w:val="22"/>
        </w:rPr>
        <w:t>”)</w:t>
      </w:r>
      <w:r w:rsidR="00E04F53" w:rsidRPr="003264A5">
        <w:rPr>
          <w:sz w:val="22"/>
          <w:szCs w:val="22"/>
        </w:rPr>
        <w:t xml:space="preserve"> </w:t>
      </w:r>
      <w:r w:rsidRPr="003264A5">
        <w:rPr>
          <w:sz w:val="22"/>
          <w:szCs w:val="22"/>
        </w:rPr>
        <w:t>na qualidade de emissora</w:t>
      </w:r>
      <w:r w:rsidRPr="00585A0E">
        <w:rPr>
          <w:sz w:val="22"/>
          <w:szCs w:val="22"/>
        </w:rPr>
        <w:t>,</w:t>
      </w:r>
      <w:r>
        <w:rPr>
          <w:sz w:val="22"/>
          <w:szCs w:val="22"/>
        </w:rPr>
        <w:t xml:space="preserve"> </w:t>
      </w:r>
      <w:r w:rsidR="003F739F">
        <w:rPr>
          <w:sz w:val="22"/>
          <w:szCs w:val="22"/>
        </w:rPr>
        <w:t xml:space="preserve">Ouvidor,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w:t>
      </w:r>
      <w:r w:rsidR="00854BBF">
        <w:rPr>
          <w:sz w:val="22"/>
          <w:szCs w:val="22"/>
        </w:rPr>
        <w:t>, na qualidade de credora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0208C6" w:rsidRPr="000208C6">
        <w:rPr>
          <w:bCs/>
          <w:sz w:val="22"/>
          <w:szCs w:val="22"/>
        </w:rPr>
        <w:t xml:space="preserve"> </w:t>
      </w:r>
    </w:p>
    <w:p w14:paraId="392E8EC6" w14:textId="77777777" w:rsidR="00A4429D" w:rsidRDefault="00A4429D" w:rsidP="00A4429D">
      <w:pPr>
        <w:pStyle w:val="PargrafodaLista"/>
        <w:widowControl w:val="0"/>
        <w:adjustRightInd w:val="0"/>
        <w:spacing w:line="300" w:lineRule="auto"/>
        <w:ind w:left="0"/>
        <w:jc w:val="both"/>
        <w:textAlignment w:val="baseline"/>
        <w:rPr>
          <w:sz w:val="22"/>
          <w:szCs w:val="22"/>
        </w:rPr>
      </w:pPr>
    </w:p>
    <w:p w14:paraId="1C153157" w14:textId="5D90E2CC" w:rsidR="001F4DFE" w:rsidRPr="00200B2C" w:rsidRDefault="00A4429D" w:rsidP="00200B2C">
      <w:pPr>
        <w:pStyle w:val="PargrafodaLista"/>
        <w:widowControl w:val="0"/>
        <w:numPr>
          <w:ilvl w:val="0"/>
          <w:numId w:val="46"/>
        </w:numPr>
        <w:adjustRightInd w:val="0"/>
        <w:spacing w:line="300" w:lineRule="auto"/>
        <w:ind w:left="0" w:firstLine="0"/>
        <w:jc w:val="both"/>
        <w:textAlignment w:val="baseline"/>
        <w:rPr>
          <w:sz w:val="22"/>
          <w:szCs w:val="22"/>
        </w:rPr>
      </w:pPr>
      <w:r w:rsidRPr="00200B2C">
        <w:rPr>
          <w:sz w:val="22"/>
          <w:szCs w:val="22"/>
        </w:rPr>
        <w:t xml:space="preserve">Nesta data, a Ouvidor </w:t>
      </w:r>
      <w:r w:rsidR="003B4088">
        <w:rPr>
          <w:sz w:val="22"/>
          <w:szCs w:val="22"/>
        </w:rPr>
        <w:t>celebrou a emissão das</w:t>
      </w:r>
      <w:r w:rsidRPr="00200B2C">
        <w:rPr>
          <w:sz w:val="22"/>
          <w:szCs w:val="22"/>
        </w:rPr>
        <w:t xml:space="preserve">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PargrafodaLista"/>
        <w:spacing w:line="300" w:lineRule="auto"/>
        <w:rPr>
          <w:bCs/>
          <w:sz w:val="22"/>
          <w:szCs w:val="22"/>
        </w:rPr>
      </w:pPr>
    </w:p>
    <w:p w14:paraId="1ECBA9CD" w14:textId="4A9E4C0F" w:rsidR="007B4C7B" w:rsidRPr="00207EB9" w:rsidRDefault="007B4C7B" w:rsidP="007B4C7B">
      <w:pPr>
        <w:pStyle w:val="PargrafodaLista"/>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w:t>
      </w:r>
      <w:r w:rsidR="002546BF" w:rsidRPr="00207EB9">
        <w:rPr>
          <w:sz w:val="22"/>
          <w:szCs w:val="22"/>
        </w:rPr>
        <w:t>lterada (“</w:t>
      </w:r>
      <w:r w:rsidR="002546BF" w:rsidRPr="00207EB9">
        <w:rPr>
          <w:sz w:val="22"/>
          <w:szCs w:val="22"/>
          <w:u w:val="single"/>
        </w:rPr>
        <w:t>MP n° 1.103/22</w:t>
      </w:r>
      <w:r w:rsidR="002546BF" w:rsidRPr="00207EB9">
        <w:rPr>
          <w:sz w:val="22"/>
          <w:szCs w:val="22"/>
        </w:rPr>
        <w:t>”)</w:t>
      </w:r>
      <w:r w:rsidRPr="00207EB9">
        <w:rPr>
          <w:sz w:val="22"/>
          <w:szCs w:val="22"/>
        </w:rPr>
        <w:t>;</w:t>
      </w:r>
    </w:p>
    <w:p w14:paraId="56E33BB7" w14:textId="77777777" w:rsidR="00D02640" w:rsidRPr="00207EB9" w:rsidRDefault="00D02640" w:rsidP="000A2A18">
      <w:pPr>
        <w:pStyle w:val="PargrafodaLista"/>
        <w:rPr>
          <w:sz w:val="22"/>
          <w:szCs w:val="22"/>
        </w:rPr>
      </w:pPr>
    </w:p>
    <w:p w14:paraId="2E17DD54" w14:textId="00F9CC53" w:rsidR="00D02640" w:rsidRPr="00207EB9" w:rsidRDefault="00D02640" w:rsidP="00D02640">
      <w:pPr>
        <w:pStyle w:val="PargrafodaLista"/>
        <w:numPr>
          <w:ilvl w:val="0"/>
          <w:numId w:val="46"/>
        </w:numPr>
        <w:spacing w:line="300" w:lineRule="auto"/>
        <w:ind w:left="0" w:firstLine="0"/>
        <w:jc w:val="both"/>
        <w:rPr>
          <w:sz w:val="22"/>
          <w:szCs w:val="22"/>
        </w:rPr>
      </w:pPr>
      <w:r w:rsidRPr="00207EB9">
        <w:rPr>
          <w:bCs/>
          <w:sz w:val="22"/>
          <w:szCs w:val="22"/>
        </w:rPr>
        <w:t xml:space="preserve">A Fiduciária subscreveu integralmente as Notas Comerciais e </w:t>
      </w:r>
      <w:r w:rsidR="00193D2F" w:rsidRPr="00207EB9">
        <w:rPr>
          <w:bCs/>
          <w:sz w:val="22"/>
          <w:szCs w:val="22"/>
        </w:rPr>
        <w:t>emitirá</w:t>
      </w:r>
      <w:r w:rsidRPr="00207EB9">
        <w:rPr>
          <w:bCs/>
          <w:sz w:val="22"/>
          <w:szCs w:val="22"/>
        </w:rPr>
        <w:t xml:space="preserve"> cédulas de crédito imobiliário integrais representativas da totalidade dos Créditos Imobiliários (“</w:t>
      </w:r>
      <w:r w:rsidRPr="00207EB9">
        <w:rPr>
          <w:bCs/>
          <w:sz w:val="22"/>
          <w:szCs w:val="22"/>
          <w:u w:val="single"/>
        </w:rPr>
        <w:t>CCI</w:t>
      </w:r>
      <w:r w:rsidRPr="00207EB9">
        <w:rPr>
          <w:bCs/>
          <w:sz w:val="22"/>
          <w:szCs w:val="22"/>
        </w:rPr>
        <w:t>”</w:t>
      </w:r>
      <w:r w:rsidRPr="00207EB9">
        <w:rPr>
          <w:sz w:val="22"/>
          <w:szCs w:val="22"/>
        </w:rPr>
        <w:t xml:space="preserve">), na forma escritural, </w:t>
      </w:r>
      <w:r w:rsidRPr="00207EB9">
        <w:rPr>
          <w:bCs/>
          <w:sz w:val="22"/>
          <w:szCs w:val="22"/>
        </w:rPr>
        <w:t>nos termos do “</w:t>
      </w:r>
      <w:r w:rsidRPr="00207EB9">
        <w:rPr>
          <w:bCs/>
          <w:i/>
          <w:sz w:val="22"/>
          <w:szCs w:val="22"/>
        </w:rPr>
        <w:t xml:space="preserve">Instrumento Particular de Escritura de Emissão de Cédula de Crédito Imobiliário Integral, Sem Garantia Real e sob a Forma Escritural da </w:t>
      </w:r>
      <w:r w:rsidRPr="00207EB9">
        <w:rPr>
          <w:i/>
          <w:sz w:val="22"/>
          <w:szCs w:val="22"/>
        </w:rPr>
        <w:t>Virgo Companhia de Securitização</w:t>
      </w:r>
      <w:r w:rsidRPr="00207EB9">
        <w:rPr>
          <w:bCs/>
          <w:sz w:val="22"/>
          <w:szCs w:val="22"/>
        </w:rPr>
        <w:t xml:space="preserve">”, celebrado entre Fiduciária e </w:t>
      </w:r>
      <w:r w:rsidRPr="00207EB9">
        <w:rPr>
          <w:sz w:val="22"/>
          <w:szCs w:val="22"/>
          <w:lang w:val="pt-PT"/>
        </w:rPr>
        <w:t>Oliveira Trust Distribuidora de Títulos e Valores Mobiliários S.A.</w:t>
      </w:r>
      <w:r w:rsidRPr="00207EB9">
        <w:rPr>
          <w:bCs/>
          <w:sz w:val="22"/>
          <w:szCs w:val="22"/>
        </w:rPr>
        <w:t xml:space="preserve"> (“</w:t>
      </w:r>
      <w:r w:rsidR="00F825A3" w:rsidRPr="00207EB9">
        <w:rPr>
          <w:bCs/>
          <w:sz w:val="22"/>
          <w:szCs w:val="22"/>
          <w:u w:val="single"/>
        </w:rPr>
        <w:t>Instituição Custodiante</w:t>
      </w:r>
      <w:r w:rsidRPr="00207EB9">
        <w:rPr>
          <w:bCs/>
          <w:sz w:val="22"/>
          <w:szCs w:val="22"/>
        </w:rPr>
        <w:t>”), nesta data</w:t>
      </w:r>
      <w:r w:rsidRPr="00207EB9">
        <w:rPr>
          <w:sz w:val="22"/>
          <w:szCs w:val="22"/>
        </w:rPr>
        <w:t xml:space="preserve"> </w:t>
      </w:r>
      <w:r w:rsidRPr="00207EB9">
        <w:rPr>
          <w:bCs/>
          <w:sz w:val="22"/>
          <w:szCs w:val="22"/>
        </w:rPr>
        <w:t>(“</w:t>
      </w:r>
      <w:r w:rsidRPr="00207EB9">
        <w:rPr>
          <w:bCs/>
          <w:sz w:val="22"/>
          <w:szCs w:val="22"/>
          <w:u w:val="single"/>
        </w:rPr>
        <w:t>Escritura de Emissão de CCI</w:t>
      </w:r>
      <w:r w:rsidRPr="00207EB9">
        <w:rPr>
          <w:bCs/>
          <w:sz w:val="22"/>
          <w:szCs w:val="22"/>
        </w:rPr>
        <w:t xml:space="preserve">”), conforme disposto na Lei nº 10.931, de 2 de agosto de 2004, conforme alterada; </w:t>
      </w:r>
    </w:p>
    <w:p w14:paraId="12BBAB8F" w14:textId="77777777" w:rsidR="003036A8" w:rsidRPr="00207EB9" w:rsidRDefault="003036A8" w:rsidP="000A2A18">
      <w:pPr>
        <w:pStyle w:val="PargrafodaLista"/>
        <w:rPr>
          <w:sz w:val="22"/>
          <w:szCs w:val="22"/>
        </w:rPr>
      </w:pPr>
    </w:p>
    <w:p w14:paraId="4A329CF1" w14:textId="04DD0EEC" w:rsidR="003036A8" w:rsidRPr="00207EB9" w:rsidRDefault="00A026F9" w:rsidP="000A2A18">
      <w:pPr>
        <w:pStyle w:val="PargrafodaLista"/>
        <w:numPr>
          <w:ilvl w:val="0"/>
          <w:numId w:val="46"/>
        </w:numPr>
        <w:spacing w:line="300" w:lineRule="auto"/>
        <w:ind w:left="0" w:firstLine="0"/>
        <w:jc w:val="both"/>
        <w:rPr>
          <w:sz w:val="22"/>
          <w:szCs w:val="22"/>
        </w:rPr>
      </w:pPr>
      <w:r w:rsidRPr="00207EB9">
        <w:rPr>
          <w:bCs/>
          <w:sz w:val="22"/>
          <w:szCs w:val="22"/>
        </w:rPr>
        <w:t xml:space="preserve">A Fiduciária vinculou </w:t>
      </w:r>
      <w:r w:rsidR="00013FEF" w:rsidRPr="00207EB9">
        <w:rPr>
          <w:bCs/>
          <w:sz w:val="22"/>
          <w:szCs w:val="22"/>
        </w:rPr>
        <w:t>os Créditos Imobiliários, representados pel</w:t>
      </w:r>
      <w:r w:rsidRPr="00207EB9">
        <w:rPr>
          <w:bCs/>
          <w:sz w:val="22"/>
          <w:szCs w:val="22"/>
        </w:rPr>
        <w:t xml:space="preserve">as CCI aos certificados de recebíveis imobiliários </w:t>
      </w:r>
      <w:r w:rsidR="00193D2F" w:rsidRPr="00207EB9">
        <w:rPr>
          <w:bCs/>
          <w:sz w:val="22"/>
          <w:szCs w:val="22"/>
        </w:rPr>
        <w:t xml:space="preserve">da </w:t>
      </w:r>
      <w:r w:rsidR="00EB3C33" w:rsidRPr="00207EB9">
        <w:rPr>
          <w:bCs/>
          <w:sz w:val="22"/>
          <w:szCs w:val="22"/>
        </w:rPr>
        <w:t>33</w:t>
      </w:r>
      <w:r w:rsidRPr="00207EB9">
        <w:rPr>
          <w:sz w:val="22"/>
          <w:szCs w:val="22"/>
        </w:rPr>
        <w:t xml:space="preserve">ª </w:t>
      </w:r>
      <w:r w:rsidRPr="00207EB9">
        <w:rPr>
          <w:bCs/>
          <w:sz w:val="22"/>
          <w:szCs w:val="22"/>
        </w:rPr>
        <w:t>emissão em série única (“</w:t>
      </w:r>
      <w:r w:rsidRPr="00207EB9">
        <w:rPr>
          <w:bCs/>
          <w:sz w:val="22"/>
          <w:szCs w:val="22"/>
          <w:u w:val="single"/>
        </w:rPr>
        <w:t>CRI</w:t>
      </w:r>
      <w:r w:rsidRPr="00207EB9">
        <w:rPr>
          <w:bCs/>
          <w:sz w:val="22"/>
          <w:szCs w:val="22"/>
        </w:rPr>
        <w:t>” e “</w:t>
      </w:r>
      <w:r w:rsidRPr="00207EB9">
        <w:rPr>
          <w:bCs/>
          <w:sz w:val="22"/>
          <w:szCs w:val="22"/>
          <w:u w:val="single"/>
        </w:rPr>
        <w:t>Emissão</w:t>
      </w:r>
      <w:r w:rsidRPr="00207EB9">
        <w:rPr>
          <w:bCs/>
          <w:sz w:val="22"/>
          <w:szCs w:val="22"/>
        </w:rPr>
        <w:t xml:space="preserve">”, respectivamente), </w:t>
      </w:r>
      <w:r w:rsidR="006D5DF0" w:rsidRPr="00207EB9">
        <w:rPr>
          <w:bCs/>
          <w:sz w:val="22"/>
          <w:szCs w:val="22"/>
        </w:rPr>
        <w:t xml:space="preserve">a serem </w:t>
      </w:r>
      <w:r w:rsidRPr="00207EB9">
        <w:rPr>
          <w:bCs/>
          <w:sz w:val="22"/>
          <w:szCs w:val="22"/>
        </w:rPr>
        <w:lastRenderedPageBreak/>
        <w:t>emitidos na forma do “</w:t>
      </w:r>
      <w:r w:rsidRPr="00207EB9">
        <w:rPr>
          <w:bCs/>
          <w:i/>
          <w:sz w:val="22"/>
          <w:szCs w:val="22"/>
        </w:rPr>
        <w:t xml:space="preserve">Termo de Securitização de Créditos da </w:t>
      </w:r>
      <w:r w:rsidR="00EB3C33" w:rsidRPr="00207EB9">
        <w:rPr>
          <w:i/>
          <w:iCs/>
          <w:sz w:val="22"/>
          <w:szCs w:val="22"/>
        </w:rPr>
        <w:t>33</w:t>
      </w:r>
      <w:r w:rsidRPr="00207EB9">
        <w:rPr>
          <w:i/>
          <w:iCs/>
          <w:sz w:val="22"/>
          <w:szCs w:val="22"/>
        </w:rPr>
        <w:t xml:space="preserve">ª Emissão em </w:t>
      </w:r>
      <w:r w:rsidR="008F4EC6" w:rsidRPr="00207EB9">
        <w:rPr>
          <w:i/>
          <w:iCs/>
          <w:sz w:val="22"/>
          <w:szCs w:val="22"/>
        </w:rPr>
        <w:t xml:space="preserve">Série Única </w:t>
      </w:r>
      <w:r w:rsidRPr="00207EB9">
        <w:rPr>
          <w:bCs/>
          <w:i/>
          <w:sz w:val="22"/>
          <w:szCs w:val="22"/>
        </w:rPr>
        <w:t xml:space="preserve">de Certificados de Recebíveis Imobiliários da </w:t>
      </w:r>
      <w:r w:rsidRPr="00207EB9">
        <w:rPr>
          <w:i/>
          <w:sz w:val="22"/>
          <w:szCs w:val="22"/>
        </w:rPr>
        <w:t>Virgo Companhia de Securitização</w:t>
      </w:r>
      <w:r w:rsidRPr="00207EB9">
        <w:rPr>
          <w:bCs/>
          <w:sz w:val="22"/>
          <w:szCs w:val="22"/>
        </w:rPr>
        <w:t>”, firmado, nesta data</w:t>
      </w:r>
      <w:r w:rsidRPr="00207EB9">
        <w:rPr>
          <w:sz w:val="22"/>
          <w:szCs w:val="22"/>
        </w:rPr>
        <w:t xml:space="preserve">, </w:t>
      </w:r>
      <w:r w:rsidRPr="00207EB9">
        <w:rPr>
          <w:bCs/>
          <w:sz w:val="22"/>
          <w:szCs w:val="22"/>
        </w:rPr>
        <w:t xml:space="preserve">entre </w:t>
      </w:r>
      <w:r w:rsidR="00193D2F" w:rsidRPr="00207EB9">
        <w:rPr>
          <w:bCs/>
          <w:sz w:val="22"/>
          <w:szCs w:val="22"/>
        </w:rPr>
        <w:t xml:space="preserve">a </w:t>
      </w:r>
      <w:r w:rsidRPr="00207EB9">
        <w:rPr>
          <w:bCs/>
          <w:sz w:val="22"/>
          <w:szCs w:val="22"/>
        </w:rPr>
        <w:t xml:space="preserve">Fiduciária e </w:t>
      </w:r>
      <w:r w:rsidR="004D6F0B" w:rsidRPr="00207EB9">
        <w:rPr>
          <w:bCs/>
          <w:sz w:val="22"/>
          <w:szCs w:val="22"/>
        </w:rPr>
        <w:t>Simplific Pavarini Distribuidora de Títulos e Valores Mobiliários Ltda.</w:t>
      </w:r>
      <w:r w:rsidRPr="00207EB9">
        <w:rPr>
          <w:bCs/>
          <w:sz w:val="22"/>
          <w:szCs w:val="22"/>
        </w:rPr>
        <w:t xml:space="preserve"> (“</w:t>
      </w:r>
      <w:r w:rsidRPr="00207EB9">
        <w:rPr>
          <w:bCs/>
          <w:sz w:val="22"/>
          <w:szCs w:val="22"/>
          <w:u w:val="single"/>
        </w:rPr>
        <w:t>Termo de Securitização</w:t>
      </w:r>
      <w:r w:rsidRPr="00207EB9">
        <w:rPr>
          <w:bCs/>
          <w:sz w:val="22"/>
          <w:szCs w:val="22"/>
        </w:rPr>
        <w:t>”</w:t>
      </w:r>
      <w:r w:rsidR="006A7A85" w:rsidRPr="00207EB9">
        <w:rPr>
          <w:bCs/>
          <w:sz w:val="22"/>
          <w:szCs w:val="22"/>
        </w:rPr>
        <w:t xml:space="preserve"> e “</w:t>
      </w:r>
      <w:r w:rsidR="006A7A85" w:rsidRPr="00207EB9">
        <w:rPr>
          <w:bCs/>
          <w:sz w:val="22"/>
          <w:szCs w:val="22"/>
          <w:u w:val="single"/>
        </w:rPr>
        <w:t>Agente Fiduciário</w:t>
      </w:r>
      <w:r w:rsidR="006A7A85" w:rsidRPr="00207EB9">
        <w:rPr>
          <w:bCs/>
          <w:sz w:val="22"/>
          <w:szCs w:val="22"/>
        </w:rPr>
        <w:t>”, respectivamente</w:t>
      </w:r>
      <w:r w:rsidRPr="00207EB9">
        <w:rPr>
          <w:bCs/>
          <w:sz w:val="22"/>
          <w:szCs w:val="22"/>
        </w:rPr>
        <w:t>), nos termos da Lei nº 9.514/97, e de acordo com os normativos da CVM</w:t>
      </w:r>
      <w:r w:rsidR="001B75F6" w:rsidRPr="00207EB9">
        <w:rPr>
          <w:bCs/>
          <w:sz w:val="22"/>
          <w:szCs w:val="22"/>
        </w:rPr>
        <w:t>.</w:t>
      </w:r>
    </w:p>
    <w:p w14:paraId="00510CF8" w14:textId="77777777" w:rsidR="007B4C7B" w:rsidRPr="000A2A18" w:rsidRDefault="007B4C7B" w:rsidP="000A2A18">
      <w:pPr>
        <w:pStyle w:val="PargrafodaLista"/>
        <w:rPr>
          <w:sz w:val="22"/>
          <w:szCs w:val="22"/>
        </w:rPr>
      </w:pPr>
    </w:p>
    <w:p w14:paraId="785334E9" w14:textId="16CF1B06"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w:t>
      </w:r>
      <w:r w:rsidR="00923B14">
        <w:rPr>
          <w:sz w:val="22"/>
          <w:szCs w:val="22"/>
        </w:rPr>
        <w:t>a Welt</w:t>
      </w:r>
      <w:r w:rsidR="00082E5C" w:rsidRPr="0024250F">
        <w:rPr>
          <w:sz w:val="22"/>
          <w:szCs w:val="22"/>
        </w:rPr>
        <w:t xml:space="preserve">,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w:t>
      </w:r>
      <w:r w:rsidR="00923B14">
        <w:rPr>
          <w:sz w:val="22"/>
          <w:szCs w:val="22"/>
        </w:rPr>
        <w:t>a Welt</w:t>
      </w:r>
      <w:r w:rsidR="00F3283E" w:rsidRPr="0024250F">
        <w:rPr>
          <w:sz w:val="22"/>
          <w:szCs w:val="22"/>
        </w:rPr>
        <w:t xml:space="preserve">,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1713A20A" w:rsidR="00C24A51" w:rsidRDefault="00D45925"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Em virtude do exposto, fazem parte da Operação, entre outros, os seguintes instrumentos </w:t>
      </w:r>
      <w:r>
        <w:rPr>
          <w:sz w:val="22"/>
          <w:szCs w:val="22"/>
        </w:rPr>
        <w:lastRenderedPageBreak/>
        <w:t>(“</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sidRPr="00E452DA">
        <w:rPr>
          <w:bCs/>
          <w:sz w:val="22"/>
          <w:szCs w:val="22"/>
        </w:rPr>
        <w:t>”</w:t>
      </w:r>
      <w:r w:rsidRPr="00DB5070">
        <w:rPr>
          <w:sz w:val="22"/>
          <w:szCs w:val="22"/>
        </w:rPr>
        <w:t xml:space="preserve">, </w:t>
      </w:r>
      <w:r w:rsidR="006B2D8F">
        <w:rPr>
          <w:sz w:val="22"/>
          <w:szCs w:val="22"/>
        </w:rPr>
        <w:t xml:space="preserve">a ser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4"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sidRPr="00E452DA">
        <w:rPr>
          <w:bCs/>
          <w:sz w:val="22"/>
          <w:szCs w:val="22"/>
        </w:rPr>
        <w:t>”</w:t>
      </w:r>
      <w:r w:rsidRPr="00DB5070">
        <w:rPr>
          <w:sz w:val="22"/>
          <w:szCs w:val="22"/>
        </w:rPr>
        <w:t xml:space="preserve">, </w:t>
      </w:r>
      <w:r w:rsidR="006B2D8F">
        <w:rPr>
          <w:sz w:val="22"/>
          <w:szCs w:val="22"/>
        </w:rPr>
        <w:t xml:space="preserve">a ser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4"/>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0034290B">
        <w:rPr>
          <w:sz w:val="22"/>
          <w:szCs w:val="22"/>
        </w:rPr>
        <w:t>; (i) a Escritura de Emissão de CCI</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66B505A6" w:rsidR="008B012F" w:rsidRPr="00760BB3" w:rsidRDefault="00C25E70"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5"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6" w:name="_Hlk105169110"/>
      <w:bookmarkEnd w:id="5"/>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7" w:name="_Hlk105170539"/>
      <w:bookmarkEnd w:id="6"/>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7"/>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8"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8"/>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9" w:name="_Hlk105170580"/>
      <w:r w:rsidR="00E25C29">
        <w:rPr>
          <w:sz w:val="22"/>
          <w:szCs w:val="22"/>
        </w:rPr>
        <w:t>pelo Agente Fiduciário</w:t>
      </w:r>
      <w:r w:rsidR="00934573">
        <w:rPr>
          <w:sz w:val="22"/>
          <w:szCs w:val="22"/>
        </w:rPr>
        <w:t xml:space="preserve"> e/ou</w:t>
      </w:r>
      <w:r w:rsidRPr="00560F84">
        <w:rPr>
          <w:sz w:val="22"/>
          <w:szCs w:val="22"/>
        </w:rPr>
        <w:t xml:space="preserve"> </w:t>
      </w:r>
      <w:bookmarkEnd w:id="9"/>
      <w:r w:rsidRPr="00560F84">
        <w:rPr>
          <w:sz w:val="22"/>
          <w:szCs w:val="22"/>
        </w:rPr>
        <w:t>pelos titulares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 Fiduciante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 xml:space="preserve">113 da Lei nº 6.404/1976, </w:t>
      </w:r>
      <w:r w:rsidR="00F803C4" w:rsidRPr="00760BB3">
        <w:rPr>
          <w:sz w:val="22"/>
          <w:szCs w:val="22"/>
        </w:rPr>
        <w:lastRenderedPageBreak/>
        <w:t>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0" w:name="_Toc522079146"/>
      <w:bookmarkStart w:id="11"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0"/>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7980CB99"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 </w:t>
      </w:r>
      <w:r w:rsidR="008215D3" w:rsidRPr="00760BB3">
        <w:rPr>
          <w:bCs/>
          <w:sz w:val="22"/>
          <w:szCs w:val="22"/>
        </w:rPr>
        <w:t xml:space="preserve">Fiduciante, neste ato, em caráter irrevogável e irretratável, aliena </w:t>
      </w:r>
      <w:r w:rsidR="008215D3" w:rsidRPr="00760BB3">
        <w:rPr>
          <w:sz w:val="22"/>
          <w:szCs w:val="22"/>
        </w:rPr>
        <w:t>fiduciariamente a propriedade, o domínio resolúvel e a posse indireta das Quotas e dos Direitos (conforme definidos abaixo), de que seja ou venha a ser titular,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2" w:name="_DV_M125"/>
      <w:bookmarkEnd w:id="12"/>
    </w:p>
    <w:p w14:paraId="49B2E9A0" w14:textId="5E1E443A"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w:t>
      </w:r>
      <w:r w:rsidR="0002762A" w:rsidRPr="00760BB3">
        <w:rPr>
          <w:sz w:val="22"/>
          <w:szCs w:val="22"/>
        </w:rPr>
        <w:t xml:space="preserve"> </w:t>
      </w:r>
      <w:r w:rsidR="00C026AF" w:rsidRPr="00760BB3">
        <w:rPr>
          <w:sz w:val="22"/>
          <w:szCs w:val="22"/>
        </w:rPr>
        <w:t>Fiduciante</w:t>
      </w:r>
      <w:r w:rsidR="00E01597">
        <w:rPr>
          <w:sz w:val="22"/>
          <w:szCs w:val="22"/>
        </w:rPr>
        <w:t xml:space="preserve"> </w:t>
      </w:r>
      <w:r w:rsidR="00C026AF" w:rsidRPr="00760BB3">
        <w:rPr>
          <w:sz w:val="22"/>
          <w:szCs w:val="22"/>
        </w:rPr>
        <w:t>declara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52F1E2F7"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w:t>
      </w:r>
      <w:r w:rsidR="00583703" w:rsidRPr="00760BB3">
        <w:rPr>
          <w:sz w:val="22"/>
          <w:szCs w:val="22"/>
        </w:rPr>
        <w:t xml:space="preserve"> </w:t>
      </w:r>
      <w:r w:rsidR="002A693E" w:rsidRPr="00760BB3">
        <w:rPr>
          <w:sz w:val="22"/>
          <w:szCs w:val="22"/>
        </w:rPr>
        <w:t>Fiduciante</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1E5DD9">
      <w:pPr>
        <w:pStyle w:val="Ttulo5"/>
        <w:pageBreakBefore/>
        <w:overflowPunct/>
        <w:autoSpaceDE/>
        <w:adjustRightInd/>
        <w:spacing w:line="300" w:lineRule="auto"/>
        <w:ind w:left="0"/>
        <w:jc w:val="both"/>
        <w:rPr>
          <w:rFonts w:ascii="Times New Roman" w:hAnsi="Times New Roman"/>
          <w:sz w:val="22"/>
          <w:szCs w:val="22"/>
          <w:lang w:val="pt-BR"/>
        </w:rPr>
      </w:pPr>
      <w:bookmarkStart w:id="13" w:name="_Toc522079148"/>
      <w:bookmarkEnd w:id="11"/>
      <w:r w:rsidRPr="00760BB3">
        <w:rPr>
          <w:rFonts w:ascii="Times New Roman" w:hAnsi="Times New Roman"/>
          <w:sz w:val="22"/>
          <w:szCs w:val="22"/>
          <w:lang w:val="pt-BR"/>
        </w:rPr>
        <w:lastRenderedPageBreak/>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456C8DB4" w14:textId="77777777" w:rsidR="00FE4A82" w:rsidRPr="00760BB3" w:rsidRDefault="00FE4A82" w:rsidP="00FE4A82">
      <w:pPr>
        <w:spacing w:line="300" w:lineRule="auto"/>
        <w:jc w:val="both"/>
        <w:rPr>
          <w:sz w:val="22"/>
          <w:szCs w:val="22"/>
        </w:rPr>
      </w:pPr>
    </w:p>
    <w:p w14:paraId="70851EE2" w14:textId="26F0A82C"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3DFEC4E7" w14:textId="485112C6"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sidR="00C952A2">
        <w:rPr>
          <w:bCs/>
          <w:sz w:val="22"/>
          <w:szCs w:val="22"/>
        </w:rPr>
        <w:t>05 de agosto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71D4B50C" w14:textId="5A2EE005"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sidR="00C374EC" w:rsidRPr="00C374EC">
        <w:rPr>
          <w:bCs/>
          <w:sz w:val="22"/>
          <w:szCs w:val="22"/>
        </w:rPr>
        <w:t xml:space="preserve"> </w:t>
      </w:r>
      <w:r w:rsidR="00EF69EE">
        <w:rPr>
          <w:bCs/>
          <w:sz w:val="22"/>
          <w:szCs w:val="22"/>
        </w:rPr>
        <w:t>4.3</w:t>
      </w:r>
      <w:r w:rsidR="00C952A2">
        <w:rPr>
          <w:bCs/>
          <w:sz w:val="22"/>
          <w:szCs w:val="22"/>
        </w:rPr>
        <w:t>64</w:t>
      </w:r>
      <w:r w:rsidR="00EF69EE">
        <w:rPr>
          <w:bCs/>
          <w:sz w:val="22"/>
          <w:szCs w:val="22"/>
        </w:rPr>
        <w:t xml:space="preserve"> (quatro mil trezentos e </w:t>
      </w:r>
      <w:r w:rsidR="00C952A2">
        <w:rPr>
          <w:bCs/>
          <w:sz w:val="22"/>
          <w:szCs w:val="22"/>
        </w:rPr>
        <w:t>sessenta e quatro</w:t>
      </w:r>
      <w:r w:rsidR="00EF69EE">
        <w:rPr>
          <w:bCs/>
          <w:sz w:val="22"/>
          <w:szCs w:val="22"/>
        </w:rPr>
        <w:t xml:space="preserve">) </w:t>
      </w:r>
      <w:r>
        <w:rPr>
          <w:bCs/>
          <w:sz w:val="22"/>
          <w:szCs w:val="22"/>
        </w:rPr>
        <w:t>dias</w:t>
      </w:r>
      <w:r w:rsidRPr="0029217C">
        <w:rPr>
          <w:bCs/>
          <w:sz w:val="22"/>
          <w:szCs w:val="22"/>
        </w:rPr>
        <w:t xml:space="preserve"> contados da Data de Emissão</w:t>
      </w:r>
    </w:p>
    <w:p w14:paraId="0832731E" w14:textId="53550CE9" w:rsidR="00FE4A82"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sidR="00EF69EE">
        <w:rPr>
          <w:bCs/>
          <w:sz w:val="22"/>
          <w:szCs w:val="22"/>
        </w:rPr>
        <w:t xml:space="preserve">17 </w:t>
      </w:r>
      <w:r w:rsidR="006175DC">
        <w:rPr>
          <w:bCs/>
          <w:sz w:val="22"/>
          <w:szCs w:val="22"/>
        </w:rPr>
        <w:t>de julho</w:t>
      </w:r>
      <w:r>
        <w:rPr>
          <w:bCs/>
          <w:sz w:val="22"/>
          <w:szCs w:val="22"/>
        </w:rPr>
        <w:t xml:space="preserve"> </w:t>
      </w:r>
      <w:r w:rsidRPr="00D20D39">
        <w:rPr>
          <w:bCs/>
          <w:sz w:val="22"/>
          <w:szCs w:val="22"/>
        </w:rPr>
        <w:t xml:space="preserve">de </w:t>
      </w:r>
      <w:r w:rsidR="00B52C01" w:rsidRPr="00D20D39">
        <w:rPr>
          <w:bCs/>
          <w:sz w:val="22"/>
          <w:szCs w:val="22"/>
        </w:rPr>
        <w:t>20</w:t>
      </w:r>
      <w:r w:rsidR="00B52C01">
        <w:rPr>
          <w:bCs/>
          <w:sz w:val="22"/>
          <w:szCs w:val="22"/>
        </w:rPr>
        <w:t>34</w:t>
      </w:r>
      <w:r w:rsidRPr="00173F2C">
        <w:rPr>
          <w:bCs/>
          <w:sz w:val="22"/>
          <w:szCs w:val="22"/>
        </w:rPr>
        <w:t>;</w:t>
      </w:r>
    </w:p>
    <w:p w14:paraId="1276ECCA" w14:textId="7970672A" w:rsidR="00FE4A82" w:rsidRPr="004F7186" w:rsidRDefault="00FE4A82" w:rsidP="00FE4A82">
      <w:pPr>
        <w:pStyle w:val="PargrafodaLista"/>
        <w:numPr>
          <w:ilvl w:val="0"/>
          <w:numId w:val="41"/>
        </w:numPr>
        <w:spacing w:line="300" w:lineRule="auto"/>
        <w:ind w:left="720"/>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7766BF45" w14:textId="6832A586" w:rsidR="00FE4A82"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 xml:space="preserve">Os CRI terão o seu Valor Nominal Unitário ou o seu saldo do Valor Nominal Unitário, conforme o caso, atualizado monetariamente, a partir da primeira Data de Integralização, pela variação </w:t>
      </w:r>
      <w:r w:rsidR="006013D9">
        <w:rPr>
          <w:rFonts w:eastAsia="Arial Unicode MS"/>
          <w:sz w:val="22"/>
          <w:szCs w:val="22"/>
          <w:lang w:bidi="th-TH"/>
        </w:rPr>
        <w:t xml:space="preserve">positiva </w:t>
      </w:r>
      <w:r w:rsidRPr="000B75B4">
        <w:rPr>
          <w:rFonts w:eastAsia="Arial Unicode MS"/>
          <w:sz w:val="22"/>
          <w:szCs w:val="22"/>
          <w:lang w:bidi="th-TH"/>
        </w:rPr>
        <w:t>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387754">
        <w:rPr>
          <w:rFonts w:eastAsia="Arial Unicode MS"/>
          <w:sz w:val="22"/>
          <w:szCs w:val="22"/>
          <w:lang w:bidi="th-TH"/>
        </w:rPr>
        <w:t xml:space="preserve"> </w:t>
      </w:r>
      <w:r w:rsidR="008073D1">
        <w:rPr>
          <w:rFonts w:eastAsia="Arial Unicode MS"/>
          <w:sz w:val="22"/>
          <w:szCs w:val="22"/>
          <w:lang w:bidi="th-TH"/>
        </w:rPr>
        <w:t>(“</w:t>
      </w:r>
      <w:r w:rsidR="008073D1" w:rsidRPr="005578E8">
        <w:rPr>
          <w:rFonts w:eastAsia="Arial Unicode MS"/>
          <w:sz w:val="22"/>
          <w:szCs w:val="22"/>
          <w:u w:val="single"/>
          <w:lang w:bidi="th-TH"/>
        </w:rPr>
        <w:t>Valor Nominal Unitário Atualizado</w:t>
      </w:r>
      <w:r w:rsidR="008073D1">
        <w:rPr>
          <w:rFonts w:eastAsia="Arial Unicode MS"/>
          <w:sz w:val="22"/>
          <w:szCs w:val="22"/>
          <w:lang w:bidi="th-TH"/>
        </w:rPr>
        <w:t>”)</w:t>
      </w:r>
      <w:r>
        <w:rPr>
          <w:rFonts w:eastAsia="Arial Unicode MS"/>
          <w:sz w:val="22"/>
          <w:szCs w:val="22"/>
          <w:lang w:bidi="th-TH"/>
        </w:rPr>
        <w:t>;</w:t>
      </w:r>
    </w:p>
    <w:p w14:paraId="3BC4BB9E" w14:textId="28DB4EE9" w:rsidR="00FE4A82" w:rsidRPr="00B07E6E"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055E787D" w14:textId="006F1984" w:rsidR="00FE4A82" w:rsidRPr="004F7186" w:rsidRDefault="00FE4A82" w:rsidP="00FE4A82">
      <w:pPr>
        <w:pStyle w:val="PargrafodaLista"/>
        <w:numPr>
          <w:ilvl w:val="0"/>
          <w:numId w:val="41"/>
        </w:numPr>
        <w:spacing w:line="300" w:lineRule="auto"/>
        <w:ind w:left="720"/>
        <w:jc w:val="both"/>
        <w:rPr>
          <w:bCs/>
          <w:sz w:val="22"/>
          <w:szCs w:val="22"/>
        </w:rPr>
      </w:pPr>
      <w:r w:rsidRPr="00355919">
        <w:rPr>
          <w:bCs/>
          <w:sz w:val="22"/>
          <w:szCs w:val="22"/>
          <w:u w:val="single"/>
        </w:rPr>
        <w:t>Amortização Programada</w:t>
      </w:r>
      <w:r w:rsidRPr="000B75B4">
        <w:rPr>
          <w:bCs/>
          <w:sz w:val="22"/>
          <w:szCs w:val="22"/>
        </w:rPr>
        <w:t xml:space="preserve">: Os CRI terão o seu Valor Nominal Unitário </w:t>
      </w:r>
      <w:r w:rsidR="006013D9">
        <w:rPr>
          <w:bCs/>
          <w:sz w:val="22"/>
          <w:szCs w:val="22"/>
        </w:rPr>
        <w:t>Atualizado</w:t>
      </w:r>
      <w:r w:rsidRPr="000B75B4">
        <w:rPr>
          <w:bCs/>
          <w:sz w:val="22"/>
          <w:szCs w:val="22"/>
        </w:rPr>
        <w:t>, amortizado na forma prevista nos Documentos da Operação</w:t>
      </w:r>
      <w:r>
        <w:rPr>
          <w:bCs/>
          <w:sz w:val="22"/>
          <w:szCs w:val="22"/>
        </w:rPr>
        <w:t>;</w:t>
      </w:r>
    </w:p>
    <w:p w14:paraId="14410FF5" w14:textId="77777777" w:rsidR="00FE4A82" w:rsidRPr="004F7186" w:rsidRDefault="00FE4A82" w:rsidP="00FE4A82">
      <w:pPr>
        <w:pStyle w:val="PargrafodaLista"/>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1F0DD47E" w14:textId="12D66D4B" w:rsidR="00FE4A82" w:rsidRPr="005B63F5"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xml:space="preserve">: </w:t>
      </w:r>
      <w:bookmarkStart w:id="14" w:name="_Hlk108534213"/>
      <w:r>
        <w:rPr>
          <w:bCs/>
          <w:sz w:val="22"/>
          <w:szCs w:val="22"/>
        </w:rPr>
        <w:t>São Paulo/SP</w:t>
      </w:r>
      <w:bookmarkEnd w:id="14"/>
      <w:r>
        <w:rPr>
          <w:bCs/>
          <w:sz w:val="22"/>
          <w:szCs w:val="22"/>
        </w:rPr>
        <w:t xml:space="preserve">; </w:t>
      </w:r>
      <w:r w:rsidRPr="005B63F5">
        <w:rPr>
          <w:color w:val="000000"/>
          <w:sz w:val="22"/>
          <w:szCs w:val="22"/>
        </w:rPr>
        <w:t>e</w:t>
      </w:r>
    </w:p>
    <w:p w14:paraId="709D98DF" w14:textId="77777777" w:rsidR="00FE4A82" w:rsidRDefault="00FE4A82" w:rsidP="005578E8">
      <w:pPr>
        <w:pStyle w:val="PargrafodaLista"/>
        <w:numPr>
          <w:ilvl w:val="0"/>
          <w:numId w:val="41"/>
        </w:numPr>
        <w:spacing w:line="300" w:lineRule="auto"/>
        <w:ind w:left="720"/>
        <w:jc w:val="both"/>
        <w:rPr>
          <w:bCs/>
          <w:sz w:val="22"/>
          <w:szCs w:val="22"/>
        </w:rPr>
      </w:pPr>
      <w:r w:rsidRPr="00355919">
        <w:rPr>
          <w:bCs/>
          <w:sz w:val="22"/>
          <w:szCs w:val="22"/>
          <w:u w:val="single"/>
        </w:rPr>
        <w:t>Despesas</w:t>
      </w:r>
      <w:r w:rsidRPr="000B75B4">
        <w:rPr>
          <w:bCs/>
          <w:sz w:val="22"/>
          <w:szCs w:val="22"/>
        </w:rPr>
        <w:t>: As despesas da emissão dos CRI, conforme listadas nos Documentos da Operação.</w:t>
      </w:r>
    </w:p>
    <w:p w14:paraId="6C0CB9F2" w14:textId="35A958C0" w:rsidR="00CA23C7" w:rsidRPr="00760BB3" w:rsidRDefault="00FE4A82" w:rsidP="005578E8">
      <w:pPr>
        <w:pStyle w:val="PargrafodaLista"/>
        <w:numPr>
          <w:ilvl w:val="0"/>
          <w:numId w:val="41"/>
        </w:numPr>
        <w:spacing w:line="300" w:lineRule="auto"/>
        <w:ind w:left="720"/>
        <w:jc w:val="both"/>
        <w:rPr>
          <w:b/>
          <w:sz w:val="22"/>
          <w:szCs w:val="22"/>
        </w:rPr>
      </w:pPr>
      <w:r>
        <w:rPr>
          <w:color w:val="000000"/>
          <w:sz w:val="22"/>
          <w:szCs w:val="22"/>
        </w:rPr>
        <w:t xml:space="preserve"> </w:t>
      </w:r>
      <w:r w:rsidRPr="00B07E6E">
        <w:rPr>
          <w:bCs/>
          <w:sz w:val="22"/>
          <w:szCs w:val="22"/>
          <w:u w:val="single"/>
        </w:rPr>
        <w:t>Demais</w:t>
      </w:r>
      <w:r w:rsidRPr="0029217C">
        <w:rPr>
          <w:sz w:val="22"/>
          <w:szCs w:val="22"/>
          <w:u w:val="single"/>
        </w:rPr>
        <w:t xml:space="preserve"> </w:t>
      </w:r>
      <w:r w:rsidRPr="00355919">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F467A04" w14:textId="1FC6237E" w:rsidR="00123B3D"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EE2A75">
        <w:rPr>
          <w:sz w:val="22"/>
          <w:szCs w:val="22"/>
        </w:rPr>
        <w:t>nos Instrumentos de Emissão, no Termo de Securitização</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EE2A75">
        <w:rPr>
          <w:sz w:val="22"/>
          <w:szCs w:val="22"/>
        </w:rPr>
        <w:t>instrumento</w:t>
      </w:r>
      <w:r w:rsidR="00030CFA" w:rsidRPr="00760BB3">
        <w:rPr>
          <w:sz w:val="22"/>
          <w:szCs w:val="22"/>
        </w:rPr>
        <w:t xml:space="preserve"> </w:t>
      </w:r>
      <w:r w:rsidR="003553CD" w:rsidRPr="00760BB3">
        <w:rPr>
          <w:sz w:val="22"/>
          <w:szCs w:val="22"/>
        </w:rPr>
        <w:t>constitui parte integrante e inseparável para todos os fins e efeitos de direito</w:t>
      </w:r>
      <w:r w:rsidR="00C93CBD" w:rsidRPr="00760BB3">
        <w:rPr>
          <w:sz w:val="22"/>
          <w:szCs w:val="22"/>
        </w:rPr>
        <w:t>.</w:t>
      </w:r>
      <w:r w:rsidR="00A62211">
        <w:rPr>
          <w:sz w:val="22"/>
          <w:szCs w:val="22"/>
        </w:rPr>
        <w:t xml:space="preserve"> </w:t>
      </w:r>
    </w:p>
    <w:p w14:paraId="348699E8" w14:textId="77777777" w:rsidR="004C1001" w:rsidRPr="00760BB3" w:rsidRDefault="004C1001" w:rsidP="00760BB3">
      <w:pPr>
        <w:spacing w:line="300" w:lineRule="auto"/>
        <w:jc w:val="both"/>
        <w:rPr>
          <w:sz w:val="22"/>
          <w:szCs w:val="22"/>
        </w:rPr>
      </w:pPr>
    </w:p>
    <w:p w14:paraId="72C13582" w14:textId="77777777" w:rsidR="003B4CB3" w:rsidRPr="00760BB3" w:rsidRDefault="00FF1842" w:rsidP="001E5DD9">
      <w:pPr>
        <w:pStyle w:val="Ttulo5"/>
        <w:pageBreakBefore/>
        <w:spacing w:line="300" w:lineRule="auto"/>
        <w:ind w:left="0"/>
        <w:jc w:val="both"/>
        <w:rPr>
          <w:rFonts w:ascii="Times New Roman" w:hAnsi="Times New Roman"/>
          <w:sz w:val="22"/>
          <w:szCs w:val="22"/>
          <w:lang w:val="pt-BR"/>
        </w:rPr>
      </w:pPr>
      <w:bookmarkStart w:id="15" w:name="_Toc522079149"/>
      <w:bookmarkEnd w:id="13"/>
      <w:r w:rsidRPr="00760BB3">
        <w:rPr>
          <w:rFonts w:ascii="Times New Roman" w:hAnsi="Times New Roman"/>
          <w:sz w:val="22"/>
          <w:szCs w:val="22"/>
          <w:lang w:val="pt-BR"/>
        </w:rPr>
        <w:lastRenderedPageBreak/>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68D05616"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97EF6A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 xml:space="preserve">Para os fins do disposto no item 3.1.1. acima, sempre que forem emitidas Novas Quotas pela Sociedade, fica </w:t>
      </w:r>
      <w:r w:rsidR="008F2EE3">
        <w:rPr>
          <w:sz w:val="22"/>
          <w:szCs w:val="22"/>
        </w:rPr>
        <w:t>o</w:t>
      </w:r>
      <w:r w:rsidR="008F2EE3" w:rsidRPr="00760BB3">
        <w:rPr>
          <w:sz w:val="22"/>
          <w:szCs w:val="22"/>
        </w:rPr>
        <w:t xml:space="preserve"> Fiduciante </w:t>
      </w:r>
      <w:r w:rsidR="00462555" w:rsidRPr="00760BB3">
        <w:rPr>
          <w:sz w:val="22"/>
          <w:szCs w:val="22"/>
        </w:rPr>
        <w:t>obrigad</w:t>
      </w:r>
      <w:r w:rsidR="00F869FD">
        <w:rPr>
          <w:sz w:val="22"/>
          <w:szCs w:val="22"/>
        </w:rPr>
        <w:t>o</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 participaç</w:t>
      </w:r>
      <w:r w:rsidR="00571075">
        <w:rPr>
          <w:sz w:val="22"/>
          <w:szCs w:val="22"/>
        </w:rPr>
        <w:t>ão</w:t>
      </w:r>
      <w:r w:rsidR="008F2EE3">
        <w:rPr>
          <w:sz w:val="22"/>
          <w:szCs w:val="22"/>
        </w:rPr>
        <w:t xml:space="preserve"> societária,</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w:t>
      </w:r>
      <w:r w:rsidR="008F2EE3" w:rsidRPr="00760BB3">
        <w:rPr>
          <w:sz w:val="22"/>
          <w:szCs w:val="22"/>
        </w:rPr>
        <w:t xml:space="preserve"> Fiduciante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420E137F"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34ADAAAA"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AC5532" w:rsidRPr="00AD2D74">
        <w:rPr>
          <w:rFonts w:ascii="Times New Roman" w:hAnsi="Times New Roman"/>
          <w:b w:val="0"/>
          <w:sz w:val="22"/>
          <w:szCs w:val="22"/>
          <w:highlight w:val="yellow"/>
        </w:rPr>
        <w:t xml:space="preserve"> </w:t>
      </w:r>
      <w:r w:rsidR="00AC5532" w:rsidRPr="003264A5">
        <w:rPr>
          <w:rFonts w:ascii="Times New Roman" w:hAnsi="Times New Roman"/>
          <w:b w:val="0"/>
          <w:sz w:val="22"/>
          <w:szCs w:val="22"/>
        </w:rPr>
        <w:t>4.619.</w:t>
      </w:r>
      <w:r w:rsidR="006B4EAC" w:rsidRPr="003264A5">
        <w:rPr>
          <w:rFonts w:ascii="Times New Roman" w:hAnsi="Times New Roman"/>
          <w:b w:val="0"/>
          <w:sz w:val="22"/>
          <w:szCs w:val="22"/>
        </w:rPr>
        <w:t>135,00 (quatro milhões seiscentos e dezenove mil cento e trinta e cinco reais)</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r w:rsidR="00AC5532">
        <w:rPr>
          <w:rFonts w:ascii="Times New Roman" w:hAnsi="Times New Roman"/>
          <w:b w:val="0"/>
          <w:sz w:val="22"/>
          <w:szCs w:val="22"/>
        </w:rPr>
        <w:t xml:space="preserve"> </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39C4A7B0"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 </w:t>
      </w:r>
      <w:r>
        <w:rPr>
          <w:rFonts w:ascii="Times New Roman" w:hAnsi="Times New Roman"/>
          <w:b w:val="0"/>
          <w:iCs/>
          <w:sz w:val="22"/>
          <w:szCs w:val="22"/>
        </w:rPr>
        <w:t xml:space="preserve">Fiduciante se </w:t>
      </w:r>
      <w:r w:rsidR="00D62996">
        <w:rPr>
          <w:rFonts w:ascii="Times New Roman" w:hAnsi="Times New Roman"/>
          <w:b w:val="0"/>
          <w:iCs/>
          <w:sz w:val="22"/>
          <w:szCs w:val="22"/>
        </w:rPr>
        <w:t>obriga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E281CBF"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w:t>
      </w:r>
      <w:r w:rsidR="00B67926" w:rsidRPr="00760BB3">
        <w:rPr>
          <w:sz w:val="22"/>
          <w:szCs w:val="22"/>
        </w:rPr>
        <w:t xml:space="preserve"> </w:t>
      </w:r>
      <w:r w:rsidRPr="00760BB3">
        <w:rPr>
          <w:sz w:val="22"/>
          <w:szCs w:val="22"/>
        </w:rPr>
        <w:t>Fiduciante,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083252E8" w14:textId="68CD5C9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w:t>
      </w:r>
      <w:r w:rsidR="00B67926" w:rsidRPr="00760BB3">
        <w:rPr>
          <w:sz w:val="22"/>
          <w:szCs w:val="22"/>
        </w:rPr>
        <w:t xml:space="preserve"> </w:t>
      </w:r>
      <w:r w:rsidR="00F06B23" w:rsidRPr="00760BB3">
        <w:rPr>
          <w:sz w:val="22"/>
          <w:szCs w:val="22"/>
        </w:rPr>
        <w:t>Fiduciante</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w:t>
      </w:r>
      <w:r w:rsidR="00B67926" w:rsidRPr="00760BB3">
        <w:rPr>
          <w:sz w:val="22"/>
          <w:szCs w:val="22"/>
        </w:rPr>
        <w:t xml:space="preserve"> </w:t>
      </w:r>
      <w:r w:rsidR="008B26C2" w:rsidRPr="00760BB3">
        <w:rPr>
          <w:sz w:val="22"/>
          <w:szCs w:val="22"/>
        </w:rPr>
        <w:t>Fiduciante</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0EF38894" w:rsidR="003B4CB3" w:rsidRPr="00760BB3" w:rsidRDefault="00D96154" w:rsidP="005578E8">
      <w:pPr>
        <w:pStyle w:val="Corpodetexto2"/>
        <w:tabs>
          <w:tab w:val="left" w:pos="709"/>
          <w:tab w:val="left" w:pos="1418"/>
          <w:tab w:val="left" w:pos="2127"/>
          <w:tab w:val="left" w:pos="2836"/>
          <w:tab w:val="left" w:pos="3545"/>
          <w:tab w:val="left" w:pos="4254"/>
          <w:tab w:val="left" w:pos="4963"/>
          <w:tab w:val="left" w:pos="7275"/>
        </w:tabs>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1727A2" w:rsidRPr="00760BB3">
        <w:rPr>
          <w:rFonts w:ascii="Times New Roman" w:hAnsi="Times New Roman"/>
          <w:b w:val="0"/>
          <w:sz w:val="22"/>
          <w:szCs w:val="22"/>
        </w:rPr>
        <w:t xml:space="preserve"> e garante</w:t>
      </w:r>
      <w:r w:rsidR="00FF1842" w:rsidRPr="00760BB3">
        <w:rPr>
          <w:rFonts w:ascii="Times New Roman" w:hAnsi="Times New Roman"/>
          <w:b w:val="0"/>
          <w:sz w:val="22"/>
          <w:szCs w:val="22"/>
        </w:rPr>
        <w:t xml:space="preserve"> ainda que:</w:t>
      </w:r>
      <w:r w:rsidR="00BC09C8">
        <w:rPr>
          <w:rFonts w:ascii="Times New Roman" w:hAnsi="Times New Roman"/>
          <w:b w:val="0"/>
          <w:sz w:val="22"/>
          <w:szCs w:val="22"/>
        </w:rPr>
        <w:tab/>
      </w:r>
      <w:r w:rsidR="00BC09C8">
        <w:rPr>
          <w:rFonts w:ascii="Times New Roman" w:hAnsi="Times New Roman"/>
          <w:b w:val="0"/>
          <w:sz w:val="22"/>
          <w:szCs w:val="22"/>
        </w:rPr>
        <w:tab/>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64CBB813"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123297">
        <w:rPr>
          <w:rFonts w:ascii="Times New Roman" w:hAnsi="Times New Roman"/>
          <w:b w:val="0"/>
          <w:sz w:val="22"/>
          <w:szCs w:val="22"/>
        </w:rPr>
        <w:t>o</w:t>
      </w:r>
      <w:r w:rsidR="00123297" w:rsidRPr="00237FCD">
        <w:rPr>
          <w:rFonts w:ascii="Times New Roman" w:hAnsi="Times New Roman"/>
          <w:b w:val="0"/>
          <w:sz w:val="22"/>
          <w:szCs w:val="22"/>
        </w:rPr>
        <w:t xml:space="preserve"> </w:t>
      </w:r>
      <w:r w:rsidR="00A16F47" w:rsidRPr="00237FCD">
        <w:rPr>
          <w:rFonts w:ascii="Times New Roman" w:hAnsi="Times New Roman"/>
          <w:b w:val="0"/>
          <w:sz w:val="22"/>
          <w:szCs w:val="22"/>
        </w:rPr>
        <w:t>Fiduciante declara, desde já, sob as penas da legislação aplicável: (i) aprova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xml:space="preserve">) as Quotas e os Direitos são de sua exclusiva titularidade, podendo dispor, alienar sob qualquer forma ou, ainda, oferecer em </w:t>
      </w:r>
      <w:r w:rsidR="00A16F47" w:rsidRPr="00237FCD">
        <w:rPr>
          <w:rFonts w:ascii="Times New Roman" w:hAnsi="Times New Roman"/>
          <w:b w:val="0"/>
          <w:sz w:val="22"/>
          <w:szCs w:val="22"/>
        </w:rPr>
        <w:lastRenderedPageBreak/>
        <w:t>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 Fiduciante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3793B31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7F94EAA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p>
    <w:bookmarkEnd w:id="15"/>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434EE15"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C51FFC" w:rsidRPr="00760BB3">
        <w:rPr>
          <w:rFonts w:ascii="Times New Roman" w:hAnsi="Times New Roman"/>
          <w:b w:val="0"/>
          <w:sz w:val="22"/>
          <w:szCs w:val="22"/>
        </w:rPr>
        <w:t xml:space="preserve"> </w:t>
      </w:r>
      <w:r w:rsidR="0091118C">
        <w:rPr>
          <w:rFonts w:ascii="Times New Roman" w:hAnsi="Times New Roman"/>
          <w:b w:val="0"/>
          <w:sz w:val="22"/>
          <w:szCs w:val="22"/>
        </w:rPr>
        <w:t>é</w:t>
      </w:r>
      <w:r w:rsidR="0091118C" w:rsidRPr="00760BB3">
        <w:rPr>
          <w:rFonts w:ascii="Times New Roman" w:hAnsi="Times New Roman"/>
          <w:b w:val="0"/>
          <w:sz w:val="22"/>
          <w:szCs w:val="22"/>
        </w:rPr>
        <w:t xml:space="preserve"> responsáve</w:t>
      </w:r>
      <w:r w:rsidR="0091118C">
        <w:rPr>
          <w:rFonts w:ascii="Times New Roman" w:hAnsi="Times New Roman"/>
          <w:b w:val="0"/>
          <w:sz w:val="22"/>
          <w:szCs w:val="22"/>
        </w:rPr>
        <w:t>l</w:t>
      </w:r>
      <w:r w:rsidR="0091118C"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2EF78302"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8A7C42" w:rsidRPr="00760BB3">
        <w:rPr>
          <w:rFonts w:ascii="Times New Roman" w:hAnsi="Times New Roman"/>
          <w:b w:val="0"/>
          <w:sz w:val="22"/>
          <w:szCs w:val="22"/>
        </w:rPr>
        <w:t xml:space="preserve"> </w:t>
      </w:r>
      <w:r w:rsidR="0091118C" w:rsidRPr="00760BB3">
        <w:rPr>
          <w:rFonts w:ascii="Times New Roman" w:hAnsi="Times New Roman"/>
          <w:b w:val="0"/>
          <w:sz w:val="22"/>
          <w:szCs w:val="22"/>
        </w:rPr>
        <w:t>indenizar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91118C" w:rsidRPr="00760BB3">
        <w:rPr>
          <w:rFonts w:ascii="Times New Roman" w:hAnsi="Times New Roman"/>
          <w:b w:val="0"/>
          <w:sz w:val="22"/>
          <w:szCs w:val="22"/>
        </w:rPr>
        <w:t>reembolsar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w:t>
      </w:r>
      <w:r w:rsidR="009D3D84" w:rsidRPr="00760BB3">
        <w:rPr>
          <w:rFonts w:ascii="Times New Roman" w:hAnsi="Times New Roman"/>
          <w:b w:val="0"/>
          <w:sz w:val="22"/>
          <w:szCs w:val="22"/>
        </w:rPr>
        <w:t>manter</w:t>
      </w:r>
      <w:r w:rsidR="009D3D84">
        <w:rPr>
          <w:rFonts w:ascii="Times New Roman" w:hAnsi="Times New Roman"/>
          <w:b w:val="0"/>
          <w:sz w:val="22"/>
          <w:szCs w:val="22"/>
        </w:rPr>
        <w:t>á</w:t>
      </w:r>
      <w:r w:rsidR="009D3D84" w:rsidRPr="00760BB3">
        <w:rPr>
          <w:rFonts w:ascii="Times New Roman" w:hAnsi="Times New Roman"/>
          <w:b w:val="0"/>
          <w:sz w:val="22"/>
          <w:szCs w:val="22"/>
        </w:rPr>
        <w:t xml:space="preserve"> </w:t>
      </w:r>
      <w:r w:rsidR="00470896" w:rsidRPr="00760BB3">
        <w:rPr>
          <w:rFonts w:ascii="Times New Roman" w:hAnsi="Times New Roman"/>
          <w:b w:val="0"/>
          <w:sz w:val="22"/>
          <w:szCs w:val="22"/>
        </w:rPr>
        <w:t>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1E39E3D5"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w:t>
      </w:r>
      <w:r w:rsidR="00320068" w:rsidRPr="00760BB3">
        <w:rPr>
          <w:sz w:val="22"/>
          <w:szCs w:val="22"/>
        </w:rPr>
        <w:t xml:space="preserve"> </w:t>
      </w:r>
      <w:r w:rsidRPr="00760BB3">
        <w:rPr>
          <w:sz w:val="22"/>
          <w:szCs w:val="22"/>
        </w:rPr>
        <w:t>Fiduciante se obriga</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 xml:space="preserve">conforme </w:t>
      </w:r>
      <w:r w:rsidR="004221B2" w:rsidRPr="00760BB3">
        <w:rPr>
          <w:sz w:val="22"/>
          <w:szCs w:val="22"/>
        </w:rPr>
        <w:lastRenderedPageBreak/>
        <w:t>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6" w:name="_Hlk72083983"/>
      <w:r w:rsidR="00D21A36" w:rsidRPr="00760BB3">
        <w:rPr>
          <w:sz w:val="22"/>
          <w:szCs w:val="22"/>
        </w:rPr>
        <w:t xml:space="preserve">Contrato </w:t>
      </w:r>
      <w:r w:rsidR="00A8557C" w:rsidRPr="00760BB3">
        <w:rPr>
          <w:sz w:val="22"/>
          <w:szCs w:val="22"/>
        </w:rPr>
        <w:t>de Alienação Fiduciária de Quotas</w:t>
      </w:r>
      <w:bookmarkEnd w:id="16"/>
      <w:r w:rsidR="00A8557C" w:rsidRPr="00760BB3">
        <w:rPr>
          <w:sz w:val="22"/>
          <w:szCs w:val="22"/>
        </w:rPr>
        <w:t xml:space="preserve"> </w:t>
      </w:r>
      <w:bookmarkStart w:id="17"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sidRPr="003264A5">
        <w:rPr>
          <w:sz w:val="22"/>
          <w:szCs w:val="22"/>
        </w:rPr>
        <w:t>Cumari</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7"/>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29CFE5A0"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18" w:name="_Hlk72084772"/>
      <w:r w:rsidR="00C221E7" w:rsidRPr="00760BB3">
        <w:rPr>
          <w:sz w:val="22"/>
          <w:szCs w:val="22"/>
        </w:rPr>
        <w:t>O</w:t>
      </w:r>
      <w:r w:rsidR="003D7F4D" w:rsidRPr="00760BB3">
        <w:rPr>
          <w:sz w:val="22"/>
          <w:szCs w:val="22"/>
        </w:rPr>
        <w:t xml:space="preserve"> Fiduciante se obriga,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18"/>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4EF5DFFE"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53FE8">
        <w:rPr>
          <w:i/>
          <w:sz w:val="22"/>
          <w:szCs w:val="22"/>
          <w:lang w:val="pt-PT"/>
        </w:rPr>
        <w:t>2</w:t>
      </w:r>
      <w:r w:rsidR="001511A7">
        <w:rPr>
          <w:i/>
          <w:sz w:val="22"/>
          <w:szCs w:val="22"/>
          <w:lang w:val="pt-PT"/>
        </w:rPr>
        <w:t>7</w:t>
      </w:r>
      <w:r w:rsidR="00153FE8">
        <w:rPr>
          <w:i/>
          <w:sz w:val="22"/>
          <w:szCs w:val="22"/>
          <w:lang w:val="pt-PT"/>
        </w:rPr>
        <w:t xml:space="preserve"> de julho</w:t>
      </w:r>
      <w:r w:rsidR="001B2F4B">
        <w:rPr>
          <w:i/>
          <w:sz w:val="22"/>
          <w:szCs w:val="22"/>
          <w:lang w:val="pt-PT"/>
        </w:rPr>
        <w:t xml:space="preserve">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 xml:space="preserve">VIRGO COMPANHIA DE SECURITIZAÇÃO, sociedade </w:t>
      </w:r>
      <w:r w:rsidR="002C7488">
        <w:rPr>
          <w:i/>
          <w:sz w:val="22"/>
          <w:szCs w:val="22"/>
        </w:rPr>
        <w:t>por ações</w:t>
      </w:r>
      <w:r w:rsidR="00C4570B" w:rsidRPr="00C4570B">
        <w:rPr>
          <w:i/>
          <w:sz w:val="22"/>
          <w:szCs w:val="22"/>
        </w:rPr>
        <w:t>,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1B0D00">
        <w:rPr>
          <w:i/>
          <w:sz w:val="22"/>
          <w:szCs w:val="22"/>
          <w:lang w:val="pt-PT"/>
        </w:rPr>
        <w:t xml:space="preserve">e Welt Energia Ltda., inscrita no CNPJ/ME sob o nº </w:t>
      </w:r>
      <w:r w:rsidR="00D31C46">
        <w:rPr>
          <w:sz w:val="22"/>
          <w:szCs w:val="22"/>
        </w:rPr>
        <w:t>19</w:t>
      </w:r>
      <w:r w:rsidR="00D31C46" w:rsidRPr="00E244BD">
        <w:rPr>
          <w:sz w:val="22"/>
          <w:szCs w:val="22"/>
        </w:rPr>
        <w:t>.</w:t>
      </w:r>
      <w:r w:rsidR="00D31C46">
        <w:rPr>
          <w:sz w:val="22"/>
          <w:szCs w:val="22"/>
        </w:rPr>
        <w:t>696</w:t>
      </w:r>
      <w:r w:rsidR="00D31C46" w:rsidRPr="00E244BD">
        <w:rPr>
          <w:sz w:val="22"/>
          <w:szCs w:val="22"/>
        </w:rPr>
        <w:t>.</w:t>
      </w:r>
      <w:r w:rsidR="00D31C46">
        <w:rPr>
          <w:sz w:val="22"/>
          <w:szCs w:val="22"/>
        </w:rPr>
        <w:t>542</w:t>
      </w:r>
      <w:r w:rsidR="00D31C46" w:rsidRPr="00E244BD">
        <w:rPr>
          <w:sz w:val="22"/>
          <w:szCs w:val="22"/>
        </w:rPr>
        <w:t>/0001-</w:t>
      </w:r>
      <w:r w:rsidR="00D31C46">
        <w:rPr>
          <w:sz w:val="22"/>
          <w:szCs w:val="22"/>
        </w:rPr>
        <w:t>79 (</w:t>
      </w:r>
      <w:r w:rsidR="00C171ED">
        <w:rPr>
          <w:sz w:val="22"/>
          <w:szCs w:val="22"/>
        </w:rPr>
        <w:t>“</w:t>
      </w:r>
      <w:r w:rsidR="00C171ED" w:rsidRPr="00E90970">
        <w:rPr>
          <w:sz w:val="22"/>
          <w:szCs w:val="22"/>
          <w:u w:val="single"/>
        </w:rPr>
        <w:t>Fiduciante</w:t>
      </w:r>
      <w:r w:rsidR="00C171ED">
        <w:rPr>
          <w:sz w:val="22"/>
          <w:szCs w:val="22"/>
        </w:rPr>
        <w:t>”</w:t>
      </w:r>
      <w:r w:rsidR="00961F18">
        <w:rPr>
          <w:sz w:val="22"/>
          <w:szCs w:val="22"/>
        </w:rPr>
        <w:t xml:space="preserve"> ou “</w:t>
      </w:r>
      <w:r w:rsidR="00961F18" w:rsidRPr="005578E8">
        <w:rPr>
          <w:sz w:val="22"/>
          <w:szCs w:val="22"/>
          <w:u w:val="single"/>
        </w:rPr>
        <w:t>Welt</w:t>
      </w:r>
      <w:r w:rsidR="00961F18">
        <w:rPr>
          <w:sz w:val="22"/>
          <w:szCs w:val="22"/>
        </w:rPr>
        <w:t>”</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961F18">
        <w:rPr>
          <w:i/>
          <w:sz w:val="22"/>
          <w:szCs w:val="22"/>
          <w:lang w:val="pt-PT"/>
        </w:rPr>
        <w:t>da Welt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961F18">
        <w:rPr>
          <w:i/>
          <w:sz w:val="22"/>
          <w:szCs w:val="22"/>
          <w:lang w:val="pt-PT"/>
        </w:rPr>
        <w:t>da Welt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961F18">
        <w:rPr>
          <w:i/>
          <w:sz w:val="22"/>
          <w:szCs w:val="22"/>
          <w:lang w:val="pt-PT"/>
        </w:rPr>
        <w:t>da Welt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1ADEA044"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w:t>
      </w:r>
      <w:r w:rsidR="002E640B" w:rsidRPr="00760BB3">
        <w:rPr>
          <w:sz w:val="22"/>
          <w:szCs w:val="22"/>
        </w:rPr>
        <w:t xml:space="preserve"> </w:t>
      </w:r>
      <w:r w:rsidR="006D49D8" w:rsidRPr="00760BB3">
        <w:rPr>
          <w:sz w:val="22"/>
          <w:szCs w:val="22"/>
        </w:rPr>
        <w:t>Fiduciante</w:t>
      </w:r>
      <w:r w:rsidR="00201D12">
        <w:rPr>
          <w:sz w:val="22"/>
          <w:szCs w:val="22"/>
        </w:rPr>
        <w:t xml:space="preserve"> e/ou da Sociedade</w:t>
      </w:r>
      <w:r w:rsidR="006D49D8" w:rsidRPr="00760BB3">
        <w:rPr>
          <w:sz w:val="22"/>
          <w:szCs w:val="22"/>
        </w:rPr>
        <w:t xml:space="preserve">. </w:t>
      </w:r>
      <w:r w:rsidR="002E640B">
        <w:rPr>
          <w:sz w:val="22"/>
          <w:szCs w:val="22"/>
        </w:rPr>
        <w:t>O</w:t>
      </w:r>
      <w:r w:rsidR="002E640B" w:rsidRPr="00760BB3">
        <w:rPr>
          <w:sz w:val="22"/>
          <w:szCs w:val="22"/>
        </w:rPr>
        <w:t xml:space="preserve"> </w:t>
      </w:r>
      <w:r w:rsidRPr="00760BB3">
        <w:rPr>
          <w:sz w:val="22"/>
          <w:szCs w:val="22"/>
        </w:rPr>
        <w:t xml:space="preserve">Fiduciante </w:t>
      </w:r>
      <w:r w:rsidR="00CE1BEC" w:rsidRPr="00760BB3">
        <w:rPr>
          <w:sz w:val="22"/>
          <w:szCs w:val="22"/>
        </w:rPr>
        <w:t>dever</w:t>
      </w:r>
      <w:r w:rsidR="00CE1BEC">
        <w:rPr>
          <w:sz w:val="22"/>
          <w:szCs w:val="22"/>
        </w:rPr>
        <w:t>á</w:t>
      </w:r>
      <w:r w:rsidR="00CE1BEC"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w:t>
      </w:r>
      <w:r w:rsidR="0061584A" w:rsidRPr="00760BB3">
        <w:rPr>
          <w:sz w:val="22"/>
          <w:szCs w:val="22"/>
        </w:rPr>
        <w:lastRenderedPageBreak/>
        <w:t xml:space="preserve">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2CDA8DE0"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 Fiduciante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3D421E4D"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w:t>
      </w:r>
      <w:r w:rsidR="00797D2E" w:rsidRPr="00760BB3">
        <w:rPr>
          <w:sz w:val="22"/>
          <w:szCs w:val="22"/>
        </w:rPr>
        <w:t xml:space="preserve"> </w:t>
      </w:r>
      <w:r w:rsidR="00C64120" w:rsidRPr="00760BB3">
        <w:rPr>
          <w:sz w:val="22"/>
          <w:szCs w:val="22"/>
        </w:rPr>
        <w:t xml:space="preserve">Fiduciante </w:t>
      </w:r>
      <w:r w:rsidR="00CE1BEC" w:rsidRPr="00760BB3">
        <w:rPr>
          <w:sz w:val="22"/>
          <w:szCs w:val="22"/>
        </w:rPr>
        <w:t>poder</w:t>
      </w:r>
      <w:r w:rsidR="00CE1BEC">
        <w:rPr>
          <w:sz w:val="22"/>
          <w:szCs w:val="22"/>
        </w:rPr>
        <w:t>á</w:t>
      </w:r>
      <w:r w:rsidR="00CE1BEC"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w:t>
      </w:r>
      <w:r w:rsidR="00797D2E" w:rsidRPr="00760BB3">
        <w:rPr>
          <w:sz w:val="22"/>
          <w:szCs w:val="22"/>
        </w:rPr>
        <w:t xml:space="preserve"> </w:t>
      </w:r>
      <w:r w:rsidR="00AF5D78" w:rsidRPr="00760BB3">
        <w:rPr>
          <w:sz w:val="22"/>
          <w:szCs w:val="22"/>
        </w:rPr>
        <w:t>Fiduciante obriga-se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5C98A46E"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w:t>
      </w:r>
      <w:r w:rsidR="00022781" w:rsidRPr="0031579E">
        <w:rPr>
          <w:sz w:val="22"/>
          <w:szCs w:val="22"/>
        </w:rPr>
        <w:t xml:space="preserve"> </w:t>
      </w:r>
      <w:r w:rsidRPr="0031579E">
        <w:rPr>
          <w:sz w:val="22"/>
          <w:szCs w:val="22"/>
        </w:rPr>
        <w:t>Fiduciante,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2F496BA7"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4A21B447" w:rsidR="004017F8" w:rsidRDefault="0029200A" w:rsidP="00316E38">
      <w:pPr>
        <w:pStyle w:val="PargrafodaLista"/>
        <w:numPr>
          <w:ilvl w:val="1"/>
          <w:numId w:val="51"/>
        </w:numPr>
        <w:tabs>
          <w:tab w:val="left" w:pos="567"/>
        </w:tabs>
        <w:spacing w:line="300" w:lineRule="auto"/>
        <w:ind w:left="567" w:hanging="567"/>
        <w:jc w:val="both"/>
        <w:rPr>
          <w:sz w:val="22"/>
          <w:szCs w:val="22"/>
        </w:rPr>
      </w:pPr>
      <w:r>
        <w:rPr>
          <w:sz w:val="22"/>
          <w:szCs w:val="22"/>
        </w:rPr>
        <w:lastRenderedPageBreak/>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73577C0D" w14:textId="12036DB3" w:rsidR="00710F07" w:rsidRDefault="00710F07" w:rsidP="00710F07">
      <w:pPr>
        <w:pStyle w:val="PargrafodaLista"/>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PargrafodaLista"/>
        <w:rPr>
          <w:sz w:val="22"/>
          <w:szCs w:val="22"/>
        </w:rPr>
      </w:pPr>
    </w:p>
    <w:p w14:paraId="038C18EE" w14:textId="150CD938"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 Fiduciante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450F3694"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74F951A" w:rsidR="00843037" w:rsidRDefault="00BE7FB1"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PargrafodaLista"/>
        <w:numPr>
          <w:ilvl w:val="1"/>
          <w:numId w:val="51"/>
        </w:numPr>
        <w:tabs>
          <w:tab w:val="left" w:pos="567"/>
        </w:tabs>
        <w:spacing w:line="300" w:lineRule="auto"/>
        <w:ind w:left="567" w:hanging="567"/>
        <w:jc w:val="both"/>
        <w:rPr>
          <w:sz w:val="22"/>
          <w:szCs w:val="22"/>
        </w:rPr>
      </w:pPr>
      <w:r>
        <w:rPr>
          <w:sz w:val="22"/>
          <w:szCs w:val="22"/>
        </w:rPr>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de ativos, inclusive 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PargrafodaLista"/>
        <w:rPr>
          <w:sz w:val="22"/>
          <w:szCs w:val="22"/>
        </w:rPr>
      </w:pPr>
    </w:p>
    <w:p w14:paraId="3B6D48EB" w14:textId="44BC1449"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lastRenderedPageBreak/>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PargrafodaLista"/>
        <w:rPr>
          <w:sz w:val="22"/>
          <w:szCs w:val="22"/>
        </w:rPr>
      </w:pPr>
    </w:p>
    <w:p w14:paraId="7E622919" w14:textId="19802672" w:rsidR="00C73DF4" w:rsidRDefault="00C73DF4" w:rsidP="00C73DF4">
      <w:pPr>
        <w:pStyle w:val="PargrafodaLista"/>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PargrafodaLista"/>
        <w:tabs>
          <w:tab w:val="left" w:pos="567"/>
        </w:tabs>
        <w:spacing w:line="300" w:lineRule="auto"/>
        <w:ind w:left="567"/>
        <w:jc w:val="both"/>
        <w:rPr>
          <w:sz w:val="22"/>
          <w:szCs w:val="22"/>
        </w:rPr>
      </w:pPr>
    </w:p>
    <w:p w14:paraId="338F6286" w14:textId="77777777" w:rsidR="00C73DF4" w:rsidRPr="00C73DF4" w:rsidRDefault="00C73DF4" w:rsidP="00635A1F">
      <w:pPr>
        <w:pStyle w:val="PargrafodaLista"/>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PargrafodaLista"/>
        <w:tabs>
          <w:tab w:val="left" w:pos="567"/>
        </w:tabs>
        <w:spacing w:line="300" w:lineRule="auto"/>
        <w:ind w:left="567"/>
        <w:jc w:val="both"/>
        <w:rPr>
          <w:sz w:val="22"/>
          <w:szCs w:val="22"/>
        </w:rPr>
      </w:pPr>
    </w:p>
    <w:p w14:paraId="7E631B3E" w14:textId="0F238CB3" w:rsidR="00C73DF4" w:rsidRPr="00C73DF4" w:rsidRDefault="004A3781" w:rsidP="00C73DF4">
      <w:pPr>
        <w:pStyle w:val="PargrafodaLista"/>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635A1F">
      <w:pPr>
        <w:pStyle w:val="PargrafodaLista"/>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62D0854A" w:rsidR="00CC4BCE" w:rsidRDefault="005E4F87" w:rsidP="00635A1F">
      <w:pPr>
        <w:pStyle w:val="PargrafodaLista"/>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CFBA4BC"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7EA79927"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 </w:t>
      </w:r>
      <w:r w:rsidRPr="00760BB3">
        <w:rPr>
          <w:rFonts w:ascii="Times New Roman" w:hAnsi="Times New Roman"/>
          <w:b w:val="0"/>
          <w:sz w:val="22"/>
          <w:szCs w:val="22"/>
        </w:rPr>
        <w:t xml:space="preserve">Fiduciante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46D66DC0"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 </w:t>
      </w:r>
      <w:r w:rsidR="00033D16" w:rsidRPr="00760BB3">
        <w:rPr>
          <w:rFonts w:ascii="Times New Roman" w:hAnsi="Times New Roman"/>
          <w:b w:val="0"/>
          <w:sz w:val="22"/>
          <w:szCs w:val="22"/>
        </w:rPr>
        <w:t xml:space="preserve">Fiduciante se obriga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32D727B6"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Fiduciante não </w:t>
      </w:r>
      <w:r w:rsidR="004A1D76" w:rsidRPr="00852057">
        <w:rPr>
          <w:rFonts w:ascii="Times New Roman" w:hAnsi="Times New Roman"/>
          <w:b w:val="0"/>
          <w:sz w:val="22"/>
          <w:szCs w:val="22"/>
        </w:rPr>
        <w:t>poder</w:t>
      </w:r>
      <w:r w:rsidR="004A1D76">
        <w:rPr>
          <w:rFonts w:ascii="Times New Roman" w:hAnsi="Times New Roman"/>
          <w:b w:val="0"/>
          <w:sz w:val="22"/>
          <w:szCs w:val="22"/>
        </w:rPr>
        <w:t>á</w:t>
      </w:r>
      <w:r w:rsidRPr="00852057">
        <w:rPr>
          <w:rFonts w:ascii="Times New Roman" w:hAnsi="Times New Roman"/>
          <w:b w:val="0"/>
          <w:sz w:val="22"/>
          <w:szCs w:val="22"/>
        </w:rPr>
        <w:t xml:space="preserve">,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w:t>
      </w:r>
      <w:r w:rsidRPr="00852057">
        <w:rPr>
          <w:rFonts w:ascii="Times New Roman" w:hAnsi="Times New Roman"/>
          <w:b w:val="0"/>
          <w:sz w:val="22"/>
          <w:szCs w:val="22"/>
        </w:rPr>
        <w:lastRenderedPageBreak/>
        <w:t xml:space="preserve">titulares </w:t>
      </w:r>
      <w:r w:rsidR="00362A71">
        <w:rPr>
          <w:rFonts w:ascii="Times New Roman" w:hAnsi="Times New Roman"/>
          <w:b w:val="0"/>
          <w:sz w:val="22"/>
          <w:szCs w:val="22"/>
        </w:rPr>
        <w:t>dos CRI</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362A71">
        <w:rPr>
          <w:rFonts w:ascii="Times New Roman" w:hAnsi="Times New Roman"/>
          <w:b w:val="0"/>
          <w:sz w:val="22"/>
          <w:szCs w:val="22"/>
        </w:rPr>
        <w:t>Termo de Securitização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052CA65C"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70B979F5" w:rsidR="006B2328" w:rsidRDefault="006B2328" w:rsidP="00112374">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Corpodetexto2"/>
        <w:spacing w:line="300" w:lineRule="auto"/>
        <w:rPr>
          <w:rFonts w:ascii="Times New Roman" w:hAnsi="Times New Roman"/>
          <w:b w:val="0"/>
          <w:sz w:val="22"/>
          <w:szCs w:val="22"/>
        </w:rPr>
      </w:pPr>
    </w:p>
    <w:p w14:paraId="36663B91" w14:textId="77777777" w:rsidR="003B4CB3" w:rsidRPr="00760BB3" w:rsidRDefault="00FF1842" w:rsidP="00112374">
      <w:pPr>
        <w:pStyle w:val="Ttulo5"/>
        <w:spacing w:line="300" w:lineRule="auto"/>
        <w:ind w:left="0"/>
        <w:jc w:val="both"/>
        <w:rPr>
          <w:rFonts w:ascii="Times New Roman" w:hAnsi="Times New Roman"/>
          <w:sz w:val="22"/>
          <w:szCs w:val="22"/>
          <w:lang w:val="pt-BR"/>
        </w:rPr>
      </w:pPr>
      <w:bookmarkStart w:id="19"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48F20C5B"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w:t>
      </w:r>
      <w:r w:rsidR="00276F75" w:rsidRPr="001443FC">
        <w:rPr>
          <w:bCs/>
          <w:sz w:val="22"/>
          <w:szCs w:val="22"/>
        </w:rPr>
        <w:t xml:space="preserve"> </w:t>
      </w:r>
      <w:r w:rsidR="00432AE5" w:rsidRPr="001443FC">
        <w:rPr>
          <w:bCs/>
          <w:sz w:val="22"/>
          <w:szCs w:val="22"/>
        </w:rPr>
        <w:t>Fiduciante,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0171DC7A"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w:t>
      </w:r>
      <w:r w:rsidR="00276F75" w:rsidRPr="0031579E">
        <w:rPr>
          <w:bCs/>
          <w:sz w:val="22"/>
          <w:szCs w:val="22"/>
        </w:rPr>
        <w:t xml:space="preserve"> </w:t>
      </w:r>
      <w:r w:rsidR="00195E21" w:rsidRPr="0031579E">
        <w:rPr>
          <w:bCs/>
          <w:sz w:val="22"/>
          <w:szCs w:val="22"/>
        </w:rPr>
        <w:t xml:space="preserve">Fiduciante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w:t>
      </w:r>
      <w:r w:rsidR="00933807" w:rsidRPr="0031579E">
        <w:rPr>
          <w:bCs/>
          <w:sz w:val="22"/>
          <w:szCs w:val="22"/>
        </w:rPr>
        <w:t xml:space="preserve"> </w:t>
      </w:r>
      <w:r w:rsidR="00195E21" w:rsidRPr="0031579E">
        <w:rPr>
          <w:bCs/>
          <w:sz w:val="22"/>
          <w:szCs w:val="22"/>
        </w:rPr>
        <w:t>Fiduciante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61E56CC9"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w:t>
      </w:r>
      <w:r w:rsidR="00933807" w:rsidRPr="00760BB3">
        <w:rPr>
          <w:sz w:val="22"/>
          <w:szCs w:val="22"/>
        </w:rPr>
        <w:t xml:space="preserve"> </w:t>
      </w:r>
      <w:r w:rsidR="005D45F1" w:rsidRPr="00760BB3">
        <w:rPr>
          <w:sz w:val="22"/>
          <w:szCs w:val="22"/>
        </w:rPr>
        <w:t>Fiduciante,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6D61C120"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w:t>
      </w:r>
      <w:r w:rsidR="00933807" w:rsidRPr="00760BB3">
        <w:rPr>
          <w:sz w:val="22"/>
          <w:szCs w:val="22"/>
        </w:rPr>
        <w:t xml:space="preserve"> </w:t>
      </w:r>
      <w:r w:rsidR="00893866" w:rsidRPr="00760BB3">
        <w:rPr>
          <w:sz w:val="22"/>
          <w:szCs w:val="22"/>
        </w:rPr>
        <w:t xml:space="preserve">Fiduciante </w:t>
      </w:r>
      <w:r w:rsidR="00F108EA" w:rsidRPr="00760BB3">
        <w:rPr>
          <w:sz w:val="22"/>
          <w:szCs w:val="22"/>
        </w:rPr>
        <w:t xml:space="preserve">confere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 Fiduciante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 Fiduciante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 Fiduciante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w:t>
      </w:r>
      <w:r w:rsidR="00B67926" w:rsidRPr="00760BB3">
        <w:rPr>
          <w:sz w:val="22"/>
          <w:szCs w:val="22"/>
        </w:rPr>
        <w:t xml:space="preserve"> </w:t>
      </w:r>
      <w:r w:rsidR="00893866" w:rsidRPr="00760BB3">
        <w:rPr>
          <w:sz w:val="22"/>
          <w:szCs w:val="22"/>
        </w:rPr>
        <w:t xml:space="preserve">Fiduciante firma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13EF62DE"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 xml:space="preserve">a Sociedade e </w:t>
      </w:r>
      <w:r w:rsidR="00C27ADA">
        <w:rPr>
          <w:sz w:val="22"/>
          <w:szCs w:val="22"/>
        </w:rPr>
        <w:t>o</w:t>
      </w:r>
      <w:r w:rsidR="00422977" w:rsidRPr="00760BB3">
        <w:rPr>
          <w:sz w:val="22"/>
          <w:szCs w:val="22"/>
        </w:rPr>
        <w:t xml:space="preserve"> Fiduciante</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5A9D84FF"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lastRenderedPageBreak/>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513E20A1"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00C27ADA">
        <w:rPr>
          <w:sz w:val="22"/>
          <w:szCs w:val="22"/>
        </w:rPr>
        <w:t xml:space="preserve"> </w:t>
      </w:r>
      <w:r w:rsidRPr="00CE0315">
        <w:rPr>
          <w:sz w:val="22"/>
          <w:szCs w:val="22"/>
        </w:rPr>
        <w:t>Fiduciante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58AD7B5E"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 </w:t>
      </w:r>
      <w:r w:rsidRPr="00CE0315">
        <w:rPr>
          <w:sz w:val="22"/>
          <w:szCs w:val="22"/>
        </w:rPr>
        <w:t xml:space="preserve">Fiduciante, ou por terceiros em nome </w:t>
      </w:r>
      <w:r w:rsidR="00DC4E69" w:rsidRPr="00CE0315">
        <w:rPr>
          <w:sz w:val="22"/>
          <w:szCs w:val="22"/>
        </w:rPr>
        <w:t>d</w:t>
      </w:r>
      <w:r w:rsidR="00044FF8">
        <w:rPr>
          <w:sz w:val="22"/>
          <w:szCs w:val="22"/>
        </w:rPr>
        <w:t>o</w:t>
      </w:r>
      <w:r w:rsidR="00DC4E69" w:rsidRPr="00CE0315">
        <w:rPr>
          <w:sz w:val="22"/>
          <w:szCs w:val="22"/>
        </w:rPr>
        <w:t xml:space="preserve"> </w:t>
      </w:r>
      <w:r w:rsidRPr="00CE0315">
        <w:rPr>
          <w:sz w:val="22"/>
          <w:szCs w:val="22"/>
        </w:rPr>
        <w:t xml:space="preserve">Fiduciante, observadas as disposições do Contrato de Cessão </w:t>
      </w:r>
      <w:r w:rsidR="00044FF8">
        <w:rPr>
          <w:sz w:val="22"/>
          <w:szCs w:val="22"/>
        </w:rPr>
        <w:t>Fiduciár</w:t>
      </w:r>
      <w:r w:rsidR="00165CED">
        <w:rPr>
          <w:sz w:val="22"/>
          <w:szCs w:val="22"/>
        </w:rPr>
        <w:t xml:space="preserve">ia </w:t>
      </w:r>
      <w:r w:rsidRPr="00CE0315">
        <w:rPr>
          <w:sz w:val="22"/>
          <w:szCs w:val="22"/>
        </w:rPr>
        <w:t>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F763C43" w:rsidR="00EB3134" w:rsidRPr="005B63F5" w:rsidRDefault="00EB3134" w:rsidP="005B63F5">
      <w:pPr>
        <w:spacing w:line="300" w:lineRule="auto"/>
        <w:jc w:val="both"/>
        <w:rPr>
          <w:sz w:val="22"/>
          <w:szCs w:val="22"/>
        </w:rPr>
      </w:pPr>
      <w:bookmarkStart w:id="20"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w:t>
      </w:r>
      <w:r w:rsidR="00165CED">
        <w:rPr>
          <w:sz w:val="22"/>
          <w:szCs w:val="22"/>
        </w:rPr>
        <w:t>o</w:t>
      </w:r>
      <w:r w:rsidR="00165CED" w:rsidRPr="005B63F5">
        <w:rPr>
          <w:sz w:val="22"/>
          <w:szCs w:val="22"/>
        </w:rPr>
        <w:t xml:space="preserve"> </w:t>
      </w:r>
      <w:r w:rsidRPr="005B63F5">
        <w:rPr>
          <w:sz w:val="22"/>
          <w:szCs w:val="22"/>
        </w:rPr>
        <w:t xml:space="preserve">Fiduciante </w:t>
      </w:r>
      <w:r w:rsidR="00165CED" w:rsidRPr="005B63F5">
        <w:rPr>
          <w:sz w:val="22"/>
          <w:szCs w:val="22"/>
        </w:rPr>
        <w:t>ficar</w:t>
      </w:r>
      <w:r w:rsidR="00165CED">
        <w:rPr>
          <w:sz w:val="22"/>
          <w:szCs w:val="22"/>
        </w:rPr>
        <w:t>á</w:t>
      </w:r>
      <w:r w:rsidR="00165CED" w:rsidRPr="005B63F5">
        <w:rPr>
          <w:sz w:val="22"/>
          <w:szCs w:val="22"/>
        </w:rPr>
        <w:t xml:space="preserve"> obrigad</w:t>
      </w:r>
      <w:r w:rsidR="00165CED">
        <w:rPr>
          <w:sz w:val="22"/>
          <w:szCs w:val="22"/>
        </w:rPr>
        <w:t>o</w:t>
      </w:r>
      <w:r w:rsidR="00165CED" w:rsidRPr="005B63F5">
        <w:rPr>
          <w:sz w:val="22"/>
          <w:szCs w:val="22"/>
        </w:rPr>
        <w:t xml:space="preserve"> </w:t>
      </w:r>
      <w:r w:rsidRPr="005B63F5">
        <w:rPr>
          <w:sz w:val="22"/>
          <w:szCs w:val="22"/>
        </w:rPr>
        <w:t xml:space="preserve">a, mediante aviso ou notificação da Fiduciária, reforçá-la ou substituí-la, total ou parcialmente, por bens adicionais, sem qualquer ônus, no prazo de até 15 (quinze) Dias Úteis, </w:t>
      </w:r>
      <w:bookmarkStart w:id="21" w:name="_Hlk31933237"/>
      <w:r w:rsidRPr="005B63F5">
        <w:rPr>
          <w:sz w:val="22"/>
          <w:szCs w:val="22"/>
        </w:rPr>
        <w:t xml:space="preserve">os quais serão submetidos à deliberação </w:t>
      </w:r>
      <w:bookmarkEnd w:id="21"/>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0"/>
      <w:r w:rsidR="00860510">
        <w:rPr>
          <w:sz w:val="22"/>
          <w:szCs w:val="22"/>
        </w:rPr>
        <w:t xml:space="preserve"> </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desapropriação, confisco ou qualquer outra forma de perda do domínio dos bens objeto da 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7A039E1B"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 xml:space="preserve">Sem prejuízo do disposto acima, no caso de qualquer evento de Reforço e Complementação, </w:t>
      </w:r>
      <w:r w:rsidR="00123297">
        <w:rPr>
          <w:sz w:val="22"/>
          <w:szCs w:val="22"/>
        </w:rPr>
        <w:t>o</w:t>
      </w:r>
      <w:r w:rsidR="00123297" w:rsidRPr="005B63F5">
        <w:rPr>
          <w:sz w:val="22"/>
          <w:szCs w:val="22"/>
        </w:rPr>
        <w:t xml:space="preserve"> </w:t>
      </w:r>
      <w:r w:rsidRPr="005B63F5">
        <w:rPr>
          <w:sz w:val="22"/>
          <w:szCs w:val="22"/>
        </w:rPr>
        <w:t>Fiduciante, obriga-se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88060B">
      <w:pPr>
        <w:pStyle w:val="Recuonormal"/>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lastRenderedPageBreak/>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e </w:t>
      </w:r>
      <w:r w:rsidR="003B1D63" w:rsidRPr="00760BB3">
        <w:rPr>
          <w:rFonts w:ascii="Times New Roman" w:hAnsi="Times New Roman"/>
          <w:b w:val="0"/>
          <w:sz w:val="22"/>
          <w:szCs w:val="22"/>
          <w:lang w:val="pt-BR"/>
        </w:rPr>
        <w:t xml:space="preserve"> serão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7A8EF541"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 </w:t>
      </w:r>
      <w:r w:rsidR="001360D0" w:rsidRPr="00760BB3">
        <w:rPr>
          <w:rFonts w:ascii="Times New Roman" w:hAnsi="Times New Roman"/>
          <w:sz w:val="22"/>
          <w:szCs w:val="22"/>
          <w:lang w:val="pt-BR"/>
        </w:rPr>
        <w:t>Fiduciante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459A7F06"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w:t>
      </w:r>
      <w:r w:rsidR="000401C8" w:rsidRPr="00760BB3">
        <w:rPr>
          <w:sz w:val="22"/>
          <w:szCs w:val="22"/>
        </w:rPr>
        <w:t xml:space="preserve"> </w:t>
      </w:r>
      <w:r w:rsidR="00851C5A" w:rsidRPr="00760BB3">
        <w:rPr>
          <w:sz w:val="22"/>
          <w:szCs w:val="22"/>
        </w:rPr>
        <w:t xml:space="preserve">Fiduciante </w:t>
      </w:r>
      <w:r w:rsidR="007A68AD" w:rsidRPr="00760BB3">
        <w:rPr>
          <w:sz w:val="22"/>
          <w:szCs w:val="22"/>
        </w:rPr>
        <w:t>descumprir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w:t>
      </w:r>
      <w:r w:rsidR="00073B75" w:rsidRPr="00760BB3">
        <w:rPr>
          <w:sz w:val="22"/>
          <w:szCs w:val="22"/>
        </w:rPr>
        <w:t xml:space="preserve"> </w:t>
      </w:r>
      <w:r w:rsidR="00851C5A" w:rsidRPr="00760BB3">
        <w:rPr>
          <w:sz w:val="22"/>
          <w:szCs w:val="22"/>
        </w:rPr>
        <w:t>Fiduciante</w:t>
      </w:r>
      <w:r w:rsidR="007A68AD" w:rsidRPr="00760BB3">
        <w:rPr>
          <w:sz w:val="22"/>
          <w:szCs w:val="22"/>
        </w:rPr>
        <w:t xml:space="preserve"> </w:t>
      </w:r>
      <w:r w:rsidR="008427A3" w:rsidRPr="00760BB3">
        <w:rPr>
          <w:sz w:val="22"/>
          <w:szCs w:val="22"/>
        </w:rPr>
        <w:t>ficar</w:t>
      </w:r>
      <w:r w:rsidR="008427A3">
        <w:rPr>
          <w:sz w:val="22"/>
          <w:szCs w:val="22"/>
        </w:rPr>
        <w:t>á</w:t>
      </w:r>
      <w:r w:rsidR="008427A3" w:rsidRPr="00760BB3">
        <w:rPr>
          <w:sz w:val="22"/>
          <w:szCs w:val="22"/>
        </w:rPr>
        <w:t xml:space="preserve"> obrigad</w:t>
      </w:r>
      <w:r w:rsidR="008427A3">
        <w:rPr>
          <w:sz w:val="22"/>
          <w:szCs w:val="22"/>
        </w:rPr>
        <w:t>o</w:t>
      </w:r>
      <w:r w:rsidR="008427A3"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25D0BCF3"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w:t>
      </w:r>
      <w:r w:rsidRPr="00760BB3">
        <w:rPr>
          <w:rFonts w:ascii="Times New Roman" w:hAnsi="Times New Roman"/>
          <w:b w:val="0"/>
          <w:sz w:val="22"/>
          <w:szCs w:val="22"/>
        </w:rPr>
        <w:t xml:space="preserve"> </w:t>
      </w:r>
      <w:r w:rsidR="00EF0E8F" w:rsidRPr="00760BB3">
        <w:rPr>
          <w:rFonts w:ascii="Times New Roman" w:hAnsi="Times New Roman"/>
          <w:b w:val="0"/>
          <w:sz w:val="22"/>
          <w:szCs w:val="22"/>
        </w:rPr>
        <w:t xml:space="preserve">Fiduciante </w:t>
      </w:r>
      <w:r w:rsidR="008427A3">
        <w:rPr>
          <w:rFonts w:ascii="Times New Roman" w:hAnsi="Times New Roman"/>
          <w:b w:val="0"/>
          <w:sz w:val="22"/>
          <w:szCs w:val="22"/>
        </w:rPr>
        <w:t xml:space="preserve">à </w:t>
      </w:r>
      <w:r w:rsidR="001954A6">
        <w:rPr>
          <w:rFonts w:ascii="Times New Roman" w:hAnsi="Times New Roman"/>
          <w:b w:val="0"/>
          <w:sz w:val="22"/>
          <w:szCs w:val="22"/>
        </w:rPr>
        <w:t>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w:t>
      </w:r>
      <w:r w:rsidR="00894523" w:rsidRPr="00760BB3">
        <w:rPr>
          <w:sz w:val="22"/>
          <w:szCs w:val="22"/>
        </w:rPr>
        <w:lastRenderedPageBreak/>
        <w:t xml:space="preserve">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3368CEEA" w14:textId="5FEC1E8F" w:rsidR="00D71E97" w:rsidRPr="00E244BD" w:rsidRDefault="00D71E97" w:rsidP="00D71E97">
      <w:pPr>
        <w:pStyle w:val="NormalWeb"/>
        <w:spacing w:before="0" w:after="0" w:line="312" w:lineRule="auto"/>
        <w:ind w:left="993"/>
        <w:jc w:val="both"/>
        <w:rPr>
          <w:sz w:val="22"/>
          <w:szCs w:val="22"/>
        </w:rPr>
      </w:pPr>
      <w:bookmarkStart w:id="22" w:name="_Hlk54247941"/>
      <w:r>
        <w:rPr>
          <w:b/>
          <w:bCs/>
          <w:sz w:val="22"/>
          <w:szCs w:val="22"/>
        </w:rPr>
        <w:t>OUVIDOR ENERGIA LTDA</w:t>
      </w:r>
    </w:p>
    <w:p w14:paraId="56D6B4A2" w14:textId="5C70EEAA"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2668F878"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D8B29C0"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612B71F0"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16587A84"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p>
    <w:bookmarkEnd w:id="22"/>
    <w:p w14:paraId="00D6F86F" w14:textId="77777777" w:rsidR="0079406F" w:rsidRDefault="0079406F" w:rsidP="00760BB3">
      <w:pPr>
        <w:widowControl w:val="0"/>
        <w:spacing w:line="300" w:lineRule="auto"/>
        <w:ind w:left="567"/>
        <w:jc w:val="both"/>
        <w:rPr>
          <w:i/>
          <w:sz w:val="22"/>
          <w:szCs w:val="22"/>
          <w:u w:val="single"/>
        </w:rPr>
      </w:pPr>
    </w:p>
    <w:p w14:paraId="58E2E011" w14:textId="53ED857A"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23" w:name="_DV_M248"/>
      <w:bookmarkEnd w:id="23"/>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10141DF5"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w:t>
      </w:r>
      <w:r w:rsidRPr="00760BB3">
        <w:rPr>
          <w:sz w:val="22"/>
          <w:szCs w:val="22"/>
        </w:rPr>
        <w:t xml:space="preserve"> </w:t>
      </w:r>
      <w:r w:rsidR="000A5778" w:rsidRPr="00760BB3">
        <w:rPr>
          <w:sz w:val="22"/>
          <w:szCs w:val="22"/>
        </w:rPr>
        <w:t>Fiduciante</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lastRenderedPageBreak/>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347DA0A0"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w:t>
      </w:r>
      <w:r w:rsidRPr="00760BB3">
        <w:rPr>
          <w:sz w:val="22"/>
          <w:szCs w:val="22"/>
        </w:rPr>
        <w:t xml:space="preserve"> </w:t>
      </w:r>
      <w:r w:rsidR="00347346" w:rsidRPr="00760BB3">
        <w:rPr>
          <w:sz w:val="22"/>
          <w:szCs w:val="22"/>
        </w:rPr>
        <w:t>Fiduciante</w:t>
      </w:r>
      <w:r w:rsidR="00216A4F" w:rsidRPr="00760BB3">
        <w:rPr>
          <w:sz w:val="22"/>
          <w:szCs w:val="22"/>
        </w:rPr>
        <w:t xml:space="preserve"> responde</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08475DF7" w14:textId="0F81604C"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w:t>
      </w:r>
      <w:r w:rsidR="00580249">
        <w:rPr>
          <w:b/>
          <w:bCs/>
          <w:sz w:val="22"/>
          <w:szCs w:val="22"/>
        </w:rPr>
        <w:t>2</w:t>
      </w:r>
      <w:r w:rsidR="0039440C" w:rsidRPr="0024250F">
        <w:rPr>
          <w:b/>
          <w:bCs/>
          <w:sz w:val="22"/>
          <w:szCs w:val="22"/>
        </w:rPr>
        <w:t>.</w:t>
      </w:r>
      <w:r w:rsidR="0039440C" w:rsidRPr="0024250F">
        <w:rPr>
          <w:sz w:val="22"/>
          <w:szCs w:val="22"/>
        </w:rPr>
        <w:tab/>
      </w:r>
      <w:r w:rsidR="0039440C">
        <w:rPr>
          <w:sz w:val="22"/>
          <w:szCs w:val="22"/>
          <w:u w:val="single"/>
        </w:rPr>
        <w:t>Assinatura Eletrônica</w:t>
      </w:r>
      <w:r w:rsidR="0039440C">
        <w:rPr>
          <w:sz w:val="22"/>
          <w:szCs w:val="22"/>
        </w:rPr>
        <w:t xml:space="preserve">: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w:t>
      </w:r>
      <w:r w:rsidR="0039440C">
        <w:rPr>
          <w:sz w:val="22"/>
          <w:szCs w:val="22"/>
        </w:rPr>
        <w:lastRenderedPageBreak/>
        <w:t>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71580CE3"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580249">
        <w:rPr>
          <w:b/>
          <w:bCs/>
          <w:sz w:val="22"/>
          <w:szCs w:val="22"/>
        </w:rPr>
        <w:t>3</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9"/>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4" w:name="_DV_M242"/>
      <w:bookmarkStart w:id="25" w:name="_DV_M243"/>
      <w:bookmarkStart w:id="26" w:name="_DV_M244"/>
      <w:bookmarkStart w:id="27" w:name="_DV_M245"/>
      <w:bookmarkStart w:id="28" w:name="_DV_M246"/>
      <w:bookmarkStart w:id="29" w:name="_DV_M247"/>
      <w:bookmarkStart w:id="30" w:name="_DV_M249"/>
      <w:bookmarkStart w:id="31" w:name="_DV_M252"/>
      <w:bookmarkStart w:id="32" w:name="_DV_M253"/>
      <w:bookmarkStart w:id="33" w:name="_DV_M254"/>
      <w:bookmarkStart w:id="34" w:name="_DV_M255"/>
      <w:bookmarkStart w:id="35" w:name="_DV_M256"/>
      <w:bookmarkStart w:id="36" w:name="_DV_M257"/>
      <w:bookmarkStart w:id="37" w:name="_DV_M258"/>
      <w:bookmarkStart w:id="38" w:name="_DV_M259"/>
      <w:bookmarkStart w:id="39" w:name="_DV_M260"/>
      <w:bookmarkStart w:id="40" w:name="_DV_M261"/>
      <w:bookmarkStart w:id="41" w:name="_DV_M262"/>
      <w:bookmarkStart w:id="42" w:name="_DV_M263"/>
      <w:bookmarkStart w:id="43" w:name="_DV_M265"/>
      <w:bookmarkStart w:id="44" w:name="_DV_M266"/>
      <w:bookmarkStart w:id="45" w:name="_DV_M267"/>
      <w:bookmarkStart w:id="46" w:name="_DV_M268"/>
      <w:bookmarkStart w:id="47" w:name="_DV_M272"/>
      <w:bookmarkStart w:id="48" w:name="_DV_M27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499EFA26"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153FE8">
        <w:rPr>
          <w:sz w:val="22"/>
          <w:szCs w:val="22"/>
        </w:rPr>
        <w:t>2</w:t>
      </w:r>
      <w:r w:rsidR="001511A7">
        <w:rPr>
          <w:sz w:val="22"/>
          <w:szCs w:val="22"/>
        </w:rPr>
        <w:t>7</w:t>
      </w:r>
      <w:r w:rsidR="00153FE8">
        <w:rPr>
          <w:sz w:val="22"/>
          <w:szCs w:val="22"/>
        </w:rPr>
        <w:t xml:space="preserve"> de julho</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72EF6CB4"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 xml:space="preserve">(Página 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153FE8">
        <w:rPr>
          <w:sz w:val="22"/>
          <w:szCs w:val="22"/>
        </w:rPr>
        <w:t>2</w:t>
      </w:r>
      <w:r w:rsidR="001511A7">
        <w:rPr>
          <w:sz w:val="22"/>
          <w:szCs w:val="22"/>
        </w:rPr>
        <w:t>7</w:t>
      </w:r>
      <w:r w:rsidR="00153FE8">
        <w:rPr>
          <w:sz w:val="22"/>
          <w:szCs w:val="22"/>
        </w:rPr>
        <w:t xml:space="preserve"> de julho</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57A33654" w:rsidR="000F2AFA" w:rsidRDefault="00453266" w:rsidP="00760BB3">
      <w:pPr>
        <w:spacing w:line="300" w:lineRule="auto"/>
        <w:jc w:val="center"/>
        <w:rPr>
          <w:b/>
          <w:bCs/>
          <w:sz w:val="22"/>
          <w:szCs w:val="22"/>
        </w:rPr>
      </w:pPr>
      <w:r w:rsidRPr="005578E8">
        <w:rPr>
          <w:b/>
          <w:bCs/>
          <w:sz w:val="22"/>
          <w:szCs w:val="22"/>
        </w:rPr>
        <w:t>WELT ENERGIA LTDA.</w:t>
      </w:r>
    </w:p>
    <w:p w14:paraId="3D0A3A66" w14:textId="1F398CB4" w:rsidR="00453266" w:rsidRDefault="00453266" w:rsidP="00760BB3">
      <w:pPr>
        <w:spacing w:line="300" w:lineRule="auto"/>
        <w:jc w:val="center"/>
        <w:rPr>
          <w:i/>
          <w:iCs/>
          <w:sz w:val="22"/>
          <w:szCs w:val="22"/>
        </w:rPr>
      </w:pPr>
      <w:r w:rsidRPr="005578E8">
        <w:rPr>
          <w:i/>
          <w:iCs/>
          <w:sz w:val="22"/>
          <w:szCs w:val="22"/>
        </w:rPr>
        <w:t>Fiduciante</w:t>
      </w:r>
    </w:p>
    <w:p w14:paraId="276BB2B1" w14:textId="77777777" w:rsidR="008D1FB0" w:rsidRDefault="008D1FB0" w:rsidP="00760BB3">
      <w:pPr>
        <w:spacing w:line="300" w:lineRule="auto"/>
        <w:jc w:val="center"/>
        <w:rPr>
          <w:i/>
          <w:iCs/>
          <w:sz w:val="22"/>
          <w:szCs w:val="22"/>
        </w:rPr>
      </w:pPr>
    </w:p>
    <w:p w14:paraId="489A86C7" w14:textId="77777777" w:rsidR="008D1FB0" w:rsidRDefault="008D1FB0" w:rsidP="00760BB3">
      <w:pPr>
        <w:spacing w:line="300" w:lineRule="auto"/>
        <w:jc w:val="center"/>
        <w:rPr>
          <w:i/>
          <w:iCs/>
          <w:sz w:val="22"/>
          <w:szCs w:val="22"/>
        </w:rPr>
      </w:pPr>
    </w:p>
    <w:p w14:paraId="3FB9C48B" w14:textId="77777777" w:rsidR="008D1FB0" w:rsidRPr="00BA75E8" w:rsidRDefault="008D1FB0" w:rsidP="008D1FB0">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D1FB0" w:rsidRPr="00BA75E8" w14:paraId="62BE37A2" w14:textId="77777777" w:rsidTr="000E6AA3">
        <w:trPr>
          <w:jc w:val="center"/>
        </w:trPr>
        <w:tc>
          <w:tcPr>
            <w:tcW w:w="4786" w:type="dxa"/>
          </w:tcPr>
          <w:p w14:paraId="54B5EFD2" w14:textId="77777777" w:rsidR="008D1FB0" w:rsidRPr="00BA75E8" w:rsidRDefault="008D1FB0" w:rsidP="000E6AA3">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D1FB0" w:rsidRPr="00BA75E8" w14:paraId="62C3FE51" w14:textId="77777777" w:rsidTr="000E6AA3">
        <w:trPr>
          <w:jc w:val="center"/>
        </w:trPr>
        <w:tc>
          <w:tcPr>
            <w:tcW w:w="4786" w:type="dxa"/>
          </w:tcPr>
          <w:p w14:paraId="366934B8" w14:textId="77777777" w:rsidR="008D1FB0" w:rsidRPr="00BA75E8" w:rsidRDefault="008D1FB0" w:rsidP="000E6AA3">
            <w:pPr>
              <w:widowControl w:val="0"/>
              <w:autoSpaceDE w:val="0"/>
              <w:autoSpaceDN w:val="0"/>
              <w:adjustRightInd w:val="0"/>
              <w:spacing w:line="312" w:lineRule="auto"/>
              <w:rPr>
                <w:sz w:val="22"/>
                <w:szCs w:val="22"/>
              </w:rPr>
            </w:pPr>
            <w:r w:rsidRPr="00BA75E8">
              <w:rPr>
                <w:sz w:val="22"/>
                <w:szCs w:val="22"/>
              </w:rPr>
              <w:t>Nome: Elvio José Machado</w:t>
            </w:r>
          </w:p>
          <w:p w14:paraId="7D183BC6" w14:textId="77777777" w:rsidR="008D1FB0" w:rsidRPr="00BA75E8" w:rsidRDefault="008D1FB0" w:rsidP="000E6AA3">
            <w:pPr>
              <w:widowControl w:val="0"/>
              <w:autoSpaceDE w:val="0"/>
              <w:autoSpaceDN w:val="0"/>
              <w:adjustRightInd w:val="0"/>
              <w:spacing w:line="312" w:lineRule="auto"/>
              <w:rPr>
                <w:sz w:val="22"/>
                <w:szCs w:val="22"/>
              </w:rPr>
            </w:pPr>
            <w:r w:rsidRPr="00BA75E8">
              <w:rPr>
                <w:sz w:val="22"/>
                <w:szCs w:val="22"/>
              </w:rPr>
              <w:t>CPF: 333.300.261-20</w:t>
            </w:r>
          </w:p>
          <w:p w14:paraId="25BA1F54" w14:textId="77777777" w:rsidR="008D1FB0" w:rsidRPr="00BA75E8" w:rsidRDefault="008D1FB0" w:rsidP="000E6AA3">
            <w:pPr>
              <w:widowControl w:val="0"/>
              <w:autoSpaceDE w:val="0"/>
              <w:autoSpaceDN w:val="0"/>
              <w:adjustRightInd w:val="0"/>
              <w:spacing w:line="312" w:lineRule="auto"/>
              <w:rPr>
                <w:sz w:val="22"/>
                <w:szCs w:val="22"/>
              </w:rPr>
            </w:pPr>
            <w:r w:rsidRPr="00BA75E8">
              <w:rPr>
                <w:sz w:val="22"/>
                <w:szCs w:val="22"/>
              </w:rPr>
              <w:t>e-mail: elvio.machado@weltenergia.com.br</w:t>
            </w:r>
          </w:p>
          <w:p w14:paraId="7050B1DA" w14:textId="77777777" w:rsidR="008D1FB0" w:rsidRPr="00BA75E8" w:rsidRDefault="008D1FB0" w:rsidP="000E6AA3">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0B93EB23" w14:textId="77777777" w:rsidR="008D1FB0" w:rsidRPr="005578E8" w:rsidRDefault="008D1FB0" w:rsidP="00760BB3">
      <w:pPr>
        <w:spacing w:line="300" w:lineRule="auto"/>
        <w:jc w:val="center"/>
        <w:rPr>
          <w:i/>
          <w:iCs/>
          <w:sz w:val="22"/>
          <w:szCs w:val="22"/>
        </w:rPr>
      </w:pPr>
    </w:p>
    <w:p w14:paraId="5F53FED7" w14:textId="77777777" w:rsidR="000F2AFA" w:rsidRPr="00760BB3" w:rsidRDefault="000F2AFA" w:rsidP="00760BB3">
      <w:pPr>
        <w:spacing w:line="300" w:lineRule="auto"/>
        <w:jc w:val="center"/>
        <w:rPr>
          <w:sz w:val="22"/>
          <w:szCs w:val="22"/>
        </w:rPr>
      </w:pPr>
    </w:p>
    <w:p w14:paraId="5AC44434" w14:textId="77777777" w:rsidR="003B43F1" w:rsidRDefault="003B43F1" w:rsidP="005578E8">
      <w:pPr>
        <w:widowControl w:val="0"/>
        <w:tabs>
          <w:tab w:val="left" w:pos="2214"/>
        </w:tabs>
        <w:autoSpaceDE w:val="0"/>
        <w:autoSpaceDN w:val="0"/>
        <w:adjustRightInd w:val="0"/>
        <w:spacing w:line="312" w:lineRule="auto"/>
        <w:rPr>
          <w:rFonts w:eastAsia="MS Mincho"/>
          <w:b/>
          <w:bCs/>
          <w:color w:val="000000"/>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EA86027" w14:textId="77777777" w:rsidR="00B72952" w:rsidRDefault="00B72952"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236D86" w:rsidRPr="000F4AAC" w14:paraId="2BBD9A5B" w14:textId="77777777" w:rsidTr="000B608E">
        <w:tc>
          <w:tcPr>
            <w:tcW w:w="4786" w:type="dxa"/>
          </w:tcPr>
          <w:p w14:paraId="4A92BC4B" w14:textId="7D2FA85C" w:rsidR="00236D86" w:rsidRPr="000F4AAC" w:rsidRDefault="00236D86" w:rsidP="00236D86">
            <w:pPr>
              <w:widowControl w:val="0"/>
              <w:autoSpaceDE w:val="0"/>
              <w:autoSpaceDN w:val="0"/>
              <w:adjustRightInd w:val="0"/>
              <w:spacing w:line="312" w:lineRule="auto"/>
              <w:rPr>
                <w:rFonts w:eastAsia="MS Mincho"/>
                <w:color w:val="000000"/>
                <w:lang w:eastAsia="en-US"/>
              </w:rPr>
            </w:pPr>
            <w:r>
              <w:rPr>
                <w:rFonts w:eastAsia="MS Mincho"/>
                <w:color w:val="000000"/>
                <w:sz w:val="22"/>
                <w:szCs w:val="22"/>
                <w:lang w:eastAsia="en-US"/>
              </w:rPr>
              <w:t>Nome: Pedro Paulo Oliveira de Moraes</w:t>
            </w:r>
          </w:p>
        </w:tc>
        <w:tc>
          <w:tcPr>
            <w:tcW w:w="4111" w:type="dxa"/>
          </w:tcPr>
          <w:p w14:paraId="7A4E5FC9" w14:textId="285ADAFE" w:rsidR="00236D86" w:rsidRPr="000F4AAC" w:rsidRDefault="00236D86" w:rsidP="00236D86">
            <w:pPr>
              <w:widowControl w:val="0"/>
              <w:autoSpaceDE w:val="0"/>
              <w:autoSpaceDN w:val="0"/>
              <w:adjustRightInd w:val="0"/>
              <w:spacing w:line="312" w:lineRule="auto"/>
              <w:jc w:val="both"/>
              <w:rPr>
                <w:rFonts w:eastAsia="MS Mincho"/>
                <w:color w:val="000000"/>
                <w:lang w:eastAsia="en-US"/>
              </w:rPr>
            </w:pPr>
            <w:r>
              <w:rPr>
                <w:rFonts w:eastAsia="MS Mincho"/>
                <w:color w:val="000000"/>
                <w:sz w:val="22"/>
                <w:szCs w:val="22"/>
                <w:lang w:eastAsia="en-US"/>
              </w:rPr>
              <w:t>Nome: Luisa Herkenhoff Mis</w:t>
            </w:r>
          </w:p>
        </w:tc>
      </w:tr>
      <w:tr w:rsidR="00236D86" w:rsidRPr="000F4AAC" w14:paraId="361B3D56" w14:textId="77777777" w:rsidTr="000B608E">
        <w:tc>
          <w:tcPr>
            <w:tcW w:w="4786" w:type="dxa"/>
          </w:tcPr>
          <w:p w14:paraId="5E77206B" w14:textId="77777777" w:rsidR="00236D86" w:rsidRDefault="00236D86" w:rsidP="00236D86">
            <w:pPr>
              <w:widowControl w:val="0"/>
              <w:autoSpaceDE w:val="0"/>
              <w:autoSpaceDN w:val="0"/>
              <w:adjustRightInd w:val="0"/>
              <w:spacing w:line="312" w:lineRule="auto"/>
              <w:rPr>
                <w:rFonts w:eastAsia="MS Mincho"/>
                <w:color w:val="000000"/>
                <w:sz w:val="22"/>
                <w:szCs w:val="22"/>
                <w:lang w:eastAsia="en-US"/>
              </w:rPr>
            </w:pPr>
            <w:r>
              <w:rPr>
                <w:rFonts w:eastAsia="MS Mincho"/>
                <w:color w:val="000000"/>
                <w:sz w:val="22"/>
                <w:szCs w:val="22"/>
                <w:lang w:eastAsia="en-US"/>
              </w:rPr>
              <w:t>CPF: 222.043.388-93</w:t>
            </w:r>
          </w:p>
          <w:p w14:paraId="192851DA" w14:textId="60131161" w:rsidR="00236D86" w:rsidRPr="000F4AAC" w:rsidRDefault="00236D86" w:rsidP="00236D86">
            <w:pPr>
              <w:widowControl w:val="0"/>
              <w:autoSpaceDE w:val="0"/>
              <w:autoSpaceDN w:val="0"/>
              <w:adjustRightInd w:val="0"/>
              <w:spacing w:line="312" w:lineRule="auto"/>
              <w:rPr>
                <w:rFonts w:eastAsia="MS Mincho"/>
                <w:color w:val="000000"/>
                <w:lang w:eastAsia="en-US"/>
              </w:rPr>
            </w:pPr>
            <w:r>
              <w:rPr>
                <w:rFonts w:eastAsia="MS Mincho"/>
                <w:color w:val="000000"/>
                <w:sz w:val="22"/>
                <w:szCs w:val="22"/>
                <w:lang w:eastAsia="en-US"/>
              </w:rPr>
              <w:t>e-mail: pedro@virgo.inc</w:t>
            </w:r>
          </w:p>
        </w:tc>
        <w:tc>
          <w:tcPr>
            <w:tcW w:w="4111" w:type="dxa"/>
          </w:tcPr>
          <w:p w14:paraId="3098FB78" w14:textId="77777777" w:rsidR="00236D86" w:rsidRDefault="00236D86" w:rsidP="00236D86">
            <w:pPr>
              <w:widowControl w:val="0"/>
              <w:autoSpaceDE w:val="0"/>
              <w:autoSpaceDN w:val="0"/>
              <w:adjustRightInd w:val="0"/>
              <w:spacing w:line="312" w:lineRule="auto"/>
              <w:jc w:val="both"/>
              <w:rPr>
                <w:rFonts w:eastAsia="MS Mincho"/>
                <w:color w:val="000000"/>
                <w:sz w:val="22"/>
                <w:szCs w:val="22"/>
                <w:lang w:eastAsia="en-US"/>
              </w:rPr>
            </w:pPr>
            <w:r>
              <w:rPr>
                <w:rFonts w:eastAsia="MS Mincho"/>
                <w:color w:val="000000"/>
                <w:sz w:val="22"/>
                <w:szCs w:val="22"/>
                <w:lang w:eastAsia="en-US"/>
              </w:rPr>
              <w:t>CPF: 122.277.507-74</w:t>
            </w:r>
          </w:p>
          <w:p w14:paraId="2CAAF8E5" w14:textId="5D6B9E4A" w:rsidR="00236D86" w:rsidRPr="000F4AAC" w:rsidRDefault="00236D86" w:rsidP="00236D86">
            <w:pPr>
              <w:widowControl w:val="0"/>
              <w:autoSpaceDE w:val="0"/>
              <w:autoSpaceDN w:val="0"/>
              <w:adjustRightInd w:val="0"/>
              <w:spacing w:line="312" w:lineRule="auto"/>
              <w:jc w:val="both"/>
              <w:rPr>
                <w:rFonts w:eastAsia="MS Mincho"/>
                <w:color w:val="000000"/>
                <w:lang w:eastAsia="en-US"/>
              </w:rPr>
            </w:pPr>
            <w:r>
              <w:rPr>
                <w:rFonts w:eastAsia="MS Mincho"/>
                <w:color w:val="000000"/>
                <w:sz w:val="22"/>
                <w:szCs w:val="22"/>
                <w:lang w:eastAsia="en-US"/>
              </w:rPr>
              <w:t>e-mail: luisa.herkenhoss@virgo.inc</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CDD709C" w14:textId="77777777" w:rsidR="00BC325F" w:rsidRPr="00BA75E8" w:rsidRDefault="00BC325F" w:rsidP="00BC325F">
      <w:pPr>
        <w:widowControl w:val="0"/>
        <w:autoSpaceDE w:val="0"/>
        <w:autoSpaceDN w:val="0"/>
        <w:adjustRightInd w:val="0"/>
        <w:spacing w:line="312" w:lineRule="auto"/>
        <w:jc w:val="center"/>
        <w:rPr>
          <w:rFonts w:eastAsia="MS Mincho"/>
          <w:b/>
          <w:bCs/>
          <w:color w:val="000000"/>
          <w:sz w:val="22"/>
          <w:szCs w:val="22"/>
          <w:lang w:eastAsia="en-US"/>
        </w:rPr>
      </w:pPr>
    </w:p>
    <w:p w14:paraId="4635D216" w14:textId="77777777" w:rsidR="00BC325F" w:rsidRPr="00BA75E8" w:rsidRDefault="00BC325F" w:rsidP="00BC325F">
      <w:pPr>
        <w:widowControl w:val="0"/>
        <w:autoSpaceDE w:val="0"/>
        <w:autoSpaceDN w:val="0"/>
        <w:adjustRightInd w:val="0"/>
        <w:spacing w:line="312" w:lineRule="auto"/>
        <w:jc w:val="center"/>
        <w:rPr>
          <w:rFonts w:eastAsia="MS Mincho"/>
          <w:b/>
          <w:bCs/>
          <w:color w:val="000000"/>
          <w:sz w:val="22"/>
          <w:szCs w:val="22"/>
          <w:lang w:eastAsia="en-US"/>
        </w:rPr>
      </w:pPr>
    </w:p>
    <w:p w14:paraId="19C95F6D" w14:textId="77777777" w:rsidR="00BC325F" w:rsidRPr="00BA75E8" w:rsidRDefault="00BC325F" w:rsidP="00BC325F">
      <w:pPr>
        <w:widowControl w:val="0"/>
        <w:autoSpaceDE w:val="0"/>
        <w:autoSpaceDN w:val="0"/>
        <w:adjustRightInd w:val="0"/>
        <w:spacing w:line="312" w:lineRule="auto"/>
        <w:jc w:val="center"/>
        <w:rPr>
          <w:b/>
          <w:sz w:val="22"/>
          <w:szCs w:val="22"/>
        </w:rPr>
      </w:pPr>
      <w:r w:rsidRPr="00BA75E8">
        <w:rPr>
          <w:b/>
          <w:sz w:val="22"/>
          <w:szCs w:val="22"/>
        </w:rPr>
        <w:t>OUVIDOR ENERGIA LTDA.</w:t>
      </w:r>
    </w:p>
    <w:p w14:paraId="5D5E8C5F" w14:textId="77777777" w:rsidR="00BC325F" w:rsidRPr="00BA75E8" w:rsidRDefault="00BC325F" w:rsidP="00BC325F">
      <w:pPr>
        <w:widowControl w:val="0"/>
        <w:autoSpaceDE w:val="0"/>
        <w:autoSpaceDN w:val="0"/>
        <w:adjustRightInd w:val="0"/>
        <w:spacing w:line="312" w:lineRule="auto"/>
        <w:jc w:val="center"/>
        <w:rPr>
          <w:rFonts w:eastAsia="MS Mincho"/>
          <w:b/>
          <w:bCs/>
          <w:color w:val="000000"/>
          <w:sz w:val="22"/>
          <w:szCs w:val="22"/>
          <w:lang w:eastAsia="en-US"/>
        </w:rPr>
      </w:pPr>
    </w:p>
    <w:p w14:paraId="0F3C060F" w14:textId="77777777" w:rsidR="00BC325F" w:rsidRPr="00BA75E8" w:rsidRDefault="00BC325F" w:rsidP="00BC325F">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BC325F" w:rsidRPr="00BA75E8" w14:paraId="6B4F10C8" w14:textId="77777777" w:rsidTr="000E6AA3">
        <w:trPr>
          <w:jc w:val="center"/>
        </w:trPr>
        <w:tc>
          <w:tcPr>
            <w:tcW w:w="4786" w:type="dxa"/>
          </w:tcPr>
          <w:p w14:paraId="0CC1365C" w14:textId="77777777" w:rsidR="00BC325F" w:rsidRPr="00BA75E8" w:rsidRDefault="00BC325F" w:rsidP="000E6AA3">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BC325F" w:rsidRPr="00BA75E8" w14:paraId="510BCBD8" w14:textId="77777777" w:rsidTr="000E6AA3">
        <w:trPr>
          <w:jc w:val="center"/>
        </w:trPr>
        <w:tc>
          <w:tcPr>
            <w:tcW w:w="4786" w:type="dxa"/>
          </w:tcPr>
          <w:p w14:paraId="5343ACAF" w14:textId="77777777" w:rsidR="00BC325F" w:rsidRPr="00BA75E8" w:rsidRDefault="00BC325F" w:rsidP="000E6AA3">
            <w:pPr>
              <w:widowControl w:val="0"/>
              <w:autoSpaceDE w:val="0"/>
              <w:autoSpaceDN w:val="0"/>
              <w:adjustRightInd w:val="0"/>
              <w:spacing w:line="312" w:lineRule="auto"/>
              <w:rPr>
                <w:sz w:val="22"/>
                <w:szCs w:val="22"/>
              </w:rPr>
            </w:pPr>
            <w:r w:rsidRPr="00BA75E8">
              <w:rPr>
                <w:sz w:val="22"/>
                <w:szCs w:val="22"/>
              </w:rPr>
              <w:t>Nome: Elvio José Machado</w:t>
            </w:r>
          </w:p>
          <w:p w14:paraId="6644A24B" w14:textId="77777777" w:rsidR="00BC325F" w:rsidRPr="00BA75E8" w:rsidRDefault="00BC325F" w:rsidP="000E6AA3">
            <w:pPr>
              <w:widowControl w:val="0"/>
              <w:autoSpaceDE w:val="0"/>
              <w:autoSpaceDN w:val="0"/>
              <w:adjustRightInd w:val="0"/>
              <w:spacing w:line="312" w:lineRule="auto"/>
              <w:rPr>
                <w:sz w:val="22"/>
                <w:szCs w:val="22"/>
              </w:rPr>
            </w:pPr>
            <w:r w:rsidRPr="00BA75E8">
              <w:rPr>
                <w:sz w:val="22"/>
                <w:szCs w:val="22"/>
              </w:rPr>
              <w:t>CPF: 333.300.261-20</w:t>
            </w:r>
          </w:p>
          <w:p w14:paraId="72130696" w14:textId="77777777" w:rsidR="00BC325F" w:rsidRPr="00BA75E8" w:rsidRDefault="00BC325F" w:rsidP="000E6AA3">
            <w:pPr>
              <w:widowControl w:val="0"/>
              <w:autoSpaceDE w:val="0"/>
              <w:autoSpaceDN w:val="0"/>
              <w:adjustRightInd w:val="0"/>
              <w:spacing w:line="312" w:lineRule="auto"/>
              <w:rPr>
                <w:sz w:val="22"/>
                <w:szCs w:val="22"/>
              </w:rPr>
            </w:pPr>
            <w:r w:rsidRPr="00BA75E8">
              <w:rPr>
                <w:sz w:val="22"/>
                <w:szCs w:val="22"/>
              </w:rPr>
              <w:t>e-mail: elvio.machado@weltenergia.com.br</w:t>
            </w:r>
          </w:p>
          <w:p w14:paraId="5EF0A58C" w14:textId="77777777" w:rsidR="00BC325F" w:rsidRPr="00BA75E8" w:rsidRDefault="00BC325F" w:rsidP="000E6AA3">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lastRenderedPageBreak/>
              <w:t xml:space="preserve"> </w:t>
            </w:r>
          </w:p>
        </w:tc>
      </w:tr>
    </w:tbl>
    <w:p w14:paraId="75DCD760" w14:textId="343F6C05" w:rsidR="00781DE7" w:rsidRDefault="00781DE7" w:rsidP="00760BB3">
      <w:pPr>
        <w:spacing w:line="300" w:lineRule="auto"/>
        <w:contextualSpacing/>
        <w:jc w:val="center"/>
        <w:rPr>
          <w:sz w:val="22"/>
          <w:szCs w:val="22"/>
        </w:rPr>
      </w:pPr>
    </w:p>
    <w:p w14:paraId="49688BC8" w14:textId="77777777" w:rsidR="00B72952" w:rsidRDefault="00B72952" w:rsidP="00760BB3">
      <w:pPr>
        <w:spacing w:line="300" w:lineRule="auto"/>
        <w:contextualSpacing/>
        <w:jc w:val="center"/>
        <w:rPr>
          <w:sz w:val="22"/>
          <w:szCs w:val="22"/>
        </w:rPr>
      </w:pPr>
    </w:p>
    <w:p w14:paraId="48F8C747" w14:textId="77777777" w:rsidR="00B72952" w:rsidRDefault="00B72952" w:rsidP="00760BB3">
      <w:pPr>
        <w:spacing w:line="300" w:lineRule="auto"/>
        <w:contextualSpacing/>
        <w:jc w:val="center"/>
        <w:rPr>
          <w:sz w:val="22"/>
          <w:szCs w:val="22"/>
        </w:rPr>
      </w:pPr>
    </w:p>
    <w:p w14:paraId="001294C6" w14:textId="77777777" w:rsidR="00B72952" w:rsidRDefault="00B72952"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4A0EDF52"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r w:rsidR="00633DF5">
              <w:rPr>
                <w:rFonts w:eastAsia="MS Mincho"/>
                <w:color w:val="000000"/>
                <w:lang w:eastAsia="en-US"/>
              </w:rPr>
              <w:t>Julia</w:t>
            </w:r>
            <w:r w:rsidR="00585572">
              <w:rPr>
                <w:rFonts w:eastAsia="MS Mincho"/>
                <w:color w:val="000000"/>
                <w:lang w:eastAsia="en-US"/>
              </w:rPr>
              <w:t xml:space="preserve"> Bernardes Cunha</w:t>
            </w:r>
          </w:p>
          <w:p w14:paraId="285751CE" w14:textId="0B422D4E" w:rsidR="00453266"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CPF:</w:t>
            </w:r>
            <w:r w:rsidR="00585572">
              <w:rPr>
                <w:rFonts w:eastAsia="MS Mincho"/>
                <w:color w:val="000000"/>
                <w:lang w:eastAsia="en-US"/>
              </w:rPr>
              <w:t>046.280.851-37</w:t>
            </w:r>
          </w:p>
          <w:p w14:paraId="5FC33EA8" w14:textId="50C223B0"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 E-mail: </w:t>
            </w:r>
            <w:r w:rsidR="00585572">
              <w:rPr>
                <w:rFonts w:eastAsia="MS Mincho"/>
                <w:color w:val="000000"/>
                <w:lang w:eastAsia="en-US"/>
              </w:rPr>
              <w:t>julia.cunha@xpi.com.br</w:t>
            </w:r>
          </w:p>
        </w:tc>
        <w:tc>
          <w:tcPr>
            <w:tcW w:w="4111" w:type="dxa"/>
          </w:tcPr>
          <w:p w14:paraId="3BFBAF0D" w14:textId="77777777" w:rsidR="009677B7" w:rsidRPr="003264A5" w:rsidRDefault="009677B7" w:rsidP="003264A5">
            <w:pPr>
              <w:rPr>
                <w:rFonts w:eastAsia="MS Mincho"/>
                <w:color w:val="000000"/>
                <w:lang w:eastAsia="en-US"/>
              </w:rPr>
            </w:pPr>
            <w:r w:rsidRPr="003264A5">
              <w:rPr>
                <w:rFonts w:eastAsia="MS Mincho"/>
                <w:color w:val="000000"/>
                <w:lang w:eastAsia="en-US"/>
              </w:rPr>
              <w:t xml:space="preserve">Nome: William </w:t>
            </w:r>
            <w:proofErr w:type="spellStart"/>
            <w:r w:rsidRPr="003264A5">
              <w:rPr>
                <w:rFonts w:eastAsia="MS Mincho"/>
                <w:color w:val="000000"/>
                <w:lang w:eastAsia="en-US"/>
              </w:rPr>
              <w:t>Seiti</w:t>
            </w:r>
            <w:proofErr w:type="spellEnd"/>
            <w:r w:rsidRPr="003264A5">
              <w:rPr>
                <w:rFonts w:eastAsia="MS Mincho"/>
                <w:color w:val="000000"/>
                <w:lang w:eastAsia="en-US"/>
              </w:rPr>
              <w:t xml:space="preserve"> Nakano Alvarenga</w:t>
            </w:r>
          </w:p>
          <w:p w14:paraId="41774869" w14:textId="77777777" w:rsidR="009677B7" w:rsidRPr="003264A5" w:rsidRDefault="009677B7" w:rsidP="003264A5">
            <w:pPr>
              <w:rPr>
                <w:rFonts w:eastAsia="MS Mincho"/>
                <w:color w:val="000000"/>
                <w:lang w:eastAsia="en-US"/>
              </w:rPr>
            </w:pPr>
            <w:r w:rsidRPr="003264A5">
              <w:rPr>
                <w:rFonts w:eastAsia="MS Mincho"/>
                <w:color w:val="000000"/>
                <w:lang w:eastAsia="en-US"/>
              </w:rPr>
              <w:t>CPF: 438.887.358-66</w:t>
            </w:r>
          </w:p>
          <w:p w14:paraId="4B4F97AA" w14:textId="62B01277" w:rsidR="00D073B9" w:rsidRPr="005C399B" w:rsidRDefault="009677B7" w:rsidP="0024250F">
            <w:pPr>
              <w:widowControl w:val="0"/>
              <w:autoSpaceDE w:val="0"/>
              <w:autoSpaceDN w:val="0"/>
              <w:adjustRightInd w:val="0"/>
              <w:spacing w:line="300" w:lineRule="auto"/>
              <w:rPr>
                <w:rFonts w:eastAsia="MS Mincho"/>
                <w:color w:val="000000"/>
                <w:sz w:val="22"/>
                <w:szCs w:val="22"/>
                <w:lang w:eastAsia="en-US"/>
              </w:rPr>
            </w:pPr>
            <w:r w:rsidRPr="003264A5">
              <w:rPr>
                <w:rFonts w:eastAsia="MS Mincho"/>
                <w:color w:val="000000"/>
                <w:lang w:eastAsia="en-US"/>
              </w:rPr>
              <w:t>E-mail: william.alvarenga@virgo.inc</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F1D0BF2"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1E0B82" w:rsidRPr="00760BB3">
        <w:rPr>
          <w:b/>
          <w:sz w:val="22"/>
          <w:szCs w:val="22"/>
        </w:rPr>
        <w:t>PEL</w:t>
      </w:r>
      <w:r w:rsidR="001E0B82">
        <w:rPr>
          <w:b/>
          <w:sz w:val="22"/>
          <w:szCs w:val="22"/>
        </w:rPr>
        <w:t>A</w:t>
      </w:r>
      <w:r w:rsidR="001E0B82" w:rsidRPr="00760BB3">
        <w:rPr>
          <w:b/>
          <w:sz w:val="22"/>
          <w:szCs w:val="22"/>
        </w:rPr>
        <w:t xml:space="preserve"> </w:t>
      </w:r>
      <w:r w:rsidR="001E0B82">
        <w:rPr>
          <w:b/>
          <w:sz w:val="22"/>
          <w:szCs w:val="22"/>
        </w:rPr>
        <w:t>WELT ENERGIA LTDA.</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662A1A9E" w:rsidR="00D22D4B" w:rsidRPr="00760BB3" w:rsidRDefault="001E0B82" w:rsidP="00760BB3">
      <w:pPr>
        <w:tabs>
          <w:tab w:val="left" w:pos="5760"/>
        </w:tabs>
        <w:spacing w:line="300"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49" w:name="_Hlk90559210"/>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49"/>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153FE8">
        <w:rPr>
          <w:bCs/>
          <w:sz w:val="22"/>
          <w:szCs w:val="22"/>
        </w:rPr>
        <w:t>2</w:t>
      </w:r>
      <w:r w:rsidR="001511A7">
        <w:rPr>
          <w:bCs/>
          <w:sz w:val="22"/>
          <w:szCs w:val="22"/>
        </w:rPr>
        <w:t xml:space="preserve">7 </w:t>
      </w:r>
      <w:r w:rsidR="00153FE8">
        <w:rPr>
          <w:bCs/>
          <w:sz w:val="22"/>
          <w:szCs w:val="22"/>
        </w:rPr>
        <w:t>de julho</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38C3F01A" w14:textId="20895F31" w:rsidR="00B72952" w:rsidRDefault="00B72952" w:rsidP="005578E8">
      <w:pPr>
        <w:spacing w:line="300" w:lineRule="auto"/>
        <w:jc w:val="center"/>
        <w:rPr>
          <w:bCs/>
          <w:sz w:val="22"/>
          <w:szCs w:val="22"/>
        </w:rPr>
      </w:pPr>
      <w:r>
        <w:rPr>
          <w:b/>
          <w:bCs/>
          <w:sz w:val="22"/>
          <w:szCs w:val="22"/>
        </w:rPr>
        <w:t>WELT ENERGIA LTDA</w:t>
      </w:r>
      <w:r w:rsidDel="00B72952">
        <w:rPr>
          <w:bCs/>
          <w:sz w:val="22"/>
          <w:szCs w:val="22"/>
        </w:rPr>
        <w:t xml:space="preserve"> </w:t>
      </w:r>
    </w:p>
    <w:p w14:paraId="7C4D31AF" w14:textId="77777777" w:rsidR="00B72952" w:rsidRDefault="00B72952" w:rsidP="00760BB3">
      <w:pPr>
        <w:spacing w:line="300" w:lineRule="auto"/>
        <w:rPr>
          <w:bCs/>
          <w:sz w:val="22"/>
          <w:szCs w:val="22"/>
        </w:rPr>
      </w:pPr>
    </w:p>
    <w:p w14:paraId="367BDDE8" w14:textId="77777777" w:rsidR="00B72952" w:rsidRDefault="00B72952" w:rsidP="00760BB3">
      <w:pPr>
        <w:spacing w:line="300" w:lineRule="auto"/>
        <w:rPr>
          <w:bCs/>
          <w:sz w:val="22"/>
          <w:szCs w:val="22"/>
        </w:rPr>
      </w:pPr>
    </w:p>
    <w:tbl>
      <w:tblPr>
        <w:tblW w:w="8897" w:type="dxa"/>
        <w:tblLook w:val="01E0" w:firstRow="1" w:lastRow="1" w:firstColumn="1" w:lastColumn="1" w:noHBand="0" w:noVBand="0"/>
      </w:tblPr>
      <w:tblGrid>
        <w:gridCol w:w="4786"/>
        <w:gridCol w:w="4111"/>
      </w:tblGrid>
      <w:tr w:rsidR="00B72952" w:rsidRPr="000F4AAC" w14:paraId="56E7DD0D" w14:textId="77777777" w:rsidTr="00BF7710">
        <w:tc>
          <w:tcPr>
            <w:tcW w:w="4786" w:type="dxa"/>
          </w:tcPr>
          <w:p w14:paraId="2337C214"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2D1D44DF"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B72952" w:rsidRPr="000F4AAC" w14:paraId="4F352CA2" w14:textId="77777777" w:rsidTr="00BF7710">
        <w:tc>
          <w:tcPr>
            <w:tcW w:w="4786" w:type="dxa"/>
          </w:tcPr>
          <w:p w14:paraId="181824DA"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14A6C99"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B72952" w:rsidRPr="000F4AAC" w14:paraId="71B005E6" w14:textId="77777777" w:rsidTr="00BF7710">
        <w:tc>
          <w:tcPr>
            <w:tcW w:w="4786" w:type="dxa"/>
          </w:tcPr>
          <w:p w14:paraId="45FE10DA"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3ED95868"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321661F"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3579306"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51314B6B" w14:textId="77777777" w:rsidR="00B72952" w:rsidRPr="00760BB3" w:rsidRDefault="00B72952" w:rsidP="00760BB3">
      <w:pPr>
        <w:spacing w:line="300" w:lineRule="auto"/>
        <w:rPr>
          <w:b/>
          <w:sz w:val="22"/>
          <w:szCs w:val="22"/>
        </w:rPr>
      </w:pP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4FCB" w14:textId="77777777" w:rsidR="006D19A0" w:rsidRDefault="006D19A0">
      <w:r>
        <w:separator/>
      </w:r>
    </w:p>
  </w:endnote>
  <w:endnote w:type="continuationSeparator" w:id="0">
    <w:p w14:paraId="77FD8EB1" w14:textId="77777777" w:rsidR="006D19A0" w:rsidRDefault="006D19A0">
      <w:r>
        <w:continuationSeparator/>
      </w:r>
    </w:p>
  </w:endnote>
  <w:endnote w:type="continuationNotice" w:id="1">
    <w:p w14:paraId="31304844" w14:textId="77777777" w:rsidR="006D19A0" w:rsidRDefault="006D1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5E07" w14:textId="77777777" w:rsidR="006D19A0" w:rsidRDefault="006D19A0">
      <w:r>
        <w:separator/>
      </w:r>
    </w:p>
  </w:footnote>
  <w:footnote w:type="continuationSeparator" w:id="0">
    <w:p w14:paraId="4E241218" w14:textId="77777777" w:rsidR="006D19A0" w:rsidRDefault="006D19A0">
      <w:r>
        <w:continuationSeparator/>
      </w:r>
    </w:p>
  </w:footnote>
  <w:footnote w:type="continuationNotice" w:id="1">
    <w:p w14:paraId="4C4498DE" w14:textId="77777777" w:rsidR="006D19A0" w:rsidRDefault="006D1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293556">
    <w:abstractNumId w:val="0"/>
  </w:num>
  <w:num w:numId="2" w16cid:durableId="485633636">
    <w:abstractNumId w:val="6"/>
  </w:num>
  <w:num w:numId="3" w16cid:durableId="16796917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199686">
    <w:abstractNumId w:val="26"/>
  </w:num>
  <w:num w:numId="5" w16cid:durableId="207188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9082916">
    <w:abstractNumId w:val="19"/>
  </w:num>
  <w:num w:numId="7" w16cid:durableId="1007441082">
    <w:abstractNumId w:val="6"/>
  </w:num>
  <w:num w:numId="8" w16cid:durableId="20664926">
    <w:abstractNumId w:val="34"/>
  </w:num>
  <w:num w:numId="9" w16cid:durableId="79569303">
    <w:abstractNumId w:val="10"/>
  </w:num>
  <w:num w:numId="10" w16cid:durableId="713626283">
    <w:abstractNumId w:val="30"/>
  </w:num>
  <w:num w:numId="11" w16cid:durableId="417989885">
    <w:abstractNumId w:val="9"/>
  </w:num>
  <w:num w:numId="12" w16cid:durableId="1975017466">
    <w:abstractNumId w:val="2"/>
  </w:num>
  <w:num w:numId="13" w16cid:durableId="338777050">
    <w:abstractNumId w:val="26"/>
  </w:num>
  <w:num w:numId="14" w16cid:durableId="1297679056">
    <w:abstractNumId w:val="38"/>
  </w:num>
  <w:num w:numId="15" w16cid:durableId="1186595755">
    <w:abstractNumId w:val="48"/>
  </w:num>
  <w:num w:numId="16" w16cid:durableId="807013007">
    <w:abstractNumId w:val="8"/>
  </w:num>
  <w:num w:numId="17" w16cid:durableId="1568759138">
    <w:abstractNumId w:val="36"/>
  </w:num>
  <w:num w:numId="18" w16cid:durableId="2102021439">
    <w:abstractNumId w:val="17"/>
  </w:num>
  <w:num w:numId="19" w16cid:durableId="1667440388">
    <w:abstractNumId w:val="28"/>
  </w:num>
  <w:num w:numId="20" w16cid:durableId="1738018552">
    <w:abstractNumId w:val="40"/>
  </w:num>
  <w:num w:numId="21" w16cid:durableId="308360755">
    <w:abstractNumId w:val="27"/>
  </w:num>
  <w:num w:numId="22" w16cid:durableId="647326061">
    <w:abstractNumId w:val="1"/>
  </w:num>
  <w:num w:numId="23" w16cid:durableId="1830633324">
    <w:abstractNumId w:val="4"/>
  </w:num>
  <w:num w:numId="24" w16cid:durableId="304359597">
    <w:abstractNumId w:val="3"/>
  </w:num>
  <w:num w:numId="25" w16cid:durableId="1190292532">
    <w:abstractNumId w:val="7"/>
  </w:num>
  <w:num w:numId="26" w16cid:durableId="1038312536">
    <w:abstractNumId w:val="18"/>
  </w:num>
  <w:num w:numId="27" w16cid:durableId="724766833">
    <w:abstractNumId w:val="35"/>
  </w:num>
  <w:num w:numId="28" w16cid:durableId="1403331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866249">
    <w:abstractNumId w:val="16"/>
  </w:num>
  <w:num w:numId="30" w16cid:durableId="1730420008">
    <w:abstractNumId w:val="15"/>
  </w:num>
  <w:num w:numId="31" w16cid:durableId="1572345236">
    <w:abstractNumId w:val="45"/>
  </w:num>
  <w:num w:numId="32" w16cid:durableId="1194422539">
    <w:abstractNumId w:val="41"/>
  </w:num>
  <w:num w:numId="33" w16cid:durableId="1243250202">
    <w:abstractNumId w:val="32"/>
  </w:num>
  <w:num w:numId="34" w16cid:durableId="1939219103">
    <w:abstractNumId w:val="33"/>
  </w:num>
  <w:num w:numId="35" w16cid:durableId="1858233900">
    <w:abstractNumId w:val="42"/>
  </w:num>
  <w:num w:numId="36" w16cid:durableId="742920051">
    <w:abstractNumId w:val="5"/>
  </w:num>
  <w:num w:numId="37" w16cid:durableId="634332304">
    <w:abstractNumId w:val="25"/>
  </w:num>
  <w:num w:numId="38" w16cid:durableId="332801385">
    <w:abstractNumId w:val="22"/>
  </w:num>
  <w:num w:numId="39" w16cid:durableId="999963526">
    <w:abstractNumId w:val="49"/>
  </w:num>
  <w:num w:numId="40" w16cid:durableId="28459306">
    <w:abstractNumId w:val="12"/>
  </w:num>
  <w:num w:numId="41" w16cid:durableId="191653896">
    <w:abstractNumId w:val="21"/>
  </w:num>
  <w:num w:numId="42" w16cid:durableId="2063823006">
    <w:abstractNumId w:val="29"/>
  </w:num>
  <w:num w:numId="43" w16cid:durableId="100879771">
    <w:abstractNumId w:val="14"/>
  </w:num>
  <w:num w:numId="44" w16cid:durableId="1997151387">
    <w:abstractNumId w:val="46"/>
  </w:num>
  <w:num w:numId="45" w16cid:durableId="1884444646">
    <w:abstractNumId w:val="13"/>
  </w:num>
  <w:num w:numId="46" w16cid:durableId="948701289">
    <w:abstractNumId w:val="23"/>
  </w:num>
  <w:num w:numId="47" w16cid:durableId="300162212">
    <w:abstractNumId w:val="24"/>
  </w:num>
  <w:num w:numId="48" w16cid:durableId="1082407512">
    <w:abstractNumId w:val="20"/>
  </w:num>
  <w:num w:numId="49" w16cid:durableId="1833136926">
    <w:abstractNumId w:val="39"/>
  </w:num>
  <w:num w:numId="50" w16cid:durableId="597297686">
    <w:abstractNumId w:val="43"/>
  </w:num>
  <w:num w:numId="51" w16cid:durableId="1591506872">
    <w:abstractNumId w:val="44"/>
  </w:num>
  <w:num w:numId="52" w16cid:durableId="1998990492">
    <w:abstractNumId w:val="47"/>
  </w:num>
  <w:num w:numId="53" w16cid:durableId="210017754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31"/>
    <w:rsid w:val="000103AA"/>
    <w:rsid w:val="000118DF"/>
    <w:rsid w:val="00011EB3"/>
    <w:rsid w:val="00012059"/>
    <w:rsid w:val="000125E6"/>
    <w:rsid w:val="00012B72"/>
    <w:rsid w:val="00012C2E"/>
    <w:rsid w:val="00012D7C"/>
    <w:rsid w:val="00013634"/>
    <w:rsid w:val="0001375C"/>
    <w:rsid w:val="00013D31"/>
    <w:rsid w:val="00013FEF"/>
    <w:rsid w:val="00014027"/>
    <w:rsid w:val="0001482C"/>
    <w:rsid w:val="00014895"/>
    <w:rsid w:val="00014DDD"/>
    <w:rsid w:val="0001530B"/>
    <w:rsid w:val="00015331"/>
    <w:rsid w:val="00015362"/>
    <w:rsid w:val="000155C2"/>
    <w:rsid w:val="000157AC"/>
    <w:rsid w:val="0001782F"/>
    <w:rsid w:val="000208C6"/>
    <w:rsid w:val="00020A47"/>
    <w:rsid w:val="0002127F"/>
    <w:rsid w:val="000212D1"/>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4FF8"/>
    <w:rsid w:val="0004502E"/>
    <w:rsid w:val="0004558B"/>
    <w:rsid w:val="00045AA9"/>
    <w:rsid w:val="00045B9F"/>
    <w:rsid w:val="00045BE9"/>
    <w:rsid w:val="00045ECB"/>
    <w:rsid w:val="00046237"/>
    <w:rsid w:val="00046681"/>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5F9C"/>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BAB"/>
    <w:rsid w:val="000A4D9A"/>
    <w:rsid w:val="000A5138"/>
    <w:rsid w:val="000A5480"/>
    <w:rsid w:val="000A5778"/>
    <w:rsid w:val="000A5D1A"/>
    <w:rsid w:val="000A5D8F"/>
    <w:rsid w:val="000A650D"/>
    <w:rsid w:val="000A7273"/>
    <w:rsid w:val="000A7818"/>
    <w:rsid w:val="000A7971"/>
    <w:rsid w:val="000B0BBE"/>
    <w:rsid w:val="000B0E6C"/>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1DF"/>
    <w:rsid w:val="00101465"/>
    <w:rsid w:val="00102020"/>
    <w:rsid w:val="001023B5"/>
    <w:rsid w:val="00104ECA"/>
    <w:rsid w:val="0010561A"/>
    <w:rsid w:val="00105F31"/>
    <w:rsid w:val="00106018"/>
    <w:rsid w:val="0010651E"/>
    <w:rsid w:val="001066D7"/>
    <w:rsid w:val="0010694B"/>
    <w:rsid w:val="00106F11"/>
    <w:rsid w:val="001071FA"/>
    <w:rsid w:val="00107819"/>
    <w:rsid w:val="001104B5"/>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297"/>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0854"/>
    <w:rsid w:val="001511A7"/>
    <w:rsid w:val="0015160C"/>
    <w:rsid w:val="00151745"/>
    <w:rsid w:val="00151C40"/>
    <w:rsid w:val="001522AE"/>
    <w:rsid w:val="00152C42"/>
    <w:rsid w:val="00153381"/>
    <w:rsid w:val="00153834"/>
    <w:rsid w:val="00153FE8"/>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5CED"/>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50"/>
    <w:rsid w:val="0018616C"/>
    <w:rsid w:val="00186732"/>
    <w:rsid w:val="001869AA"/>
    <w:rsid w:val="0018722F"/>
    <w:rsid w:val="0018761A"/>
    <w:rsid w:val="00187A58"/>
    <w:rsid w:val="00187D95"/>
    <w:rsid w:val="001905B6"/>
    <w:rsid w:val="00190CDF"/>
    <w:rsid w:val="00190FBA"/>
    <w:rsid w:val="00191F8B"/>
    <w:rsid w:val="00192195"/>
    <w:rsid w:val="00193D2F"/>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0D00"/>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53"/>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0B82"/>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5DD9"/>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1F7D2B"/>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07EB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D86"/>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575"/>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6B49"/>
    <w:rsid w:val="002875BF"/>
    <w:rsid w:val="00287892"/>
    <w:rsid w:val="00287FC7"/>
    <w:rsid w:val="002906A6"/>
    <w:rsid w:val="0029109C"/>
    <w:rsid w:val="00291AA4"/>
    <w:rsid w:val="00291E59"/>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C1F"/>
    <w:rsid w:val="002C5E78"/>
    <w:rsid w:val="002C614E"/>
    <w:rsid w:val="002C66EF"/>
    <w:rsid w:val="002C6D34"/>
    <w:rsid w:val="002C7196"/>
    <w:rsid w:val="002C7488"/>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089"/>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64A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0B"/>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A71"/>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54"/>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088"/>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5F71"/>
    <w:rsid w:val="003C606A"/>
    <w:rsid w:val="003C6273"/>
    <w:rsid w:val="003C6550"/>
    <w:rsid w:val="003C66EC"/>
    <w:rsid w:val="003C67C2"/>
    <w:rsid w:val="003C6914"/>
    <w:rsid w:val="003C6D1F"/>
    <w:rsid w:val="003C7255"/>
    <w:rsid w:val="003C7456"/>
    <w:rsid w:val="003C7649"/>
    <w:rsid w:val="003C7F47"/>
    <w:rsid w:val="003D0831"/>
    <w:rsid w:val="003D11CD"/>
    <w:rsid w:val="003D14F5"/>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527F"/>
    <w:rsid w:val="003E6524"/>
    <w:rsid w:val="003E6C78"/>
    <w:rsid w:val="003E7565"/>
    <w:rsid w:val="003E79EF"/>
    <w:rsid w:val="003E7BF5"/>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9F"/>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18F8"/>
    <w:rsid w:val="00442037"/>
    <w:rsid w:val="004425A2"/>
    <w:rsid w:val="0044276D"/>
    <w:rsid w:val="00442A7F"/>
    <w:rsid w:val="00443036"/>
    <w:rsid w:val="0044350F"/>
    <w:rsid w:val="004437FB"/>
    <w:rsid w:val="0044390A"/>
    <w:rsid w:val="00443D5A"/>
    <w:rsid w:val="00444836"/>
    <w:rsid w:val="00444854"/>
    <w:rsid w:val="0044578B"/>
    <w:rsid w:val="004465E9"/>
    <w:rsid w:val="0044671F"/>
    <w:rsid w:val="00447E3E"/>
    <w:rsid w:val="004501B4"/>
    <w:rsid w:val="00450526"/>
    <w:rsid w:val="0045148C"/>
    <w:rsid w:val="004514CA"/>
    <w:rsid w:val="00451BED"/>
    <w:rsid w:val="0045223A"/>
    <w:rsid w:val="00452B8E"/>
    <w:rsid w:val="00453266"/>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4EF4"/>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6B2"/>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D76"/>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001"/>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0B22"/>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1D6"/>
    <w:rsid w:val="00553943"/>
    <w:rsid w:val="00553E3C"/>
    <w:rsid w:val="00553F48"/>
    <w:rsid w:val="00554333"/>
    <w:rsid w:val="00554568"/>
    <w:rsid w:val="00554E9C"/>
    <w:rsid w:val="00555F56"/>
    <w:rsid w:val="00556694"/>
    <w:rsid w:val="005566B6"/>
    <w:rsid w:val="005568DC"/>
    <w:rsid w:val="00557154"/>
    <w:rsid w:val="005576FE"/>
    <w:rsid w:val="005578E8"/>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075"/>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249"/>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572"/>
    <w:rsid w:val="0058584A"/>
    <w:rsid w:val="00585A0E"/>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815"/>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3D9"/>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5DC"/>
    <w:rsid w:val="0061774C"/>
    <w:rsid w:val="00617D37"/>
    <w:rsid w:val="00620070"/>
    <w:rsid w:val="006201D6"/>
    <w:rsid w:val="0062075F"/>
    <w:rsid w:val="00620919"/>
    <w:rsid w:val="00621260"/>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3DF5"/>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57E3F"/>
    <w:rsid w:val="00660179"/>
    <w:rsid w:val="00660950"/>
    <w:rsid w:val="006609E9"/>
    <w:rsid w:val="00660C4E"/>
    <w:rsid w:val="00660CDB"/>
    <w:rsid w:val="00661B32"/>
    <w:rsid w:val="00661B5A"/>
    <w:rsid w:val="00662099"/>
    <w:rsid w:val="006625CF"/>
    <w:rsid w:val="00662A19"/>
    <w:rsid w:val="00662EEA"/>
    <w:rsid w:val="0066337D"/>
    <w:rsid w:val="006633E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2D8F"/>
    <w:rsid w:val="006B337A"/>
    <w:rsid w:val="006B4254"/>
    <w:rsid w:val="006B4EAC"/>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9A0"/>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DF0"/>
    <w:rsid w:val="006D5F46"/>
    <w:rsid w:val="006D68ED"/>
    <w:rsid w:val="006D6FC5"/>
    <w:rsid w:val="006D7086"/>
    <w:rsid w:val="006D766C"/>
    <w:rsid w:val="006D7683"/>
    <w:rsid w:val="006D7700"/>
    <w:rsid w:val="006D7737"/>
    <w:rsid w:val="006E1CC2"/>
    <w:rsid w:val="006E2758"/>
    <w:rsid w:val="006E3511"/>
    <w:rsid w:val="006E38CE"/>
    <w:rsid w:val="006E40AA"/>
    <w:rsid w:val="006E40BC"/>
    <w:rsid w:val="006E4147"/>
    <w:rsid w:val="006E4385"/>
    <w:rsid w:val="006E43D8"/>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9EA"/>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233"/>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2E26"/>
    <w:rsid w:val="007530B3"/>
    <w:rsid w:val="0075394C"/>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9F"/>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8E9"/>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1DF5"/>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073D1"/>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7A3"/>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4BBF"/>
    <w:rsid w:val="008555A7"/>
    <w:rsid w:val="0085713D"/>
    <w:rsid w:val="00857A3D"/>
    <w:rsid w:val="00860510"/>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060B"/>
    <w:rsid w:val="008813F0"/>
    <w:rsid w:val="00882C0E"/>
    <w:rsid w:val="00882EC0"/>
    <w:rsid w:val="00883F32"/>
    <w:rsid w:val="008853B6"/>
    <w:rsid w:val="00885692"/>
    <w:rsid w:val="00885BF2"/>
    <w:rsid w:val="00885D49"/>
    <w:rsid w:val="00885FCE"/>
    <w:rsid w:val="00886540"/>
    <w:rsid w:val="00886C46"/>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1FB0"/>
    <w:rsid w:val="008D2653"/>
    <w:rsid w:val="008D3118"/>
    <w:rsid w:val="008D3315"/>
    <w:rsid w:val="008D33EC"/>
    <w:rsid w:val="008D3AD5"/>
    <w:rsid w:val="008D3CC7"/>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37E"/>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18C"/>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B14"/>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1F18"/>
    <w:rsid w:val="00962320"/>
    <w:rsid w:val="009629D8"/>
    <w:rsid w:val="00962A21"/>
    <w:rsid w:val="00963191"/>
    <w:rsid w:val="00964167"/>
    <w:rsid w:val="009654A0"/>
    <w:rsid w:val="00966D27"/>
    <w:rsid w:val="009677B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46B"/>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4"/>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17"/>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211"/>
    <w:rsid w:val="00A62362"/>
    <w:rsid w:val="00A6279A"/>
    <w:rsid w:val="00A627A6"/>
    <w:rsid w:val="00A627AD"/>
    <w:rsid w:val="00A63646"/>
    <w:rsid w:val="00A63B3D"/>
    <w:rsid w:val="00A63CCC"/>
    <w:rsid w:val="00A667DA"/>
    <w:rsid w:val="00A6686D"/>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59F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532"/>
    <w:rsid w:val="00AC5859"/>
    <w:rsid w:val="00AC5FD2"/>
    <w:rsid w:val="00AC71DB"/>
    <w:rsid w:val="00AC7C5E"/>
    <w:rsid w:val="00AC7ECE"/>
    <w:rsid w:val="00AD0445"/>
    <w:rsid w:val="00AD04B4"/>
    <w:rsid w:val="00AD0A53"/>
    <w:rsid w:val="00AD0C60"/>
    <w:rsid w:val="00AD1764"/>
    <w:rsid w:val="00AD2039"/>
    <w:rsid w:val="00AD22A7"/>
    <w:rsid w:val="00AD2D74"/>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796"/>
    <w:rsid w:val="00AF4F89"/>
    <w:rsid w:val="00AF519D"/>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2C01"/>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52"/>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9C8"/>
    <w:rsid w:val="00BC0E94"/>
    <w:rsid w:val="00BC1001"/>
    <w:rsid w:val="00BC1213"/>
    <w:rsid w:val="00BC125B"/>
    <w:rsid w:val="00BC1CAD"/>
    <w:rsid w:val="00BC1CBC"/>
    <w:rsid w:val="00BC2195"/>
    <w:rsid w:val="00BC2D0E"/>
    <w:rsid w:val="00BC31E9"/>
    <w:rsid w:val="00BC325F"/>
    <w:rsid w:val="00BC32E8"/>
    <w:rsid w:val="00BC348F"/>
    <w:rsid w:val="00BC3512"/>
    <w:rsid w:val="00BC38C0"/>
    <w:rsid w:val="00BC3BBF"/>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27ADA"/>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4EC"/>
    <w:rsid w:val="00C3797E"/>
    <w:rsid w:val="00C37A08"/>
    <w:rsid w:val="00C37B4C"/>
    <w:rsid w:val="00C37B87"/>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0FFD"/>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67"/>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216"/>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A2"/>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1BEC"/>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5F"/>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A5B"/>
    <w:rsid w:val="00D26E95"/>
    <w:rsid w:val="00D271A5"/>
    <w:rsid w:val="00D2762A"/>
    <w:rsid w:val="00D277C2"/>
    <w:rsid w:val="00D27E7F"/>
    <w:rsid w:val="00D30898"/>
    <w:rsid w:val="00D30DB0"/>
    <w:rsid w:val="00D3120A"/>
    <w:rsid w:val="00D31C46"/>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18D"/>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549"/>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252"/>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597"/>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1D5"/>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5C29"/>
    <w:rsid w:val="00E26069"/>
    <w:rsid w:val="00E2632A"/>
    <w:rsid w:val="00E275A4"/>
    <w:rsid w:val="00E27845"/>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05E9"/>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A75"/>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9EE"/>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41C"/>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1F6"/>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68B7"/>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0E2"/>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304"/>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B83"/>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6F4"/>
    <w:rsid w:val="00FC4A65"/>
    <w:rsid w:val="00FC51F7"/>
    <w:rsid w:val="00FC57AC"/>
    <w:rsid w:val="00FC57D9"/>
    <w:rsid w:val="00FC5D41"/>
    <w:rsid w:val="00FC5D5F"/>
    <w:rsid w:val="00FC6793"/>
    <w:rsid w:val="00FC6ABE"/>
    <w:rsid w:val="00FC71CA"/>
    <w:rsid w:val="00FC7252"/>
    <w:rsid w:val="00FC7264"/>
    <w:rsid w:val="00FC74D1"/>
    <w:rsid w:val="00FC7796"/>
    <w:rsid w:val="00FD0E93"/>
    <w:rsid w:val="00FD1978"/>
    <w:rsid w:val="00FD24BD"/>
    <w:rsid w:val="00FD2BF5"/>
    <w:rsid w:val="00FD2C92"/>
    <w:rsid w:val="00FD31A7"/>
    <w:rsid w:val="00FD457D"/>
    <w:rsid w:val="00FD4B15"/>
    <w:rsid w:val="00FD5269"/>
    <w:rsid w:val="00FD5D65"/>
    <w:rsid w:val="00FD5DF0"/>
    <w:rsid w:val="00FD603A"/>
    <w:rsid w:val="00FD61A4"/>
    <w:rsid w:val="00FD6EA0"/>
    <w:rsid w:val="00FD7443"/>
    <w:rsid w:val="00FD755C"/>
    <w:rsid w:val="00FE0290"/>
    <w:rsid w:val="00FE075D"/>
    <w:rsid w:val="00FE1020"/>
    <w:rsid w:val="00FE24BE"/>
    <w:rsid w:val="00FE26F2"/>
    <w:rsid w:val="00FE28BC"/>
    <w:rsid w:val="00FE2F1D"/>
    <w:rsid w:val="00FE3167"/>
    <w:rsid w:val="00FE333E"/>
    <w:rsid w:val="00FE34CD"/>
    <w:rsid w:val="00FE37C4"/>
    <w:rsid w:val="00FE3BAD"/>
    <w:rsid w:val="00FE4235"/>
    <w:rsid w:val="00FE47B8"/>
    <w:rsid w:val="00FE4A82"/>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05747459">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4.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5.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6.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7.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8995</Words>
  <Characters>48574</Characters>
  <Application>Microsoft Office Word</Application>
  <DocSecurity>0</DocSecurity>
  <Lines>404</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Cotas</vt:lpstr>
      <vt:lpstr>AF de Cotas</vt:lpstr>
    </vt:vector>
  </TitlesOfParts>
  <Company>Cascione Pulino</Company>
  <LinksUpToDate>false</LinksUpToDate>
  <CharactersWithSpaces>57455</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Bianca Portella Crochiquia | Coelho Advogados</cp:lastModifiedBy>
  <cp:revision>3</cp:revision>
  <cp:lastPrinted>2020-04-03T21:34:00Z</cp:lastPrinted>
  <dcterms:created xsi:type="dcterms:W3CDTF">2022-07-26T15:11:00Z</dcterms:created>
  <dcterms:modified xsi:type="dcterms:W3CDTF">2022-07-26T15:12:00Z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