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78C14468"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3E527F">
        <w:rPr>
          <w:sz w:val="22"/>
          <w:szCs w:val="22"/>
        </w:rPr>
        <w:t xml:space="preserve"> ou “</w:t>
      </w:r>
      <w:r w:rsidR="003E527F" w:rsidRPr="001E5DD9">
        <w:rPr>
          <w:sz w:val="22"/>
          <w:szCs w:val="22"/>
          <w:u w:val="single"/>
        </w:rPr>
        <w:t>Welt</w:t>
      </w:r>
      <w:r w:rsidR="003E527F">
        <w:rPr>
          <w:sz w:val="22"/>
          <w:szCs w:val="22"/>
        </w:rPr>
        <w:t>”</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4EB4E9F"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sidRPr="003264A5">
        <w:rPr>
          <w:sz w:val="22"/>
          <w:szCs w:val="22"/>
        </w:rPr>
        <w:t>“</w:t>
      </w:r>
      <w:r w:rsidRPr="003264A5">
        <w:rPr>
          <w:sz w:val="22"/>
          <w:szCs w:val="22"/>
          <w:u w:val="single"/>
        </w:rPr>
        <w:t>Ouvidor</w:t>
      </w:r>
      <w:r w:rsidRPr="003264A5">
        <w:rPr>
          <w:sz w:val="22"/>
          <w:szCs w:val="22"/>
        </w:rPr>
        <w:t>”</w:t>
      </w:r>
      <w:r w:rsidR="00584A0D" w:rsidRPr="002D4089">
        <w:rPr>
          <w:sz w:val="22"/>
          <w:szCs w:val="22"/>
        </w:rPr>
        <w:t>)</w:t>
      </w:r>
      <w:r w:rsidR="00425F2A" w:rsidRPr="002D4089">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0FB2E9C4"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t xml:space="preserve">A </w:t>
      </w:r>
      <w:r w:rsidR="001954A6">
        <w:rPr>
          <w:sz w:val="22"/>
          <w:szCs w:val="22"/>
        </w:rPr>
        <w:t>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lastRenderedPageBreak/>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5BDFE9A"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00D0735F">
        <w:rPr>
          <w:sz w:val="22"/>
          <w:szCs w:val="22"/>
        </w:rPr>
        <w:t xml:space="preserve"> (conforme abaixo definido)</w:t>
      </w:r>
      <w:r w:rsidRPr="00BF27E8">
        <w:rPr>
          <w:sz w:val="22"/>
          <w:szCs w:val="22"/>
        </w:rPr>
        <w:t xml:space="preserve"> </w:t>
      </w:r>
      <w:r w:rsidR="00291E59">
        <w:rPr>
          <w:sz w:val="22"/>
          <w:szCs w:val="22"/>
        </w:rPr>
        <w:t>celebrou a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Pr="003264A5">
        <w:rPr>
          <w:sz w:val="22"/>
          <w:szCs w:val="22"/>
        </w:rPr>
        <w:t xml:space="preserve">Bernoulli </w:t>
      </w:r>
      <w:r w:rsidR="00E04F53" w:rsidRPr="003264A5">
        <w:rPr>
          <w:sz w:val="22"/>
          <w:szCs w:val="22"/>
        </w:rPr>
        <w:t>Energia Ltda (“</w:t>
      </w:r>
      <w:r w:rsidR="00E04F53" w:rsidRPr="003264A5">
        <w:rPr>
          <w:sz w:val="22"/>
          <w:szCs w:val="22"/>
          <w:u w:val="single"/>
        </w:rPr>
        <w:t>Bernoulli</w:t>
      </w:r>
      <w:r w:rsidR="004047B6" w:rsidRPr="003264A5">
        <w:rPr>
          <w:sz w:val="22"/>
          <w:szCs w:val="22"/>
        </w:rPr>
        <w:t>”)</w:t>
      </w:r>
      <w:r w:rsidR="00E04F53" w:rsidRPr="003264A5">
        <w:rPr>
          <w:sz w:val="22"/>
          <w:szCs w:val="22"/>
        </w:rPr>
        <w:t xml:space="preserve"> </w:t>
      </w:r>
      <w:r w:rsidRPr="003264A5">
        <w:rPr>
          <w:sz w:val="22"/>
          <w:szCs w:val="22"/>
        </w:rPr>
        <w:t>na qualidade de emissora</w:t>
      </w:r>
      <w:r w:rsidRPr="00585A0E">
        <w:rPr>
          <w:sz w:val="22"/>
          <w:szCs w:val="22"/>
        </w:rPr>
        <w:t>,</w:t>
      </w:r>
      <w:r>
        <w:rPr>
          <w:sz w:val="22"/>
          <w:szCs w:val="22"/>
        </w:rPr>
        <w:t xml:space="preserve"> </w:t>
      </w:r>
      <w:r w:rsidR="003F739F">
        <w:rPr>
          <w:sz w:val="22"/>
          <w:szCs w:val="22"/>
        </w:rPr>
        <w:t xml:space="preserve">Ouvidor,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5D90E2CC"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celebrou a 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Pr="00207EB9"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w:t>
      </w:r>
      <w:r w:rsidR="002546BF" w:rsidRPr="00207EB9">
        <w:rPr>
          <w:sz w:val="22"/>
          <w:szCs w:val="22"/>
        </w:rPr>
        <w:t>lterada (“</w:t>
      </w:r>
      <w:r w:rsidR="002546BF" w:rsidRPr="00207EB9">
        <w:rPr>
          <w:sz w:val="22"/>
          <w:szCs w:val="22"/>
          <w:u w:val="single"/>
        </w:rPr>
        <w:t>MP n° 1.103/22</w:t>
      </w:r>
      <w:r w:rsidR="002546BF" w:rsidRPr="00207EB9">
        <w:rPr>
          <w:sz w:val="22"/>
          <w:szCs w:val="22"/>
        </w:rPr>
        <w:t>”)</w:t>
      </w:r>
      <w:r w:rsidRPr="00207EB9">
        <w:rPr>
          <w:sz w:val="22"/>
          <w:szCs w:val="22"/>
        </w:rPr>
        <w:t>;</w:t>
      </w:r>
    </w:p>
    <w:p w14:paraId="56E33BB7" w14:textId="77777777" w:rsidR="00D02640" w:rsidRPr="00207EB9" w:rsidRDefault="00D02640" w:rsidP="000A2A18">
      <w:pPr>
        <w:pStyle w:val="PargrafodaLista"/>
        <w:rPr>
          <w:sz w:val="22"/>
          <w:szCs w:val="22"/>
        </w:rPr>
      </w:pPr>
    </w:p>
    <w:p w14:paraId="2E17DD54" w14:textId="00F9CC53" w:rsidR="00D02640" w:rsidRPr="00207EB9" w:rsidRDefault="00D02640" w:rsidP="00D02640">
      <w:pPr>
        <w:pStyle w:val="PargrafodaLista"/>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Instituição 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PargrafodaLista"/>
        <w:rPr>
          <w:sz w:val="22"/>
          <w:szCs w:val="22"/>
        </w:rPr>
      </w:pPr>
    </w:p>
    <w:p w14:paraId="4A329CF1" w14:textId="679E034A" w:rsidR="003036A8" w:rsidRPr="00207EB9" w:rsidRDefault="00A026F9" w:rsidP="000A2A18">
      <w:pPr>
        <w:pStyle w:val="PargrafodaLista"/>
        <w:numPr>
          <w:ilvl w:val="0"/>
          <w:numId w:val="46"/>
        </w:numPr>
        <w:spacing w:line="300" w:lineRule="auto"/>
        <w:ind w:left="0" w:firstLine="0"/>
        <w:jc w:val="both"/>
        <w:rPr>
          <w:sz w:val="22"/>
          <w:szCs w:val="22"/>
        </w:rPr>
      </w:pPr>
      <w:r w:rsidRPr="00207EB9">
        <w:rPr>
          <w:bCs/>
          <w:sz w:val="22"/>
          <w:szCs w:val="22"/>
        </w:rPr>
        <w:t xml:space="preserve">A Fiduciária vinculou </w:t>
      </w:r>
      <w:r w:rsidR="00013FEF" w:rsidRPr="00207EB9">
        <w:rPr>
          <w:bCs/>
          <w:sz w:val="22"/>
          <w:szCs w:val="22"/>
        </w:rPr>
        <w:t>os Créditos Imobiliários, representados pel</w:t>
      </w:r>
      <w:r w:rsidRPr="00207EB9">
        <w:rPr>
          <w:bCs/>
          <w:sz w:val="22"/>
          <w:szCs w:val="22"/>
        </w:rPr>
        <w:t xml:space="preserve">as CCI aos certificados de recebíveis imobiliários </w:t>
      </w:r>
      <w:r w:rsidR="00EE581A">
        <w:rPr>
          <w:bCs/>
          <w:sz w:val="22"/>
          <w:szCs w:val="22"/>
        </w:rPr>
        <w:t xml:space="preserve">das 1ª e 2ª Séries </w:t>
      </w:r>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emissão (“</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lastRenderedPageBreak/>
        <w:t>emitidos na forma do “</w:t>
      </w:r>
      <w:r w:rsidRPr="00207EB9">
        <w:rPr>
          <w:bCs/>
          <w:i/>
          <w:sz w:val="22"/>
          <w:szCs w:val="22"/>
        </w:rPr>
        <w:t xml:space="preserve">Termo de Securitização de Créditos </w:t>
      </w:r>
      <w:r w:rsidR="00EE581A">
        <w:rPr>
          <w:bCs/>
          <w:i/>
          <w:sz w:val="22"/>
          <w:szCs w:val="22"/>
        </w:rPr>
        <w:t xml:space="preserve">das 1ª e 2ª Séries </w:t>
      </w:r>
      <w:r w:rsidRPr="00207EB9">
        <w:rPr>
          <w:bCs/>
          <w:i/>
          <w:sz w:val="22"/>
          <w:szCs w:val="22"/>
        </w:rPr>
        <w:t xml:space="preserve">da </w:t>
      </w:r>
      <w:r w:rsidR="00EB3C33" w:rsidRPr="00207EB9">
        <w:rPr>
          <w:i/>
          <w:iCs/>
          <w:sz w:val="22"/>
          <w:szCs w:val="22"/>
        </w:rPr>
        <w:t>33</w:t>
      </w:r>
      <w:r w:rsidRPr="00207EB9">
        <w:rPr>
          <w:i/>
          <w:iCs/>
          <w:sz w:val="22"/>
          <w:szCs w:val="22"/>
        </w:rPr>
        <w:t xml:space="preserve">ª Emissão </w:t>
      </w:r>
      <w:r w:rsidRPr="00207EB9">
        <w:rPr>
          <w:bCs/>
          <w:i/>
          <w:sz w:val="22"/>
          <w:szCs w:val="22"/>
        </w:rPr>
        <w:t xml:space="preserve">de 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PargrafodaLista"/>
        <w:rPr>
          <w:sz w:val="22"/>
          <w:szCs w:val="22"/>
        </w:rPr>
      </w:pPr>
    </w:p>
    <w:p w14:paraId="785334E9" w14:textId="04E7F5AE"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026FA" w:rsidRPr="005026FA">
        <w:rPr>
          <w:sz w:val="22"/>
          <w:szCs w:val="22"/>
        </w:rPr>
        <w:t xml:space="preserve">presente e futuros, celebrados ou que venham a ser celebrados, decorrentes (i) de contratos de locação das </w:t>
      </w:r>
      <w:r w:rsidR="009220A3" w:rsidRPr="00BA75E8">
        <w:rPr>
          <w:sz w:val="22"/>
          <w:szCs w:val="22"/>
        </w:rPr>
        <w:t>Centrais Geradoras Hidrelétricas</w:t>
      </w:r>
      <w:r w:rsidR="005026FA" w:rsidRPr="005026FA">
        <w:rPr>
          <w:sz w:val="22"/>
          <w:szCs w:val="22"/>
        </w:rPr>
        <w:t>; (</w:t>
      </w:r>
      <w:proofErr w:type="spellStart"/>
      <w:r w:rsidR="005026FA" w:rsidRPr="005026FA">
        <w:rPr>
          <w:sz w:val="22"/>
          <w:szCs w:val="22"/>
        </w:rPr>
        <w:t>ii</w:t>
      </w:r>
      <w:proofErr w:type="spellEnd"/>
      <w:r w:rsidR="005026FA" w:rsidRPr="005026FA">
        <w:rPr>
          <w:sz w:val="22"/>
          <w:szCs w:val="22"/>
        </w:rPr>
        <w:t>) de contratos de locação ou arrendamento de parte do imóvel em posse da Bernoulli e/ou Ouvidor, para fins de aderir ao sistema de compensação de energia elétrica; e (</w:t>
      </w:r>
      <w:proofErr w:type="spellStart"/>
      <w:r w:rsidR="005026FA" w:rsidRPr="005026FA">
        <w:rPr>
          <w:sz w:val="22"/>
          <w:szCs w:val="22"/>
        </w:rPr>
        <w:t>iii</w:t>
      </w:r>
      <w:proofErr w:type="spellEnd"/>
      <w:r w:rsidR="005026FA" w:rsidRPr="005026FA">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Ouvidor</w:t>
      </w:r>
      <w:r w:rsidR="00585DF3">
        <w:rPr>
          <w:bCs/>
          <w:sz w:val="22"/>
          <w:szCs w:val="22"/>
        </w:rPr>
        <w:t xml:space="preserve">, </w:t>
      </w:r>
      <w:r w:rsidR="00006504" w:rsidRPr="00006504">
        <w:rPr>
          <w:bCs/>
          <w:sz w:val="22"/>
          <w:szCs w:val="22"/>
        </w:rPr>
        <w:t xml:space="preserve">na qualidade de fiduciantes, a Welt Geração Energética 01 Ltda., inscrita no CNPJ/ME sob o nº 31.550.039/0001-06,  </w:t>
      </w:r>
      <w:r w:rsidR="00A05E77">
        <w:rPr>
          <w:bCs/>
          <w:sz w:val="22"/>
          <w:szCs w:val="22"/>
        </w:rPr>
        <w:t>o Consórcio Bernoulli 1 Energia</w:t>
      </w:r>
      <w:r w:rsidR="00C1203B">
        <w:rPr>
          <w:bCs/>
          <w:sz w:val="22"/>
          <w:szCs w:val="22"/>
        </w:rPr>
        <w:t xml:space="preserve">, inscrito no CNPJ/ME sob o nº </w:t>
      </w:r>
      <w:r w:rsidR="00DE7E99" w:rsidRPr="00DE7E99">
        <w:rPr>
          <w:bCs/>
          <w:sz w:val="22"/>
          <w:szCs w:val="22"/>
        </w:rPr>
        <w:t>41.607.233/0001-34</w:t>
      </w:r>
      <w:r w:rsidR="00DE7E99">
        <w:rPr>
          <w:bCs/>
          <w:sz w:val="22"/>
          <w:szCs w:val="22"/>
        </w:rPr>
        <w:t xml:space="preserve">, o Consórcio Bernoulli 2 Energia, inscrito no CNPJ/ME sob o nº </w:t>
      </w:r>
      <w:r w:rsidR="00870C5F" w:rsidRPr="00870C5F">
        <w:rPr>
          <w:bCs/>
          <w:sz w:val="22"/>
          <w:szCs w:val="22"/>
        </w:rPr>
        <w:t>41.647.930/0001-19</w:t>
      </w:r>
      <w:r w:rsidR="00DE7E99">
        <w:rPr>
          <w:bCs/>
          <w:sz w:val="22"/>
          <w:szCs w:val="22"/>
        </w:rPr>
        <w:t>,</w:t>
      </w:r>
      <w:r w:rsidR="00BA5799" w:rsidRPr="005B63F5">
        <w:rPr>
          <w:bCs/>
          <w:sz w:val="22"/>
          <w:szCs w:val="22"/>
        </w:rPr>
        <w:t xml:space="preserve"> </w:t>
      </w:r>
      <w:r w:rsidR="00870C5F">
        <w:rPr>
          <w:bCs/>
          <w:sz w:val="22"/>
          <w:szCs w:val="22"/>
        </w:rPr>
        <w:t>o Consórcio Bernoulli 3 Energia, inscrito no CNPJ/ME sob o nº</w:t>
      </w:r>
      <w:r w:rsidR="00870C5F" w:rsidRPr="00E244BD">
        <w:rPr>
          <w:sz w:val="22"/>
          <w:szCs w:val="22"/>
        </w:rPr>
        <w:t xml:space="preserve"> </w:t>
      </w:r>
      <w:r w:rsidR="00856799" w:rsidRPr="00856799">
        <w:rPr>
          <w:sz w:val="22"/>
          <w:szCs w:val="22"/>
        </w:rPr>
        <w:t>41.647.323/0001-59</w:t>
      </w:r>
      <w:r w:rsidR="00C53B29">
        <w:rPr>
          <w:sz w:val="22"/>
          <w:szCs w:val="22"/>
        </w:rPr>
        <w:t xml:space="preserve">, </w:t>
      </w:r>
      <w:r w:rsidR="00C53B29">
        <w:rPr>
          <w:bCs/>
          <w:sz w:val="22"/>
          <w:szCs w:val="22"/>
        </w:rPr>
        <w:t>o Consórcio Bernoulli 4 Energia, inscrito no CNPJ/ME sob o nº</w:t>
      </w:r>
      <w:r w:rsidR="00C53B29" w:rsidRPr="00E244BD">
        <w:rPr>
          <w:sz w:val="22"/>
          <w:szCs w:val="22"/>
        </w:rPr>
        <w:t xml:space="preserve"> </w:t>
      </w:r>
      <w:r w:rsidR="00971BE2" w:rsidRPr="00971BE2">
        <w:rPr>
          <w:sz w:val="22"/>
          <w:szCs w:val="22"/>
        </w:rPr>
        <w:t>41.647.333/0001-94</w:t>
      </w:r>
      <w:r w:rsidR="00971BE2">
        <w:rPr>
          <w:sz w:val="22"/>
          <w:szCs w:val="22"/>
        </w:rPr>
        <w:t xml:space="preserve">, </w:t>
      </w:r>
      <w:r w:rsidR="00B5526E">
        <w:rPr>
          <w:sz w:val="22"/>
          <w:szCs w:val="22"/>
        </w:rPr>
        <w:t xml:space="preserve">o </w:t>
      </w:r>
      <w:r w:rsidR="00B5526E">
        <w:rPr>
          <w:bCs/>
          <w:sz w:val="22"/>
          <w:szCs w:val="22"/>
        </w:rPr>
        <w:t xml:space="preserve">Consórcio Ouvidor 1 Energia, </w:t>
      </w:r>
      <w:r w:rsidR="001A396A" w:rsidRPr="001A396A">
        <w:rPr>
          <w:bCs/>
          <w:sz w:val="22"/>
          <w:szCs w:val="22"/>
        </w:rPr>
        <w:t>inscrit</w:t>
      </w:r>
      <w:r w:rsidR="001A396A">
        <w:rPr>
          <w:bCs/>
          <w:sz w:val="22"/>
          <w:szCs w:val="22"/>
        </w:rPr>
        <w:t>o</w:t>
      </w:r>
      <w:r w:rsidR="001A396A" w:rsidRPr="001A396A">
        <w:rPr>
          <w:bCs/>
          <w:sz w:val="22"/>
          <w:szCs w:val="22"/>
        </w:rPr>
        <w:t xml:space="preserve"> no CNPJ/ME sob o nº 41.647.922/0001-72</w:t>
      </w:r>
      <w:r w:rsidR="004F250F">
        <w:rPr>
          <w:bCs/>
          <w:sz w:val="22"/>
          <w:szCs w:val="22"/>
        </w:rPr>
        <w:t xml:space="preserve">, </w:t>
      </w:r>
      <w:r w:rsidR="00B5526E">
        <w:rPr>
          <w:bCs/>
          <w:sz w:val="22"/>
          <w:szCs w:val="22"/>
        </w:rPr>
        <w:t>Consórcio Bernoulli 2 Energia</w:t>
      </w:r>
      <w:r w:rsidR="004F250F">
        <w:rPr>
          <w:bCs/>
          <w:sz w:val="22"/>
          <w:szCs w:val="22"/>
        </w:rPr>
        <w:t>,</w:t>
      </w:r>
      <w:r w:rsidR="00B5526E" w:rsidRPr="00E244BD">
        <w:rPr>
          <w:sz w:val="22"/>
          <w:szCs w:val="22"/>
        </w:rPr>
        <w:t xml:space="preserve"> </w:t>
      </w:r>
      <w:r w:rsidR="004F250F" w:rsidRPr="004F250F">
        <w:rPr>
          <w:sz w:val="22"/>
          <w:szCs w:val="22"/>
        </w:rPr>
        <w:t>inscrito no CNPJ/ME sob o nº 41.607.231/0001-45</w:t>
      </w:r>
      <w:r w:rsidR="004F250F">
        <w:rPr>
          <w:sz w:val="22"/>
          <w:szCs w:val="22"/>
        </w:rPr>
        <w:t>,</w:t>
      </w:r>
      <w:r w:rsidR="00615DAF">
        <w:rPr>
          <w:sz w:val="22"/>
          <w:szCs w:val="22"/>
        </w:rPr>
        <w:t xml:space="preserve"> </w:t>
      </w:r>
      <w:r w:rsidR="00615DAF" w:rsidRPr="00615DAF">
        <w:rPr>
          <w:sz w:val="22"/>
          <w:szCs w:val="22"/>
        </w:rPr>
        <w:t>na qualidade de intervenientes anuentes</w:t>
      </w:r>
      <w:r w:rsidR="004F250F">
        <w:rPr>
          <w:sz w:val="22"/>
          <w:szCs w:val="22"/>
        </w:rPr>
        <w:t xml:space="preserve">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51C8D852"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6B2D8F">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4"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6B2D8F">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4"/>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865F53">
        <w:rPr>
          <w:sz w:val="22"/>
          <w:szCs w:val="22"/>
        </w:rPr>
        <w:t>das 1ª e 2ª Séries</w:t>
      </w:r>
      <w:r w:rsidRPr="005E3A11">
        <w:rPr>
          <w:sz w:val="22"/>
          <w:szCs w:val="22"/>
        </w:rPr>
        <w:t xml:space="preserve">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5"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6" w:name="_Hlk105169110"/>
      <w:bookmarkEnd w:id="5"/>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7" w:name="_Hlk105170539"/>
      <w:bookmarkEnd w:id="6"/>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7"/>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8"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8"/>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9"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9"/>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xml:space="preserve">, cuja celebração, execução e extinção </w:t>
      </w:r>
      <w:r w:rsidR="000E3AB4" w:rsidRPr="00760BB3">
        <w:rPr>
          <w:sz w:val="22"/>
          <w:szCs w:val="22"/>
        </w:rPr>
        <w:lastRenderedPageBreak/>
        <w:t>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0" w:name="_Toc522079146"/>
      <w:bookmarkStart w:id="11"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0"/>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79C2D83B"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00EC5274">
        <w:rPr>
          <w:sz w:val="22"/>
          <w:szCs w:val="22"/>
        </w:rPr>
        <w:t>,</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2" w:name="_DV_M125"/>
      <w:bookmarkEnd w:id="12"/>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lastRenderedPageBreak/>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1E5DD9">
      <w:pPr>
        <w:pStyle w:val="Ttulo5"/>
        <w:pageBreakBefore/>
        <w:overflowPunct/>
        <w:autoSpaceDE/>
        <w:adjustRightInd/>
        <w:spacing w:line="300" w:lineRule="auto"/>
        <w:ind w:left="0"/>
        <w:jc w:val="both"/>
        <w:rPr>
          <w:rFonts w:ascii="Times New Roman" w:hAnsi="Times New Roman"/>
          <w:sz w:val="22"/>
          <w:szCs w:val="22"/>
          <w:lang w:val="pt-BR"/>
        </w:rPr>
      </w:pPr>
      <w:bookmarkStart w:id="13" w:name="_Toc522079148"/>
      <w:bookmarkEnd w:id="11"/>
      <w:r w:rsidRPr="00760BB3">
        <w:rPr>
          <w:rFonts w:ascii="Times New Roman" w:hAnsi="Times New Roman"/>
          <w:sz w:val="22"/>
          <w:szCs w:val="22"/>
          <w:lang w:val="pt-BR"/>
        </w:rPr>
        <w:lastRenderedPageBreak/>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211F9FE7"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sidR="00964AC0">
        <w:rPr>
          <w:bCs/>
          <w:sz w:val="22"/>
          <w:szCs w:val="22"/>
        </w:rPr>
        <w:t xml:space="preserve">16 </w:t>
      </w:r>
      <w:r w:rsidR="00C952A2">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3930183F" w:rsidR="00FE4A82" w:rsidRPr="0029217C"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sidR="00C374EC" w:rsidRPr="00C374EC">
        <w:rPr>
          <w:bCs/>
          <w:sz w:val="22"/>
          <w:szCs w:val="22"/>
        </w:rPr>
        <w:t xml:space="preserve"> </w:t>
      </w:r>
      <w:r w:rsidR="00EF69EE">
        <w:rPr>
          <w:bCs/>
          <w:sz w:val="22"/>
          <w:szCs w:val="22"/>
        </w:rPr>
        <w:t>4.</w:t>
      </w:r>
      <w:r w:rsidR="00760C09">
        <w:rPr>
          <w:bCs/>
          <w:sz w:val="22"/>
          <w:szCs w:val="22"/>
        </w:rPr>
        <w:t>3</w:t>
      </w:r>
      <w:r w:rsidR="0087001B">
        <w:rPr>
          <w:bCs/>
          <w:sz w:val="22"/>
          <w:szCs w:val="22"/>
        </w:rPr>
        <w:t xml:space="preserve">82 </w:t>
      </w:r>
      <w:r w:rsidR="00EF69EE">
        <w:rPr>
          <w:bCs/>
          <w:sz w:val="22"/>
          <w:szCs w:val="22"/>
        </w:rPr>
        <w:t xml:space="preserve">(quatro mil trezentos e </w:t>
      </w:r>
      <w:r w:rsidR="0087001B">
        <w:rPr>
          <w:bCs/>
          <w:sz w:val="22"/>
          <w:szCs w:val="22"/>
        </w:rPr>
        <w:t>oitenta e dois</w:t>
      </w:r>
      <w:r w:rsidR="00EF69EE">
        <w:rPr>
          <w:bCs/>
          <w:sz w:val="22"/>
          <w:szCs w:val="22"/>
        </w:rPr>
        <w:t xml:space="preserve">) </w:t>
      </w:r>
      <w:r>
        <w:rPr>
          <w:bCs/>
          <w:sz w:val="22"/>
          <w:szCs w:val="22"/>
        </w:rPr>
        <w:t>dias</w:t>
      </w:r>
      <w:r w:rsidRPr="0029217C">
        <w:rPr>
          <w:bCs/>
          <w:sz w:val="22"/>
          <w:szCs w:val="22"/>
        </w:rPr>
        <w:t xml:space="preserve"> contados da Data de Emissão</w:t>
      </w:r>
    </w:p>
    <w:p w14:paraId="0832731E" w14:textId="25D8716F"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sidR="00252AC7">
        <w:rPr>
          <w:bCs/>
          <w:sz w:val="22"/>
          <w:szCs w:val="22"/>
        </w:rPr>
        <w:t>1</w:t>
      </w:r>
      <w:r w:rsidR="0087001B">
        <w:rPr>
          <w:bCs/>
          <w:sz w:val="22"/>
          <w:szCs w:val="22"/>
        </w:rPr>
        <w:t>5</w:t>
      </w:r>
      <w:r w:rsidR="00252AC7">
        <w:rPr>
          <w:bCs/>
          <w:sz w:val="22"/>
          <w:szCs w:val="22"/>
        </w:rPr>
        <w:t xml:space="preserve"> </w:t>
      </w:r>
      <w:r w:rsidR="006175DC">
        <w:rPr>
          <w:bCs/>
          <w:sz w:val="22"/>
          <w:szCs w:val="22"/>
        </w:rPr>
        <w:t xml:space="preserve">de </w:t>
      </w:r>
      <w:r w:rsidR="0091254F">
        <w:rPr>
          <w:bCs/>
          <w:sz w:val="22"/>
          <w:szCs w:val="22"/>
        </w:rPr>
        <w:t xml:space="preserve">agosto </w:t>
      </w:r>
      <w:r w:rsidRPr="00D20D39">
        <w:rPr>
          <w:bCs/>
          <w:sz w:val="22"/>
          <w:szCs w:val="22"/>
        </w:rPr>
        <w:t xml:space="preserve">de </w:t>
      </w:r>
      <w:r w:rsidR="00B52C01" w:rsidRPr="00D20D39">
        <w:rPr>
          <w:bCs/>
          <w:sz w:val="22"/>
          <w:szCs w:val="22"/>
        </w:rPr>
        <w:t>20</w:t>
      </w:r>
      <w:r w:rsidR="00B52C01">
        <w:rPr>
          <w:bCs/>
          <w:sz w:val="22"/>
          <w:szCs w:val="22"/>
        </w:rPr>
        <w:t>34</w:t>
      </w:r>
      <w:r w:rsidRPr="00173F2C">
        <w:rPr>
          <w:bCs/>
          <w:sz w:val="22"/>
          <w:szCs w:val="22"/>
        </w:rPr>
        <w:t>;</w:t>
      </w:r>
    </w:p>
    <w:p w14:paraId="1276ECCA" w14:textId="7970672A"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PargrafodaLista"/>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14" w:name="_Hlk108534213"/>
      <w:r>
        <w:rPr>
          <w:bCs/>
          <w:sz w:val="22"/>
          <w:szCs w:val="22"/>
        </w:rPr>
        <w:t>São Paulo/SP</w:t>
      </w:r>
      <w:bookmarkEnd w:id="14"/>
      <w:r>
        <w:rPr>
          <w:bCs/>
          <w:sz w:val="22"/>
          <w:szCs w:val="22"/>
        </w:rPr>
        <w:t xml:space="preserve">; </w:t>
      </w:r>
      <w:r w:rsidRPr="005B63F5">
        <w:rPr>
          <w:color w:val="000000"/>
          <w:sz w:val="22"/>
          <w:szCs w:val="22"/>
        </w:rPr>
        <w:t>e</w:t>
      </w:r>
    </w:p>
    <w:p w14:paraId="709D98DF" w14:textId="77777777" w:rsidR="00FE4A82" w:rsidRDefault="00FE4A82" w:rsidP="005578E8">
      <w:pPr>
        <w:pStyle w:val="PargrafodaLista"/>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PargrafodaLista"/>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1E5DD9">
      <w:pPr>
        <w:pStyle w:val="Ttulo5"/>
        <w:pageBreakBefore/>
        <w:spacing w:line="300" w:lineRule="auto"/>
        <w:ind w:left="0"/>
        <w:jc w:val="both"/>
        <w:rPr>
          <w:rFonts w:ascii="Times New Roman" w:hAnsi="Times New Roman"/>
          <w:sz w:val="22"/>
          <w:szCs w:val="22"/>
          <w:lang w:val="pt-BR"/>
        </w:rPr>
      </w:pPr>
      <w:bookmarkStart w:id="15" w:name="_Toc522079149"/>
      <w:bookmarkEnd w:id="13"/>
      <w:r w:rsidRPr="00760BB3">
        <w:rPr>
          <w:rFonts w:ascii="Times New Roman" w:hAnsi="Times New Roman"/>
          <w:sz w:val="22"/>
          <w:szCs w:val="22"/>
          <w:lang w:val="pt-BR"/>
        </w:rPr>
        <w:lastRenderedPageBreak/>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420E137F"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34ADAAA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AC5532" w:rsidRPr="00AD2D74">
        <w:rPr>
          <w:rFonts w:ascii="Times New Roman" w:hAnsi="Times New Roman"/>
          <w:b w:val="0"/>
          <w:sz w:val="22"/>
          <w:szCs w:val="22"/>
          <w:highlight w:val="yellow"/>
        </w:rPr>
        <w:t xml:space="preserve"> </w:t>
      </w:r>
      <w:r w:rsidR="00AC5532" w:rsidRPr="003264A5">
        <w:rPr>
          <w:rFonts w:ascii="Times New Roman" w:hAnsi="Times New Roman"/>
          <w:b w:val="0"/>
          <w:sz w:val="22"/>
          <w:szCs w:val="22"/>
        </w:rPr>
        <w:t>4.619.</w:t>
      </w:r>
      <w:r w:rsidR="006B4EAC" w:rsidRPr="003264A5">
        <w:rPr>
          <w:rFonts w:ascii="Times New Roman" w:hAnsi="Times New Roman"/>
          <w:b w:val="0"/>
          <w:sz w:val="22"/>
          <w:szCs w:val="22"/>
        </w:rPr>
        <w:t>135,00 (quatro milhões seiscentos e dezenove mil cento e trinta e cinco reais)</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39C4A7B0"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0EF38894" w:rsidR="003B4CB3" w:rsidRPr="00760BB3" w:rsidRDefault="00D96154" w:rsidP="005578E8">
      <w:pPr>
        <w:pStyle w:val="Corpodetexto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4CBB813"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xml:space="preserve">) as Quotas e os Direitos são de sua exclusiva titularidade, podendo dispor, alienar sob qualquer forma ou, ainda, oferecer em </w:t>
      </w:r>
      <w:r w:rsidR="00A16F47" w:rsidRPr="00237FCD">
        <w:rPr>
          <w:rFonts w:ascii="Times New Roman" w:hAnsi="Times New Roman"/>
          <w:b w:val="0"/>
          <w:sz w:val="22"/>
          <w:szCs w:val="22"/>
        </w:rPr>
        <w:lastRenderedPageBreak/>
        <w:t>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3793B31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7F94EAA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434EE1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2EF78302"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E39E3D5"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 xml:space="preserve">conforme </w:t>
      </w:r>
      <w:r w:rsidR="004221B2" w:rsidRPr="00760BB3">
        <w:rPr>
          <w:sz w:val="22"/>
          <w:szCs w:val="22"/>
        </w:rPr>
        <w:lastRenderedPageBreak/>
        <w:t>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6" w:name="_Hlk72083983"/>
      <w:r w:rsidR="00D21A36" w:rsidRPr="00760BB3">
        <w:rPr>
          <w:sz w:val="22"/>
          <w:szCs w:val="22"/>
        </w:rPr>
        <w:t xml:space="preserve">Contrato </w:t>
      </w:r>
      <w:r w:rsidR="00A8557C" w:rsidRPr="00760BB3">
        <w:rPr>
          <w:sz w:val="22"/>
          <w:szCs w:val="22"/>
        </w:rPr>
        <w:t>de Alienação Fiduciária de Quotas</w:t>
      </w:r>
      <w:bookmarkEnd w:id="16"/>
      <w:r w:rsidR="00A8557C" w:rsidRPr="00760BB3">
        <w:rPr>
          <w:sz w:val="22"/>
          <w:szCs w:val="22"/>
        </w:rPr>
        <w:t xml:space="preserve"> </w:t>
      </w:r>
      <w:bookmarkStart w:id="17"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sidRPr="003264A5">
        <w:rPr>
          <w:sz w:val="22"/>
          <w:szCs w:val="22"/>
        </w:rPr>
        <w:t>Cumari</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7"/>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8"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8"/>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479CAC3F"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87001B">
        <w:rPr>
          <w:i/>
          <w:sz w:val="22"/>
          <w:szCs w:val="22"/>
          <w:lang w:val="pt-PT"/>
        </w:rPr>
        <w:t>05 de agosto</w:t>
      </w:r>
      <w:r w:rsidR="001B2F4B">
        <w:rPr>
          <w:i/>
          <w:sz w:val="22"/>
          <w:szCs w:val="22"/>
          <w:lang w:val="pt-PT"/>
        </w:rPr>
        <w:t xml:space="preserve">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w:t>
      </w:r>
      <w:r w:rsidR="0061584A" w:rsidRPr="00760BB3">
        <w:rPr>
          <w:sz w:val="22"/>
          <w:szCs w:val="22"/>
        </w:rPr>
        <w:lastRenderedPageBreak/>
        <w:t xml:space="preserve">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lastRenderedPageBreak/>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50CD938"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450F3694"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PargrafodaLista"/>
        <w:numPr>
          <w:ilvl w:val="1"/>
          <w:numId w:val="51"/>
        </w:numPr>
        <w:tabs>
          <w:tab w:val="left" w:pos="567"/>
        </w:tabs>
        <w:spacing w:line="300" w:lineRule="auto"/>
        <w:ind w:left="567" w:hanging="567"/>
        <w:jc w:val="both"/>
        <w:rPr>
          <w:sz w:val="22"/>
          <w:szCs w:val="22"/>
        </w:rPr>
      </w:pPr>
      <w:r>
        <w:rPr>
          <w:sz w:val="22"/>
          <w:szCs w:val="22"/>
        </w:rPr>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PargrafodaLista"/>
        <w:rPr>
          <w:sz w:val="22"/>
          <w:szCs w:val="22"/>
        </w:rPr>
      </w:pPr>
    </w:p>
    <w:p w14:paraId="3B6D48EB" w14:textId="44BC1449"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lastRenderedPageBreak/>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PargrafodaLista"/>
        <w:rPr>
          <w:sz w:val="22"/>
          <w:szCs w:val="22"/>
        </w:rPr>
      </w:pPr>
    </w:p>
    <w:p w14:paraId="7E622919" w14:textId="19802672" w:rsidR="00C73DF4" w:rsidRDefault="00C73DF4" w:rsidP="00C73DF4">
      <w:pPr>
        <w:pStyle w:val="PargrafodaLista"/>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PargrafodaLista"/>
        <w:tabs>
          <w:tab w:val="left" w:pos="567"/>
        </w:tabs>
        <w:spacing w:line="300" w:lineRule="auto"/>
        <w:ind w:left="567"/>
        <w:jc w:val="both"/>
        <w:rPr>
          <w:sz w:val="22"/>
          <w:szCs w:val="22"/>
        </w:rPr>
      </w:pPr>
    </w:p>
    <w:p w14:paraId="338F6286" w14:textId="77777777" w:rsidR="00C73DF4" w:rsidRPr="00C73DF4" w:rsidRDefault="00C73DF4" w:rsidP="00635A1F">
      <w:pPr>
        <w:pStyle w:val="PargrafodaLista"/>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PargrafodaLista"/>
        <w:tabs>
          <w:tab w:val="left" w:pos="567"/>
        </w:tabs>
        <w:spacing w:line="300" w:lineRule="auto"/>
        <w:ind w:left="567"/>
        <w:jc w:val="both"/>
        <w:rPr>
          <w:sz w:val="22"/>
          <w:szCs w:val="22"/>
        </w:rPr>
      </w:pPr>
    </w:p>
    <w:p w14:paraId="7E631B3E" w14:textId="0F238CB3" w:rsidR="00C73DF4" w:rsidRPr="00C73DF4" w:rsidRDefault="004A3781" w:rsidP="00C73DF4">
      <w:pPr>
        <w:pStyle w:val="PargrafodaLista"/>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635A1F">
      <w:pPr>
        <w:pStyle w:val="PargrafodaLista"/>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rsidP="00635A1F">
      <w:pPr>
        <w:pStyle w:val="PargrafodaLista"/>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7EA79927"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46D66DC0"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2D727B6"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w:t>
      </w:r>
      <w:r w:rsidRPr="00852057">
        <w:rPr>
          <w:rFonts w:ascii="Times New Roman" w:hAnsi="Times New Roman"/>
          <w:b w:val="0"/>
          <w:sz w:val="22"/>
          <w:szCs w:val="22"/>
        </w:rPr>
        <w:lastRenderedPageBreak/>
        <w:t xml:space="preserve">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19"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6D61C120"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 xml:space="preserve">Fiduciante firma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lastRenderedPageBreak/>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0"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1" w:name="_Hlk31933237"/>
      <w:r w:rsidRPr="005B63F5">
        <w:rPr>
          <w:sz w:val="22"/>
          <w:szCs w:val="22"/>
        </w:rPr>
        <w:t xml:space="preserve">os quais serão submetidos à deliberação </w:t>
      </w:r>
      <w:bookmarkEnd w:id="21"/>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0"/>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Fiduciante, obriga-se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e </w:t>
      </w:r>
      <w:r w:rsidR="003B1D63" w:rsidRPr="00760BB3">
        <w:rPr>
          <w:rFonts w:ascii="Times New Roman" w:hAnsi="Times New Roman"/>
          <w:b w:val="0"/>
          <w:sz w:val="22"/>
          <w:szCs w:val="22"/>
          <w:lang w:val="pt-BR"/>
        </w:rPr>
        <w:t xml:space="preserve"> serão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25D0BCF3"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w:t>
      </w:r>
      <w:r w:rsidR="00894523" w:rsidRPr="00760BB3">
        <w:rPr>
          <w:sz w:val="22"/>
          <w:szCs w:val="22"/>
        </w:rPr>
        <w:lastRenderedPageBreak/>
        <w:t xml:space="preserve">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3368CEEA" w14:textId="5FEC1E8F" w:rsidR="00D71E97" w:rsidRPr="00E244BD" w:rsidRDefault="00D71E97" w:rsidP="00D71E97">
      <w:pPr>
        <w:pStyle w:val="NormalWeb"/>
        <w:spacing w:before="0" w:after="0" w:line="312" w:lineRule="auto"/>
        <w:ind w:left="993"/>
        <w:jc w:val="both"/>
        <w:rPr>
          <w:sz w:val="22"/>
          <w:szCs w:val="22"/>
        </w:rPr>
      </w:pPr>
      <w:bookmarkStart w:id="22" w:name="_Hlk54247941"/>
      <w:r>
        <w:rPr>
          <w:b/>
          <w:bCs/>
          <w:sz w:val="22"/>
          <w:szCs w:val="22"/>
        </w:rPr>
        <w:t>OUVIDOR ENERGIA LTDA</w:t>
      </w:r>
    </w:p>
    <w:p w14:paraId="56D6B4A2" w14:textId="5C70EEAA"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2668F878"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D8B29C0"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612B71F0"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16587A84"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p>
    <w:bookmarkEnd w:id="22"/>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3" w:name="_DV_M248"/>
      <w:bookmarkEnd w:id="23"/>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lastRenderedPageBreak/>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xml:space="preserve">: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w:t>
      </w:r>
      <w:r w:rsidR="0039440C">
        <w:rPr>
          <w:sz w:val="22"/>
          <w:szCs w:val="22"/>
        </w:rPr>
        <w:lastRenderedPageBreak/>
        <w:t>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9"/>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4" w:name="_DV_M242"/>
      <w:bookmarkStart w:id="25" w:name="_DV_M243"/>
      <w:bookmarkStart w:id="26" w:name="_DV_M244"/>
      <w:bookmarkStart w:id="27" w:name="_DV_M245"/>
      <w:bookmarkStart w:id="28" w:name="_DV_M246"/>
      <w:bookmarkStart w:id="29" w:name="_DV_M247"/>
      <w:bookmarkStart w:id="30" w:name="_DV_M249"/>
      <w:bookmarkStart w:id="31" w:name="_DV_M252"/>
      <w:bookmarkStart w:id="32" w:name="_DV_M253"/>
      <w:bookmarkStart w:id="33" w:name="_DV_M254"/>
      <w:bookmarkStart w:id="34" w:name="_DV_M255"/>
      <w:bookmarkStart w:id="35" w:name="_DV_M256"/>
      <w:bookmarkStart w:id="36" w:name="_DV_M257"/>
      <w:bookmarkStart w:id="37" w:name="_DV_M258"/>
      <w:bookmarkStart w:id="38" w:name="_DV_M259"/>
      <w:bookmarkStart w:id="39" w:name="_DV_M260"/>
      <w:bookmarkStart w:id="40" w:name="_DV_M261"/>
      <w:bookmarkStart w:id="41" w:name="_DV_M262"/>
      <w:bookmarkStart w:id="42" w:name="_DV_M263"/>
      <w:bookmarkStart w:id="43" w:name="_DV_M265"/>
      <w:bookmarkStart w:id="44" w:name="_DV_M266"/>
      <w:bookmarkStart w:id="45" w:name="_DV_M267"/>
      <w:bookmarkStart w:id="46" w:name="_DV_M268"/>
      <w:bookmarkStart w:id="47" w:name="_DV_M272"/>
      <w:bookmarkStart w:id="48" w:name="_DV_M27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357F50C0"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EB4CF8">
        <w:rPr>
          <w:sz w:val="22"/>
          <w:szCs w:val="22"/>
        </w:rPr>
        <w:t>05 de agosto</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78CFD2B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F20F6B" w:rsidRPr="007218AF">
        <w:rPr>
          <w:i/>
          <w:iCs/>
          <w:sz w:val="22"/>
          <w:szCs w:val="22"/>
        </w:rPr>
        <w:t>05 de agosto</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Default="00453266" w:rsidP="00760BB3">
      <w:pPr>
        <w:spacing w:line="300" w:lineRule="auto"/>
        <w:jc w:val="center"/>
        <w:rPr>
          <w:i/>
          <w:iCs/>
          <w:sz w:val="22"/>
          <w:szCs w:val="22"/>
        </w:rPr>
      </w:pPr>
      <w:r w:rsidRPr="005578E8">
        <w:rPr>
          <w:i/>
          <w:iCs/>
          <w:sz w:val="22"/>
          <w:szCs w:val="22"/>
        </w:rPr>
        <w:t>Fiduciante</w:t>
      </w:r>
    </w:p>
    <w:p w14:paraId="276BB2B1" w14:textId="77777777" w:rsidR="008D1FB0" w:rsidRDefault="008D1FB0" w:rsidP="00760BB3">
      <w:pPr>
        <w:spacing w:line="300" w:lineRule="auto"/>
        <w:jc w:val="center"/>
        <w:rPr>
          <w:i/>
          <w:iCs/>
          <w:sz w:val="22"/>
          <w:szCs w:val="22"/>
        </w:rPr>
      </w:pPr>
    </w:p>
    <w:p w14:paraId="489A86C7" w14:textId="77777777" w:rsidR="008D1FB0" w:rsidRDefault="008D1FB0" w:rsidP="00760BB3">
      <w:pPr>
        <w:spacing w:line="300" w:lineRule="auto"/>
        <w:jc w:val="center"/>
        <w:rPr>
          <w:i/>
          <w:iCs/>
          <w:sz w:val="22"/>
          <w:szCs w:val="22"/>
        </w:rPr>
      </w:pPr>
    </w:p>
    <w:p w14:paraId="3FB9C48B" w14:textId="77777777" w:rsidR="008D1FB0" w:rsidRPr="00BA75E8" w:rsidRDefault="008D1FB0" w:rsidP="008D1FB0">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D1FB0" w:rsidRPr="00BA75E8" w14:paraId="62BE37A2" w14:textId="77777777" w:rsidTr="000E6AA3">
        <w:trPr>
          <w:jc w:val="center"/>
        </w:trPr>
        <w:tc>
          <w:tcPr>
            <w:tcW w:w="4786" w:type="dxa"/>
          </w:tcPr>
          <w:p w14:paraId="54B5EFD2" w14:textId="77777777" w:rsidR="008D1FB0" w:rsidRPr="00BA75E8" w:rsidRDefault="008D1FB0"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D1FB0" w:rsidRPr="00BA75E8" w14:paraId="62C3FE51" w14:textId="77777777" w:rsidTr="000E6AA3">
        <w:trPr>
          <w:jc w:val="center"/>
        </w:trPr>
        <w:tc>
          <w:tcPr>
            <w:tcW w:w="4786" w:type="dxa"/>
          </w:tcPr>
          <w:p w14:paraId="366934B8" w14:textId="77777777" w:rsidR="008D1FB0" w:rsidRPr="00BA75E8" w:rsidRDefault="008D1FB0" w:rsidP="000E6AA3">
            <w:pPr>
              <w:widowControl w:val="0"/>
              <w:autoSpaceDE w:val="0"/>
              <w:autoSpaceDN w:val="0"/>
              <w:adjustRightInd w:val="0"/>
              <w:spacing w:line="312" w:lineRule="auto"/>
              <w:rPr>
                <w:sz w:val="22"/>
                <w:szCs w:val="22"/>
              </w:rPr>
            </w:pPr>
            <w:r w:rsidRPr="00BA75E8">
              <w:rPr>
                <w:sz w:val="22"/>
                <w:szCs w:val="22"/>
              </w:rPr>
              <w:t>Nome: Elvio José Machado</w:t>
            </w:r>
          </w:p>
          <w:p w14:paraId="7D183BC6" w14:textId="77777777" w:rsidR="008D1FB0" w:rsidRPr="00BA75E8" w:rsidRDefault="008D1FB0" w:rsidP="000E6AA3">
            <w:pPr>
              <w:widowControl w:val="0"/>
              <w:autoSpaceDE w:val="0"/>
              <w:autoSpaceDN w:val="0"/>
              <w:adjustRightInd w:val="0"/>
              <w:spacing w:line="312" w:lineRule="auto"/>
              <w:rPr>
                <w:sz w:val="22"/>
                <w:szCs w:val="22"/>
              </w:rPr>
            </w:pPr>
            <w:r w:rsidRPr="00BA75E8">
              <w:rPr>
                <w:sz w:val="22"/>
                <w:szCs w:val="22"/>
              </w:rPr>
              <w:t>CPF: 333.300.261-20</w:t>
            </w:r>
          </w:p>
          <w:p w14:paraId="25BA1F54" w14:textId="77777777" w:rsidR="008D1FB0" w:rsidRPr="00BA75E8" w:rsidRDefault="008D1FB0" w:rsidP="000E6AA3">
            <w:pPr>
              <w:widowControl w:val="0"/>
              <w:autoSpaceDE w:val="0"/>
              <w:autoSpaceDN w:val="0"/>
              <w:adjustRightInd w:val="0"/>
              <w:spacing w:line="312" w:lineRule="auto"/>
              <w:rPr>
                <w:sz w:val="22"/>
                <w:szCs w:val="22"/>
              </w:rPr>
            </w:pPr>
            <w:r w:rsidRPr="00BA75E8">
              <w:rPr>
                <w:sz w:val="22"/>
                <w:szCs w:val="22"/>
              </w:rPr>
              <w:t>e-mail: elvio.machado@weltenergia.com.br</w:t>
            </w:r>
          </w:p>
          <w:p w14:paraId="7050B1DA" w14:textId="77777777" w:rsidR="008D1FB0" w:rsidRPr="00BA75E8" w:rsidRDefault="008D1FB0"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0B93EB23" w14:textId="77777777" w:rsidR="008D1FB0" w:rsidRPr="005578E8" w:rsidRDefault="008D1FB0" w:rsidP="00760BB3">
      <w:pPr>
        <w:spacing w:line="300" w:lineRule="auto"/>
        <w:jc w:val="center"/>
        <w:rPr>
          <w:i/>
          <w:iCs/>
          <w:sz w:val="22"/>
          <w:szCs w:val="22"/>
        </w:rPr>
      </w:pPr>
    </w:p>
    <w:p w14:paraId="5F53FED7" w14:textId="77777777" w:rsidR="000F2AFA" w:rsidRPr="00760BB3" w:rsidRDefault="000F2AFA" w:rsidP="00760BB3">
      <w:pPr>
        <w:spacing w:line="300" w:lineRule="auto"/>
        <w:jc w:val="center"/>
        <w:rPr>
          <w:sz w:val="22"/>
          <w:szCs w:val="22"/>
        </w:rPr>
      </w:pPr>
    </w:p>
    <w:p w14:paraId="5AC44434" w14:textId="77777777" w:rsidR="003B43F1" w:rsidRDefault="003B43F1" w:rsidP="005578E8">
      <w:pPr>
        <w:widowControl w:val="0"/>
        <w:tabs>
          <w:tab w:val="left" w:pos="2214"/>
        </w:tabs>
        <w:autoSpaceDE w:val="0"/>
        <w:autoSpaceDN w:val="0"/>
        <w:adjustRightInd w:val="0"/>
        <w:spacing w:line="312" w:lineRule="auto"/>
        <w:rPr>
          <w:rFonts w:eastAsia="MS Mincho"/>
          <w:b/>
          <w:bCs/>
          <w:color w:val="000000"/>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EA86027" w14:textId="77777777" w:rsidR="00B72952" w:rsidRDefault="00B72952"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236D86" w:rsidRPr="000F4AAC" w14:paraId="2BBD9A5B" w14:textId="77777777" w:rsidTr="000B608E">
        <w:tc>
          <w:tcPr>
            <w:tcW w:w="4786" w:type="dxa"/>
          </w:tcPr>
          <w:p w14:paraId="4A92BC4B" w14:textId="7D2FA85C" w:rsidR="00236D86" w:rsidRPr="000F4AAC" w:rsidRDefault="00236D86" w:rsidP="00236D86">
            <w:pPr>
              <w:widowControl w:val="0"/>
              <w:autoSpaceDE w:val="0"/>
              <w:autoSpaceDN w:val="0"/>
              <w:adjustRightInd w:val="0"/>
              <w:spacing w:line="312" w:lineRule="auto"/>
              <w:rPr>
                <w:rFonts w:eastAsia="MS Mincho"/>
                <w:color w:val="000000"/>
                <w:lang w:eastAsia="en-US"/>
              </w:rPr>
            </w:pPr>
            <w:r>
              <w:rPr>
                <w:rFonts w:eastAsia="MS Mincho"/>
                <w:color w:val="000000"/>
                <w:sz w:val="22"/>
                <w:szCs w:val="22"/>
                <w:lang w:eastAsia="en-US"/>
              </w:rPr>
              <w:t>Nome: Pedro Paulo Oliveira de Moraes</w:t>
            </w:r>
          </w:p>
        </w:tc>
        <w:tc>
          <w:tcPr>
            <w:tcW w:w="4111" w:type="dxa"/>
          </w:tcPr>
          <w:p w14:paraId="7A4E5FC9" w14:textId="285ADAFE" w:rsidR="00236D86" w:rsidRPr="000F4AAC" w:rsidRDefault="00236D86" w:rsidP="00236D86">
            <w:pPr>
              <w:widowControl w:val="0"/>
              <w:autoSpaceDE w:val="0"/>
              <w:autoSpaceDN w:val="0"/>
              <w:adjustRightInd w:val="0"/>
              <w:spacing w:line="312" w:lineRule="auto"/>
              <w:jc w:val="both"/>
              <w:rPr>
                <w:rFonts w:eastAsia="MS Mincho"/>
                <w:color w:val="000000"/>
                <w:lang w:eastAsia="en-US"/>
              </w:rPr>
            </w:pPr>
            <w:r>
              <w:rPr>
                <w:rFonts w:eastAsia="MS Mincho"/>
                <w:color w:val="000000"/>
                <w:sz w:val="22"/>
                <w:szCs w:val="22"/>
                <w:lang w:eastAsia="en-US"/>
              </w:rPr>
              <w:t>Nome: Luisa Herkenhoff Mis</w:t>
            </w:r>
          </w:p>
        </w:tc>
      </w:tr>
      <w:tr w:rsidR="00236D86" w:rsidRPr="000F4AAC" w14:paraId="361B3D56" w14:textId="77777777" w:rsidTr="000B608E">
        <w:tc>
          <w:tcPr>
            <w:tcW w:w="4786" w:type="dxa"/>
          </w:tcPr>
          <w:p w14:paraId="5E77206B" w14:textId="77777777" w:rsidR="00236D86" w:rsidRDefault="00236D86" w:rsidP="00236D86">
            <w:pPr>
              <w:widowControl w:val="0"/>
              <w:autoSpaceDE w:val="0"/>
              <w:autoSpaceDN w:val="0"/>
              <w:adjustRightInd w:val="0"/>
              <w:spacing w:line="312" w:lineRule="auto"/>
              <w:rPr>
                <w:rFonts w:eastAsia="MS Mincho"/>
                <w:color w:val="000000"/>
                <w:sz w:val="22"/>
                <w:szCs w:val="22"/>
                <w:lang w:eastAsia="en-US"/>
              </w:rPr>
            </w:pPr>
            <w:r>
              <w:rPr>
                <w:rFonts w:eastAsia="MS Mincho"/>
                <w:color w:val="000000"/>
                <w:sz w:val="22"/>
                <w:szCs w:val="22"/>
                <w:lang w:eastAsia="en-US"/>
              </w:rPr>
              <w:t>CPF: 222.043.388-93</w:t>
            </w:r>
          </w:p>
          <w:p w14:paraId="192851DA" w14:textId="60131161" w:rsidR="00236D86" w:rsidRPr="000F4AAC" w:rsidRDefault="00236D86" w:rsidP="00236D86">
            <w:pPr>
              <w:widowControl w:val="0"/>
              <w:autoSpaceDE w:val="0"/>
              <w:autoSpaceDN w:val="0"/>
              <w:adjustRightInd w:val="0"/>
              <w:spacing w:line="312" w:lineRule="auto"/>
              <w:rPr>
                <w:rFonts w:eastAsia="MS Mincho"/>
                <w:color w:val="000000"/>
                <w:lang w:eastAsia="en-US"/>
              </w:rPr>
            </w:pPr>
            <w:r>
              <w:rPr>
                <w:rFonts w:eastAsia="MS Mincho"/>
                <w:color w:val="000000"/>
                <w:sz w:val="22"/>
                <w:szCs w:val="22"/>
                <w:lang w:eastAsia="en-US"/>
              </w:rPr>
              <w:t>e-mail: pedro@virgo.inc</w:t>
            </w:r>
          </w:p>
        </w:tc>
        <w:tc>
          <w:tcPr>
            <w:tcW w:w="4111" w:type="dxa"/>
          </w:tcPr>
          <w:p w14:paraId="3098FB78" w14:textId="77777777" w:rsidR="00236D86" w:rsidRDefault="00236D86" w:rsidP="00236D86">
            <w:pPr>
              <w:widowControl w:val="0"/>
              <w:autoSpaceDE w:val="0"/>
              <w:autoSpaceDN w:val="0"/>
              <w:adjustRightInd w:val="0"/>
              <w:spacing w:line="312" w:lineRule="auto"/>
              <w:jc w:val="both"/>
              <w:rPr>
                <w:rFonts w:eastAsia="MS Mincho"/>
                <w:color w:val="000000"/>
                <w:sz w:val="22"/>
                <w:szCs w:val="22"/>
                <w:lang w:eastAsia="en-US"/>
              </w:rPr>
            </w:pPr>
            <w:r>
              <w:rPr>
                <w:rFonts w:eastAsia="MS Mincho"/>
                <w:color w:val="000000"/>
                <w:sz w:val="22"/>
                <w:szCs w:val="22"/>
                <w:lang w:eastAsia="en-US"/>
              </w:rPr>
              <w:t>CPF: 122.277.507-74</w:t>
            </w:r>
          </w:p>
          <w:p w14:paraId="2CAAF8E5" w14:textId="5D6B9E4A" w:rsidR="00236D86" w:rsidRPr="000F4AAC" w:rsidRDefault="00236D86" w:rsidP="00236D86">
            <w:pPr>
              <w:widowControl w:val="0"/>
              <w:autoSpaceDE w:val="0"/>
              <w:autoSpaceDN w:val="0"/>
              <w:adjustRightInd w:val="0"/>
              <w:spacing w:line="312" w:lineRule="auto"/>
              <w:jc w:val="both"/>
              <w:rPr>
                <w:rFonts w:eastAsia="MS Mincho"/>
                <w:color w:val="000000"/>
                <w:lang w:eastAsia="en-US"/>
              </w:rPr>
            </w:pPr>
            <w:r>
              <w:rPr>
                <w:rFonts w:eastAsia="MS Mincho"/>
                <w:color w:val="000000"/>
                <w:sz w:val="22"/>
                <w:szCs w:val="22"/>
                <w:lang w:eastAsia="en-US"/>
              </w:rPr>
              <w:t>e-mail: luisa.herkenhoss@virgo.inc</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CDD709C"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p w14:paraId="4635D216"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p w14:paraId="19C95F6D" w14:textId="77777777" w:rsidR="00BC325F" w:rsidRPr="00BA75E8" w:rsidRDefault="00BC325F" w:rsidP="00BC325F">
      <w:pPr>
        <w:widowControl w:val="0"/>
        <w:autoSpaceDE w:val="0"/>
        <w:autoSpaceDN w:val="0"/>
        <w:adjustRightInd w:val="0"/>
        <w:spacing w:line="312" w:lineRule="auto"/>
        <w:jc w:val="center"/>
        <w:rPr>
          <w:b/>
          <w:sz w:val="22"/>
          <w:szCs w:val="22"/>
        </w:rPr>
      </w:pPr>
      <w:r w:rsidRPr="00BA75E8">
        <w:rPr>
          <w:b/>
          <w:sz w:val="22"/>
          <w:szCs w:val="22"/>
        </w:rPr>
        <w:t>OUVIDOR ENERGIA LTDA.</w:t>
      </w:r>
    </w:p>
    <w:p w14:paraId="5D5E8C5F"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p w14:paraId="0F3C060F" w14:textId="77777777" w:rsidR="00BC325F" w:rsidRPr="00BA75E8" w:rsidRDefault="00BC325F" w:rsidP="00BC325F">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BC325F" w:rsidRPr="00BA75E8" w14:paraId="6B4F10C8" w14:textId="77777777" w:rsidTr="000E6AA3">
        <w:trPr>
          <w:jc w:val="center"/>
        </w:trPr>
        <w:tc>
          <w:tcPr>
            <w:tcW w:w="4786" w:type="dxa"/>
          </w:tcPr>
          <w:p w14:paraId="0CC1365C" w14:textId="77777777" w:rsidR="00BC325F" w:rsidRPr="00BA75E8" w:rsidRDefault="00BC325F"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BC325F" w:rsidRPr="00BA75E8" w14:paraId="510BCBD8" w14:textId="77777777" w:rsidTr="000E6AA3">
        <w:trPr>
          <w:jc w:val="center"/>
        </w:trPr>
        <w:tc>
          <w:tcPr>
            <w:tcW w:w="4786" w:type="dxa"/>
          </w:tcPr>
          <w:p w14:paraId="5343ACAF" w14:textId="77777777" w:rsidR="00BC325F" w:rsidRPr="00BA75E8" w:rsidRDefault="00BC325F" w:rsidP="000E6AA3">
            <w:pPr>
              <w:widowControl w:val="0"/>
              <w:autoSpaceDE w:val="0"/>
              <w:autoSpaceDN w:val="0"/>
              <w:adjustRightInd w:val="0"/>
              <w:spacing w:line="312" w:lineRule="auto"/>
              <w:rPr>
                <w:sz w:val="22"/>
                <w:szCs w:val="22"/>
              </w:rPr>
            </w:pPr>
            <w:r w:rsidRPr="00BA75E8">
              <w:rPr>
                <w:sz w:val="22"/>
                <w:szCs w:val="22"/>
              </w:rPr>
              <w:t>Nome: Elvio José Machado</w:t>
            </w:r>
          </w:p>
          <w:p w14:paraId="6644A24B" w14:textId="77777777" w:rsidR="00BC325F" w:rsidRPr="00BA75E8" w:rsidRDefault="00BC325F" w:rsidP="000E6AA3">
            <w:pPr>
              <w:widowControl w:val="0"/>
              <w:autoSpaceDE w:val="0"/>
              <w:autoSpaceDN w:val="0"/>
              <w:adjustRightInd w:val="0"/>
              <w:spacing w:line="312" w:lineRule="auto"/>
              <w:rPr>
                <w:sz w:val="22"/>
                <w:szCs w:val="22"/>
              </w:rPr>
            </w:pPr>
            <w:r w:rsidRPr="00BA75E8">
              <w:rPr>
                <w:sz w:val="22"/>
                <w:szCs w:val="22"/>
              </w:rPr>
              <w:t>CPF: 333.300.261-20</w:t>
            </w:r>
          </w:p>
          <w:p w14:paraId="72130696" w14:textId="77777777" w:rsidR="00BC325F" w:rsidRPr="00BA75E8" w:rsidRDefault="00BC325F" w:rsidP="000E6AA3">
            <w:pPr>
              <w:widowControl w:val="0"/>
              <w:autoSpaceDE w:val="0"/>
              <w:autoSpaceDN w:val="0"/>
              <w:adjustRightInd w:val="0"/>
              <w:spacing w:line="312" w:lineRule="auto"/>
              <w:rPr>
                <w:sz w:val="22"/>
                <w:szCs w:val="22"/>
              </w:rPr>
            </w:pPr>
            <w:r w:rsidRPr="00BA75E8">
              <w:rPr>
                <w:sz w:val="22"/>
                <w:szCs w:val="22"/>
              </w:rPr>
              <w:t>e-mail: elvio.machado@weltenergia.com.br</w:t>
            </w:r>
          </w:p>
          <w:p w14:paraId="5EF0A58C" w14:textId="77777777" w:rsidR="00BC325F" w:rsidRPr="00BA75E8" w:rsidRDefault="00BC325F" w:rsidP="000E6AA3">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lastRenderedPageBreak/>
              <w:t xml:space="preserve"> </w:t>
            </w:r>
          </w:p>
        </w:tc>
      </w:tr>
    </w:tbl>
    <w:p w14:paraId="75DCD760" w14:textId="343F6C05" w:rsidR="00781DE7" w:rsidRDefault="00781DE7" w:rsidP="00760BB3">
      <w:pPr>
        <w:spacing w:line="300" w:lineRule="auto"/>
        <w:contextualSpacing/>
        <w:jc w:val="center"/>
        <w:rPr>
          <w:sz w:val="22"/>
          <w:szCs w:val="22"/>
        </w:rPr>
      </w:pPr>
    </w:p>
    <w:p w14:paraId="49688BC8" w14:textId="77777777" w:rsidR="00B72952" w:rsidRDefault="00B72952" w:rsidP="00760BB3">
      <w:pPr>
        <w:spacing w:line="300" w:lineRule="auto"/>
        <w:contextualSpacing/>
        <w:jc w:val="center"/>
        <w:rPr>
          <w:sz w:val="22"/>
          <w:szCs w:val="22"/>
        </w:rPr>
      </w:pPr>
    </w:p>
    <w:p w14:paraId="48F8C747" w14:textId="77777777" w:rsidR="00B72952" w:rsidRDefault="00B72952" w:rsidP="00760BB3">
      <w:pPr>
        <w:spacing w:line="300" w:lineRule="auto"/>
        <w:contextualSpacing/>
        <w:jc w:val="center"/>
        <w:rPr>
          <w:sz w:val="22"/>
          <w:szCs w:val="22"/>
        </w:rPr>
      </w:pPr>
    </w:p>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4A0EDF52"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r w:rsidR="00633DF5">
              <w:rPr>
                <w:rFonts w:eastAsia="MS Mincho"/>
                <w:color w:val="000000"/>
                <w:lang w:eastAsia="en-US"/>
              </w:rPr>
              <w:t>Julia</w:t>
            </w:r>
            <w:r w:rsidR="00585572">
              <w:rPr>
                <w:rFonts w:eastAsia="MS Mincho"/>
                <w:color w:val="000000"/>
                <w:lang w:eastAsia="en-US"/>
              </w:rPr>
              <w:t xml:space="preserve"> Bernardes Cunha</w:t>
            </w:r>
          </w:p>
          <w:p w14:paraId="285751CE" w14:textId="0B422D4E" w:rsidR="00453266"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CPF:</w:t>
            </w:r>
            <w:r w:rsidR="00585572">
              <w:rPr>
                <w:rFonts w:eastAsia="MS Mincho"/>
                <w:color w:val="000000"/>
                <w:lang w:eastAsia="en-US"/>
              </w:rPr>
              <w:t>046.280.851-37</w:t>
            </w:r>
          </w:p>
          <w:p w14:paraId="5FC33EA8" w14:textId="50C223B0"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 E-mail: </w:t>
            </w:r>
            <w:r w:rsidR="00585572">
              <w:rPr>
                <w:rFonts w:eastAsia="MS Mincho"/>
                <w:color w:val="000000"/>
                <w:lang w:eastAsia="en-US"/>
              </w:rPr>
              <w:t>julia.cunha@xpi.com.br</w:t>
            </w:r>
          </w:p>
        </w:tc>
        <w:tc>
          <w:tcPr>
            <w:tcW w:w="4111" w:type="dxa"/>
          </w:tcPr>
          <w:p w14:paraId="3BFBAF0D" w14:textId="77777777" w:rsidR="009677B7" w:rsidRPr="003264A5" w:rsidRDefault="009677B7" w:rsidP="003264A5">
            <w:pPr>
              <w:rPr>
                <w:rFonts w:eastAsia="MS Mincho"/>
                <w:color w:val="000000"/>
                <w:lang w:eastAsia="en-US"/>
              </w:rPr>
            </w:pPr>
            <w:r w:rsidRPr="003264A5">
              <w:rPr>
                <w:rFonts w:eastAsia="MS Mincho"/>
                <w:color w:val="000000"/>
                <w:lang w:eastAsia="en-US"/>
              </w:rPr>
              <w:t xml:space="preserve">Nome: William </w:t>
            </w:r>
            <w:proofErr w:type="spellStart"/>
            <w:r w:rsidRPr="003264A5">
              <w:rPr>
                <w:rFonts w:eastAsia="MS Mincho"/>
                <w:color w:val="000000"/>
                <w:lang w:eastAsia="en-US"/>
              </w:rPr>
              <w:t>Seiti</w:t>
            </w:r>
            <w:proofErr w:type="spellEnd"/>
            <w:r w:rsidRPr="003264A5">
              <w:rPr>
                <w:rFonts w:eastAsia="MS Mincho"/>
                <w:color w:val="000000"/>
                <w:lang w:eastAsia="en-US"/>
              </w:rPr>
              <w:t xml:space="preserve"> Nakano Alvarenga</w:t>
            </w:r>
          </w:p>
          <w:p w14:paraId="41774869" w14:textId="77777777" w:rsidR="009677B7" w:rsidRPr="003264A5" w:rsidRDefault="009677B7" w:rsidP="003264A5">
            <w:pPr>
              <w:rPr>
                <w:rFonts w:eastAsia="MS Mincho"/>
                <w:color w:val="000000"/>
                <w:lang w:eastAsia="en-US"/>
              </w:rPr>
            </w:pPr>
            <w:r w:rsidRPr="003264A5">
              <w:rPr>
                <w:rFonts w:eastAsia="MS Mincho"/>
                <w:color w:val="000000"/>
                <w:lang w:eastAsia="en-US"/>
              </w:rPr>
              <w:t>CPF: 438.887.358-66</w:t>
            </w:r>
          </w:p>
          <w:p w14:paraId="4B4F97AA" w14:textId="62B01277" w:rsidR="00D073B9" w:rsidRPr="005C399B" w:rsidRDefault="009677B7" w:rsidP="0024250F">
            <w:pPr>
              <w:widowControl w:val="0"/>
              <w:autoSpaceDE w:val="0"/>
              <w:autoSpaceDN w:val="0"/>
              <w:adjustRightInd w:val="0"/>
              <w:spacing w:line="300" w:lineRule="auto"/>
              <w:rPr>
                <w:rFonts w:eastAsia="MS Mincho"/>
                <w:color w:val="000000"/>
                <w:sz w:val="22"/>
                <w:szCs w:val="22"/>
                <w:lang w:eastAsia="en-US"/>
              </w:rPr>
            </w:pPr>
            <w:r w:rsidRPr="003264A5">
              <w:rPr>
                <w:rFonts w:eastAsia="MS Mincho"/>
                <w:color w:val="000000"/>
                <w:lang w:eastAsia="en-US"/>
              </w:rPr>
              <w:t>E-mail: william.alvarenga@virgo.inc</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2A557B09"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49" w:name="_Hlk90559210"/>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9"/>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F20F6B">
        <w:rPr>
          <w:bCs/>
          <w:sz w:val="22"/>
          <w:szCs w:val="22"/>
        </w:rPr>
        <w:t xml:space="preserve">05 </w:t>
      </w:r>
      <w:r w:rsidR="00153FE8">
        <w:rPr>
          <w:bCs/>
          <w:sz w:val="22"/>
          <w:szCs w:val="22"/>
        </w:rPr>
        <w:t xml:space="preserve">de </w:t>
      </w:r>
      <w:r w:rsidR="00F20F6B">
        <w:rPr>
          <w:bCs/>
          <w:sz w:val="22"/>
          <w:szCs w:val="22"/>
        </w:rPr>
        <w:t>agosto</w:t>
      </w:r>
      <w:r w:rsidR="00F20F6B">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367BDDE8" w14:textId="77777777" w:rsidR="00B72952" w:rsidRDefault="00B72952" w:rsidP="00760BB3">
      <w:pPr>
        <w:spacing w:line="300" w:lineRule="auto"/>
        <w:rPr>
          <w:bCs/>
          <w:sz w:val="22"/>
          <w:szCs w:val="22"/>
        </w:rPr>
      </w:pPr>
    </w:p>
    <w:tbl>
      <w:tblPr>
        <w:tblW w:w="8897" w:type="dxa"/>
        <w:tblLook w:val="01E0" w:firstRow="1" w:lastRow="1" w:firstColumn="1" w:lastColumn="1" w:noHBand="0" w:noVBand="0"/>
      </w:tblPr>
      <w:tblGrid>
        <w:gridCol w:w="4786"/>
        <w:gridCol w:w="4111"/>
      </w:tblGrid>
      <w:tr w:rsidR="00B72952" w:rsidRPr="000F4AAC" w14:paraId="56E7DD0D" w14:textId="77777777" w:rsidTr="00BF7710">
        <w:tc>
          <w:tcPr>
            <w:tcW w:w="4786" w:type="dxa"/>
          </w:tcPr>
          <w:p w14:paraId="2337C214"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2D1D44D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B72952" w:rsidRPr="000F4AAC" w14:paraId="4F352CA2" w14:textId="77777777" w:rsidTr="00BF7710">
        <w:tc>
          <w:tcPr>
            <w:tcW w:w="4786" w:type="dxa"/>
          </w:tcPr>
          <w:p w14:paraId="181824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14A6C99"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B72952" w:rsidRPr="000F4AAC" w14:paraId="71B005E6" w14:textId="77777777" w:rsidTr="00BF7710">
        <w:tc>
          <w:tcPr>
            <w:tcW w:w="4786" w:type="dxa"/>
          </w:tcPr>
          <w:p w14:paraId="45FE10DA"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3ED95868" w14:textId="77777777" w:rsidR="00B72952" w:rsidRPr="000F4AAC" w:rsidRDefault="00B72952" w:rsidP="00BF7710">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321661F"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3579306" w14:textId="77777777" w:rsidR="00B72952" w:rsidRPr="000F4AAC" w:rsidRDefault="00B72952" w:rsidP="00BF7710">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E432" w14:textId="77777777" w:rsidR="00A102AA" w:rsidRDefault="00A102AA">
      <w:r>
        <w:separator/>
      </w:r>
    </w:p>
  </w:endnote>
  <w:endnote w:type="continuationSeparator" w:id="0">
    <w:p w14:paraId="745CBD07" w14:textId="77777777" w:rsidR="00A102AA" w:rsidRDefault="00A102AA">
      <w:r>
        <w:continuationSeparator/>
      </w:r>
    </w:p>
  </w:endnote>
  <w:endnote w:type="continuationNotice" w:id="1">
    <w:p w14:paraId="5CA18F57" w14:textId="77777777" w:rsidR="00A102AA" w:rsidRDefault="00A10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FDFFC" w14:textId="77777777" w:rsidR="00A102AA" w:rsidRDefault="00A102AA">
      <w:r>
        <w:separator/>
      </w:r>
    </w:p>
  </w:footnote>
  <w:footnote w:type="continuationSeparator" w:id="0">
    <w:p w14:paraId="1493F161" w14:textId="77777777" w:rsidR="00A102AA" w:rsidRDefault="00A102AA">
      <w:r>
        <w:continuationSeparator/>
      </w:r>
    </w:p>
  </w:footnote>
  <w:footnote w:type="continuationNotice" w:id="1">
    <w:p w14:paraId="2FED58F0" w14:textId="77777777" w:rsidR="00A102AA" w:rsidRDefault="00A10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34293556">
    <w:abstractNumId w:val="0"/>
  </w:num>
  <w:num w:numId="2" w16cid:durableId="485633636">
    <w:abstractNumId w:val="6"/>
  </w:num>
  <w:num w:numId="3" w16cid:durableId="16796917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7199686">
    <w:abstractNumId w:val="26"/>
  </w:num>
  <w:num w:numId="5" w16cid:durableId="20718815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9082916">
    <w:abstractNumId w:val="19"/>
  </w:num>
  <w:num w:numId="7" w16cid:durableId="1007441082">
    <w:abstractNumId w:val="6"/>
  </w:num>
  <w:num w:numId="8" w16cid:durableId="20664926">
    <w:abstractNumId w:val="34"/>
  </w:num>
  <w:num w:numId="9" w16cid:durableId="79569303">
    <w:abstractNumId w:val="10"/>
  </w:num>
  <w:num w:numId="10" w16cid:durableId="713626283">
    <w:abstractNumId w:val="30"/>
  </w:num>
  <w:num w:numId="11" w16cid:durableId="417989885">
    <w:abstractNumId w:val="9"/>
  </w:num>
  <w:num w:numId="12" w16cid:durableId="1975017466">
    <w:abstractNumId w:val="2"/>
  </w:num>
  <w:num w:numId="13" w16cid:durableId="338777050">
    <w:abstractNumId w:val="26"/>
  </w:num>
  <w:num w:numId="14" w16cid:durableId="1297679056">
    <w:abstractNumId w:val="38"/>
  </w:num>
  <w:num w:numId="15" w16cid:durableId="1186595755">
    <w:abstractNumId w:val="48"/>
  </w:num>
  <w:num w:numId="16" w16cid:durableId="807013007">
    <w:abstractNumId w:val="8"/>
  </w:num>
  <w:num w:numId="17" w16cid:durableId="1568759138">
    <w:abstractNumId w:val="36"/>
  </w:num>
  <w:num w:numId="18" w16cid:durableId="2102021439">
    <w:abstractNumId w:val="17"/>
  </w:num>
  <w:num w:numId="19" w16cid:durableId="1667440388">
    <w:abstractNumId w:val="28"/>
  </w:num>
  <w:num w:numId="20" w16cid:durableId="1738018552">
    <w:abstractNumId w:val="40"/>
  </w:num>
  <w:num w:numId="21" w16cid:durableId="308360755">
    <w:abstractNumId w:val="27"/>
  </w:num>
  <w:num w:numId="22" w16cid:durableId="647326061">
    <w:abstractNumId w:val="1"/>
  </w:num>
  <w:num w:numId="23" w16cid:durableId="1830633324">
    <w:abstractNumId w:val="4"/>
  </w:num>
  <w:num w:numId="24" w16cid:durableId="304359597">
    <w:abstractNumId w:val="3"/>
  </w:num>
  <w:num w:numId="25" w16cid:durableId="1190292532">
    <w:abstractNumId w:val="7"/>
  </w:num>
  <w:num w:numId="26" w16cid:durableId="1038312536">
    <w:abstractNumId w:val="18"/>
  </w:num>
  <w:num w:numId="27" w16cid:durableId="724766833">
    <w:abstractNumId w:val="35"/>
  </w:num>
  <w:num w:numId="28" w16cid:durableId="14033312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9866249">
    <w:abstractNumId w:val="16"/>
  </w:num>
  <w:num w:numId="30" w16cid:durableId="1730420008">
    <w:abstractNumId w:val="15"/>
  </w:num>
  <w:num w:numId="31" w16cid:durableId="1572345236">
    <w:abstractNumId w:val="45"/>
  </w:num>
  <w:num w:numId="32" w16cid:durableId="1194422539">
    <w:abstractNumId w:val="41"/>
  </w:num>
  <w:num w:numId="33" w16cid:durableId="1243250202">
    <w:abstractNumId w:val="32"/>
  </w:num>
  <w:num w:numId="34" w16cid:durableId="1939219103">
    <w:abstractNumId w:val="33"/>
  </w:num>
  <w:num w:numId="35" w16cid:durableId="1858233900">
    <w:abstractNumId w:val="42"/>
  </w:num>
  <w:num w:numId="36" w16cid:durableId="742920051">
    <w:abstractNumId w:val="5"/>
  </w:num>
  <w:num w:numId="37" w16cid:durableId="634332304">
    <w:abstractNumId w:val="25"/>
  </w:num>
  <w:num w:numId="38" w16cid:durableId="332801385">
    <w:abstractNumId w:val="22"/>
  </w:num>
  <w:num w:numId="39" w16cid:durableId="999963526">
    <w:abstractNumId w:val="49"/>
  </w:num>
  <w:num w:numId="40" w16cid:durableId="28459306">
    <w:abstractNumId w:val="12"/>
  </w:num>
  <w:num w:numId="41" w16cid:durableId="191653896">
    <w:abstractNumId w:val="21"/>
  </w:num>
  <w:num w:numId="42" w16cid:durableId="2063823006">
    <w:abstractNumId w:val="29"/>
  </w:num>
  <w:num w:numId="43" w16cid:durableId="100879771">
    <w:abstractNumId w:val="14"/>
  </w:num>
  <w:num w:numId="44" w16cid:durableId="1997151387">
    <w:abstractNumId w:val="46"/>
  </w:num>
  <w:num w:numId="45" w16cid:durableId="1884444646">
    <w:abstractNumId w:val="13"/>
  </w:num>
  <w:num w:numId="46" w16cid:durableId="948701289">
    <w:abstractNumId w:val="23"/>
  </w:num>
  <w:num w:numId="47" w16cid:durableId="300162212">
    <w:abstractNumId w:val="24"/>
  </w:num>
  <w:num w:numId="48" w16cid:durableId="1082407512">
    <w:abstractNumId w:val="20"/>
  </w:num>
  <w:num w:numId="49" w16cid:durableId="1833136926">
    <w:abstractNumId w:val="39"/>
  </w:num>
  <w:num w:numId="50" w16cid:durableId="597297686">
    <w:abstractNumId w:val="43"/>
  </w:num>
  <w:num w:numId="51" w16cid:durableId="1591506872">
    <w:abstractNumId w:val="44"/>
  </w:num>
  <w:num w:numId="52" w16cid:durableId="1998990492">
    <w:abstractNumId w:val="47"/>
  </w:num>
  <w:num w:numId="53" w16cid:durableId="2100177543">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504"/>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681"/>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BAB"/>
    <w:rsid w:val="000A4D9A"/>
    <w:rsid w:val="000A5138"/>
    <w:rsid w:val="000A5480"/>
    <w:rsid w:val="000A5778"/>
    <w:rsid w:val="000A5D1A"/>
    <w:rsid w:val="000A5D8F"/>
    <w:rsid w:val="000A650D"/>
    <w:rsid w:val="000A7273"/>
    <w:rsid w:val="000A7818"/>
    <w:rsid w:val="000A7971"/>
    <w:rsid w:val="000B0BBE"/>
    <w:rsid w:val="000B0E6C"/>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4B5"/>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1A7"/>
    <w:rsid w:val="0015160C"/>
    <w:rsid w:val="00151745"/>
    <w:rsid w:val="00151C40"/>
    <w:rsid w:val="001522AE"/>
    <w:rsid w:val="00152C42"/>
    <w:rsid w:val="00153381"/>
    <w:rsid w:val="00153834"/>
    <w:rsid w:val="00153FE8"/>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50"/>
    <w:rsid w:val="0018616C"/>
    <w:rsid w:val="00186732"/>
    <w:rsid w:val="001869AA"/>
    <w:rsid w:val="0018722F"/>
    <w:rsid w:val="0018761A"/>
    <w:rsid w:val="00187A58"/>
    <w:rsid w:val="00187D95"/>
    <w:rsid w:val="001905B6"/>
    <w:rsid w:val="00190CDF"/>
    <w:rsid w:val="00190FBA"/>
    <w:rsid w:val="00191F8B"/>
    <w:rsid w:val="00192195"/>
    <w:rsid w:val="00193D2F"/>
    <w:rsid w:val="00194337"/>
    <w:rsid w:val="00194818"/>
    <w:rsid w:val="00194A68"/>
    <w:rsid w:val="00194F5D"/>
    <w:rsid w:val="001954A6"/>
    <w:rsid w:val="001959A6"/>
    <w:rsid w:val="00195B4B"/>
    <w:rsid w:val="00195E21"/>
    <w:rsid w:val="00196AE1"/>
    <w:rsid w:val="00197C1B"/>
    <w:rsid w:val="001A2228"/>
    <w:rsid w:val="001A269C"/>
    <w:rsid w:val="001A26D2"/>
    <w:rsid w:val="001A396A"/>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53"/>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5DD9"/>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D86"/>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AC7"/>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575"/>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6B49"/>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089"/>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64A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527F"/>
    <w:rsid w:val="003E6524"/>
    <w:rsid w:val="003E6C78"/>
    <w:rsid w:val="003E7565"/>
    <w:rsid w:val="003E79EF"/>
    <w:rsid w:val="003E7BF5"/>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9F"/>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2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50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26F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1D6"/>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572"/>
    <w:rsid w:val="0058584A"/>
    <w:rsid w:val="00585A0E"/>
    <w:rsid w:val="00585DF3"/>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AF"/>
    <w:rsid w:val="00615DE9"/>
    <w:rsid w:val="00616038"/>
    <w:rsid w:val="006165F0"/>
    <w:rsid w:val="00616CDF"/>
    <w:rsid w:val="00616EB1"/>
    <w:rsid w:val="006174AC"/>
    <w:rsid w:val="006175D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3DF5"/>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950"/>
    <w:rsid w:val="006609E9"/>
    <w:rsid w:val="00660C4E"/>
    <w:rsid w:val="00660CDB"/>
    <w:rsid w:val="00661B32"/>
    <w:rsid w:val="00661B5A"/>
    <w:rsid w:val="00662099"/>
    <w:rsid w:val="006625CF"/>
    <w:rsid w:val="00662A19"/>
    <w:rsid w:val="00662EEA"/>
    <w:rsid w:val="0066337D"/>
    <w:rsid w:val="006633E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2D8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9A0"/>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18AF"/>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0C09"/>
    <w:rsid w:val="0076135D"/>
    <w:rsid w:val="00761DD6"/>
    <w:rsid w:val="00761DD9"/>
    <w:rsid w:val="00762112"/>
    <w:rsid w:val="007622F6"/>
    <w:rsid w:val="0076249D"/>
    <w:rsid w:val="00762A18"/>
    <w:rsid w:val="00762DA8"/>
    <w:rsid w:val="0076347F"/>
    <w:rsid w:val="00764B28"/>
    <w:rsid w:val="00765145"/>
    <w:rsid w:val="0076569F"/>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6799"/>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5F53"/>
    <w:rsid w:val="008664D1"/>
    <w:rsid w:val="008669C8"/>
    <w:rsid w:val="00866B10"/>
    <w:rsid w:val="00866B37"/>
    <w:rsid w:val="00866CA7"/>
    <w:rsid w:val="00867300"/>
    <w:rsid w:val="00867810"/>
    <w:rsid w:val="00867C0F"/>
    <w:rsid w:val="0087001B"/>
    <w:rsid w:val="0087020E"/>
    <w:rsid w:val="00870755"/>
    <w:rsid w:val="00870885"/>
    <w:rsid w:val="00870C5F"/>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1FB0"/>
    <w:rsid w:val="008D2653"/>
    <w:rsid w:val="008D3118"/>
    <w:rsid w:val="008D3315"/>
    <w:rsid w:val="008D33EC"/>
    <w:rsid w:val="008D3AD5"/>
    <w:rsid w:val="008D3CC7"/>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54F"/>
    <w:rsid w:val="00912FB5"/>
    <w:rsid w:val="0091347D"/>
    <w:rsid w:val="00913569"/>
    <w:rsid w:val="00915E88"/>
    <w:rsid w:val="009173C0"/>
    <w:rsid w:val="00917CD5"/>
    <w:rsid w:val="009208FB"/>
    <w:rsid w:val="0092181D"/>
    <w:rsid w:val="00921B3C"/>
    <w:rsid w:val="0092209B"/>
    <w:rsid w:val="009220A3"/>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4AC0"/>
    <w:rsid w:val="009654A0"/>
    <w:rsid w:val="00966D27"/>
    <w:rsid w:val="009677B7"/>
    <w:rsid w:val="009678A7"/>
    <w:rsid w:val="00970156"/>
    <w:rsid w:val="00971111"/>
    <w:rsid w:val="009713C0"/>
    <w:rsid w:val="009713CE"/>
    <w:rsid w:val="00971BE2"/>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5E77"/>
    <w:rsid w:val="00A077D5"/>
    <w:rsid w:val="00A07F85"/>
    <w:rsid w:val="00A07F99"/>
    <w:rsid w:val="00A102AA"/>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3156"/>
    <w:rsid w:val="00A53867"/>
    <w:rsid w:val="00A5442C"/>
    <w:rsid w:val="00A5488E"/>
    <w:rsid w:val="00A54BF1"/>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59F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2D74"/>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2C01"/>
    <w:rsid w:val="00B5316B"/>
    <w:rsid w:val="00B5389F"/>
    <w:rsid w:val="00B54BB8"/>
    <w:rsid w:val="00B54CDA"/>
    <w:rsid w:val="00B54E1A"/>
    <w:rsid w:val="00B5526E"/>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5F"/>
    <w:rsid w:val="00BC32E8"/>
    <w:rsid w:val="00BC348F"/>
    <w:rsid w:val="00BC3512"/>
    <w:rsid w:val="00BC38C0"/>
    <w:rsid w:val="00BC3BBF"/>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1E5A"/>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03B"/>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4EC"/>
    <w:rsid w:val="00C3797E"/>
    <w:rsid w:val="00C37A08"/>
    <w:rsid w:val="00C37B4C"/>
    <w:rsid w:val="00C37B87"/>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B29"/>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A2"/>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5F"/>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69"/>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18D"/>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549"/>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E7E99"/>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4CF8"/>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274"/>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85D"/>
    <w:rsid w:val="00EE3E60"/>
    <w:rsid w:val="00EE4462"/>
    <w:rsid w:val="00EE44A1"/>
    <w:rsid w:val="00EE484A"/>
    <w:rsid w:val="00EE4A73"/>
    <w:rsid w:val="00EE581A"/>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9EE"/>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5F1"/>
    <w:rsid w:val="00F17949"/>
    <w:rsid w:val="00F2009C"/>
    <w:rsid w:val="00F201CC"/>
    <w:rsid w:val="00F203EB"/>
    <w:rsid w:val="00F2074A"/>
    <w:rsid w:val="00F20C9B"/>
    <w:rsid w:val="00F20E0D"/>
    <w:rsid w:val="00F20F6B"/>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0E2"/>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2C92"/>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235"/>
    <w:rsid w:val="00FE47B8"/>
    <w:rsid w:val="00FE4A82"/>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05747459">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2.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4.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5.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7.xml><?xml version="1.0" encoding="utf-8"?>
<ds:datastoreItem xmlns:ds="http://schemas.openxmlformats.org/officeDocument/2006/customXml" ds:itemID="{3445E572-4849-4434-9619-C8958EBDDF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9130</Words>
  <Characters>49304</Characters>
  <Application>Microsoft Office Word</Application>
  <DocSecurity>0</DocSecurity>
  <Lines>410</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58318</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Bianca Portella Crochiquia | Coelho Advogados</cp:lastModifiedBy>
  <cp:revision>5</cp:revision>
  <cp:lastPrinted>2020-04-03T21:34:00Z</cp:lastPrinted>
  <dcterms:created xsi:type="dcterms:W3CDTF">2022-08-02T13:29:00Z</dcterms:created>
  <dcterms:modified xsi:type="dcterms:W3CDTF">2022-08-02T13:48:00Z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