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3528CD0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AA05F5" w:rsidRPr="00AA05F5">
        <w:rPr>
          <w:rFonts w:eastAsia="CIDFont+F5"/>
          <w:highlight w:val="yellow"/>
        </w:rPr>
        <w:t>[</w:t>
      </w:r>
      <w:r w:rsidR="00AA05F5" w:rsidRPr="00AA05F5">
        <w:rPr>
          <w:rFonts w:eastAsia="CIDFont+F5"/>
          <w:highlight w:val="yellow"/>
        </w:rPr>
        <w:sym w:font="Symbol" w:char="F0B7"/>
      </w:r>
      <w:r w:rsidR="00AA05F5" w:rsidRPr="00AA05F5">
        <w:rPr>
          <w:rFonts w:eastAsia="CIDFont+F5"/>
        </w:rPr>
        <w:t>] (</w:t>
      </w:r>
      <w:r w:rsidR="00AA05F5">
        <w:rPr>
          <w:rFonts w:eastAsia="CIDFont+F5"/>
          <w:highlight w:val="yellow"/>
        </w:rPr>
        <w:t>[</w:t>
      </w:r>
      <w:r w:rsidR="00AA05F5">
        <w:rPr>
          <w:rFonts w:eastAsia="CIDFont+F5"/>
          <w:highlight w:val="yellow"/>
        </w:rPr>
        <w:sym w:font="Symbol" w:char="F0B7"/>
      </w:r>
      <w:r w:rsidR="00AA05F5">
        <w:rPr>
          <w:rFonts w:eastAsia="CIDFont+F5"/>
          <w:highlight w:val="yellow"/>
        </w:rPr>
        <w:t>]</w:t>
      </w:r>
      <w:r w:rsidR="00AA05F5">
        <w:rPr>
          <w:rFonts w:eastAsia="CIDFont+F5"/>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5A1467BA"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512C" w:rsidRPr="0026086F">
        <w:rPr>
          <w:highlight w:val="yellow"/>
        </w:rPr>
        <w:t>[</w:t>
      </w:r>
      <w:r w:rsidR="0014512C">
        <w:rPr>
          <w:highlight w:val="yellow"/>
        </w:rPr>
        <w:sym w:font="Symbol" w:char="F0B7"/>
      </w:r>
      <w:r w:rsidR="0014512C" w:rsidRPr="0026086F">
        <w:rPr>
          <w:highlight w:val="yellow"/>
        </w:rPr>
        <w:t>]</w:t>
      </w:r>
      <w:r w:rsidR="0014512C">
        <w:t xml:space="preserve"> 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r w:rsidR="0026086F" w:rsidRPr="0026086F">
        <w:rPr>
          <w:b/>
          <w:bCs/>
        </w:rPr>
        <w:t>ii</w:t>
      </w:r>
      <w:r w:rsidR="0026086F" w:rsidRPr="0026086F">
        <w:rPr>
          <w:b/>
          <w:bCs/>
        </w:rPr>
        <w:t xml:space="preserve">) </w:t>
      </w:r>
      <w:r w:rsidR="0026086F">
        <w:t xml:space="preserve">fiança corporativa </w:t>
      </w:r>
      <w:r w:rsidR="0026086F" w:rsidRPr="0026086F">
        <w:t xml:space="preserve">prestada pela RZK Energia </w:t>
      </w:r>
      <w:r w:rsidR="0026086F" w:rsidRPr="0026086F">
        <w:t xml:space="preserve">(conforme abaixo definida) </w:t>
      </w:r>
      <w:r w:rsidR="0026086F" w:rsidRPr="0026086F">
        <w:t xml:space="preserve">em favor da </w:t>
      </w:r>
      <w:r w:rsidR="0026086F" w:rsidRPr="0026086F">
        <w:t>Securitizadora</w:t>
      </w:r>
      <w:r w:rsidR="0026086F" w:rsidRPr="0026086F">
        <w:t>,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de Emissão (conforme definido na Escritura de Emissão de Debêntures</w:t>
      </w:r>
      <w:r w:rsidR="0026086F">
        <w:t xml:space="preserve">) </w:t>
      </w:r>
      <w:r w:rsidR="0026086F" w:rsidRPr="00F6090E">
        <w:t xml:space="preserve">e vigorará exclusivamente até o </w:t>
      </w:r>
      <w:r w:rsidR="0026086F" w:rsidRPr="0026086F">
        <w:rPr>
          <w:i/>
          <w:iCs/>
        </w:rPr>
        <w:t>Completion</w:t>
      </w:r>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r w:rsidR="0026086F">
        <w:rPr>
          <w:b/>
          <w:bCs/>
          <w:lang w:eastAsia="en-GB"/>
        </w:rPr>
        <w:t>i</w:t>
      </w:r>
      <w:r w:rsidR="0014512C" w:rsidRPr="0026086F">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(i</w:t>
      </w:r>
      <w:r w:rsidR="0026086F">
        <w:rPr>
          <w:b/>
          <w:bCs/>
        </w:rPr>
        <w:t>v</w:t>
      </w:r>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31A65FC1"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AA05F5" w:rsidRPr="00AA05F5">
        <w:rPr>
          <w:bCs/>
          <w:highlight w:val="yellow"/>
        </w:rPr>
        <w:t>[</w:t>
      </w:r>
      <w:r w:rsidR="00AA05F5" w:rsidRPr="00AA05F5">
        <w:rPr>
          <w:bCs/>
          <w:highlight w:val="yellow"/>
        </w:rPr>
        <w:sym w:font="Symbol" w:char="F0B7"/>
      </w:r>
      <w:r w:rsidR="00AA05F5" w:rsidRPr="00AA05F5">
        <w:rPr>
          <w:bCs/>
          <w:highlight w:val="yellow"/>
        </w:rPr>
        <w:t>]</w:t>
      </w:r>
      <w:r w:rsidR="00AA05F5">
        <w:rPr>
          <w:bCs/>
        </w:rPr>
        <w:t xml:space="preserve"> (</w:t>
      </w:r>
      <w:r w:rsidR="00AA05F5">
        <w:rPr>
          <w:bCs/>
          <w:highlight w:val="yellow"/>
        </w:rPr>
        <w:t>[</w:t>
      </w:r>
      <w:r w:rsidR="00AA05F5">
        <w:rPr>
          <w:bCs/>
          <w:highlight w:val="yellow"/>
        </w:rPr>
        <w:sym w:font="Symbol" w:char="F0B7"/>
      </w:r>
      <w:r w:rsidR="00AA05F5">
        <w:rPr>
          <w:bCs/>
          <w:highlight w:val="yellow"/>
        </w:rPr>
        <w:t>]</w:t>
      </w:r>
      <w:r w:rsidR="00AA05F5">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1E45FED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8E06F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8E06F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26C3BB1D"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2C694F89"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9B9C854"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8E06F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 xml:space="preserve">Os documentos comprobatórios dos Crédito Imobiliários são aqueles que a Emitente e a Instituição Custodiante julguem necessários para que possam exercer plenamente as </w:t>
      </w:r>
      <w:r>
        <w:lastRenderedPageBreak/>
        <w:t>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w:t>
      </w:r>
      <w:r w:rsidRPr="0008039B">
        <w:lastRenderedPageBreak/>
        <w:t xml:space="preserve">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3D9E80F5"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w:t>
      </w:r>
      <w:r w:rsidR="00F90158" w:rsidRPr="00AC03C7">
        <w:lastRenderedPageBreak/>
        <w:t>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4"/>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lastRenderedPageBreak/>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058D9AAF"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473E0ED"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lastRenderedPageBreak/>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8"/>
    <w:bookmarkEnd w:id="139"/>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lastRenderedPageBreak/>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71656D3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Pr>
                <w:rFonts w:ascii="Arial" w:hAnsi="Arial" w:cs="Arial"/>
                <w:sz w:val="20"/>
                <w:szCs w:val="20"/>
                <w:highlight w:val="yellow"/>
              </w:rPr>
              <w:t>[</w:t>
            </w:r>
            <w:r w:rsidR="00AA05F5">
              <w:rPr>
                <w:rFonts w:ascii="Arial" w:hAnsi="Arial" w:cs="Arial"/>
                <w:sz w:val="20"/>
                <w:szCs w:val="20"/>
                <w:highlight w:val="yellow"/>
              </w:rPr>
              <w:sym w:font="Symbol" w:char="F0B7"/>
            </w:r>
            <w:r w:rsidR="00AA05F5">
              <w:rPr>
                <w:rFonts w:ascii="Arial" w:hAnsi="Arial" w:cs="Arial"/>
                <w:sz w:val="20"/>
                <w:szCs w:val="20"/>
                <w:highlight w:val="yellow"/>
              </w:rPr>
              <w:t>]</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5DDC7E98"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Pr>
                <w:rFonts w:ascii="Arial" w:hAnsi="Arial" w:cs="Arial"/>
                <w:sz w:val="20"/>
                <w:szCs w:val="20"/>
                <w:highlight w:val="yellow"/>
              </w:rPr>
              <w:t>[</w:t>
            </w:r>
            <w:r w:rsidR="00AA05F5">
              <w:rPr>
                <w:rFonts w:ascii="Arial" w:hAnsi="Arial" w:cs="Arial"/>
                <w:sz w:val="20"/>
                <w:szCs w:val="20"/>
                <w:highlight w:val="yellow"/>
              </w:rPr>
              <w:sym w:font="Symbol" w:char="F0B7"/>
            </w:r>
            <w:r w:rsidR="00AA05F5">
              <w:rPr>
                <w:rFonts w:ascii="Arial" w:hAnsi="Arial" w:cs="Arial"/>
                <w:sz w:val="20"/>
                <w:szCs w:val="20"/>
                <w:highlight w:val="yellow"/>
              </w:rPr>
              <w:t>]</w:t>
            </w:r>
            <w:r>
              <w:rPr>
                <w:rFonts w:ascii="Arial" w:hAnsi="Arial" w:cs="Arial"/>
                <w:sz w:val="20"/>
                <w:szCs w:val="20"/>
              </w:rPr>
              <w:t>)</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1946DBB7"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bookmarkStart w:id="162" w:name="_Hlk78384188"/>
            <w:r w:rsidR="00AA05F5">
              <w:rPr>
                <w:rFonts w:ascii="Arial" w:hAnsi="Arial" w:cs="Arial"/>
                <w:sz w:val="20"/>
                <w:szCs w:val="20"/>
              </w:rPr>
              <w:t xml:space="preserve"> po</w:t>
            </w:r>
            <w:r w:rsidR="003D0C51" w:rsidRPr="0034472C">
              <w:rPr>
                <w:rFonts w:ascii="Arial" w:hAnsi="Arial" w:cs="Arial"/>
                <w:sz w:val="20"/>
                <w:szCs w:val="20"/>
              </w:rPr>
              <w:t>r cento)</w:t>
            </w:r>
            <w:bookmarkEnd w:id="16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7CB52765"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lastRenderedPageBreak/>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2F051015"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111C2E5" w:rsidR="00C43BB3" w:rsidRPr="00C43BB3" w:rsidRDefault="00AA05F5" w:rsidP="00C43BB3">
            <w:pPr>
              <w:spacing w:line="32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0D884EE0" w:rsidR="00C43BB3" w:rsidRPr="00AA05F5" w:rsidRDefault="00AA05F5" w:rsidP="00C43BB3">
            <w:pPr>
              <w:spacing w:line="320" w:lineRule="exact"/>
              <w:jc w:val="center"/>
              <w:rPr>
                <w:rFonts w:ascii="Arial" w:eastAsia="Calibri" w:hAnsi="Arial" w:cs="Arial"/>
                <w:color w:val="000000"/>
                <w:sz w:val="20"/>
                <w:szCs w:val="20"/>
                <w:highlight w:val="yellow"/>
              </w:rPr>
            </w:pPr>
            <w:r w:rsidRPr="00AA05F5">
              <w:rPr>
                <w:rFonts w:ascii="Arial" w:eastAsia="Calibri" w:hAnsi="Arial" w:cs="Arial"/>
                <w:color w:val="000000"/>
                <w:sz w:val="20"/>
                <w:szCs w:val="20"/>
                <w:highlight w:val="yellow"/>
              </w:rPr>
              <w:t>[</w:t>
            </w:r>
            <w:r w:rsidRPr="00AA05F5">
              <w:rPr>
                <w:rFonts w:ascii="Arial" w:eastAsia="Calibri" w:hAnsi="Arial" w:cs="Arial"/>
                <w:color w:val="000000"/>
                <w:sz w:val="20"/>
                <w:szCs w:val="20"/>
                <w:highlight w:val="yellow"/>
              </w:rPr>
              <w:sym w:font="Symbol" w:char="F0B7"/>
            </w:r>
            <w:r w:rsidRPr="00AA05F5">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692AD27A"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2E4CC053"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A36C" w14:textId="77777777" w:rsidR="00E94B61" w:rsidRDefault="00E94B61">
      <w:r>
        <w:separator/>
      </w:r>
    </w:p>
  </w:endnote>
  <w:endnote w:type="continuationSeparator" w:id="0">
    <w:p w14:paraId="7878E06E" w14:textId="77777777" w:rsidR="00E94B61" w:rsidRDefault="00E94B61">
      <w:r>
        <w:continuationSeparator/>
      </w:r>
    </w:p>
  </w:endnote>
  <w:endnote w:type="continuationNotice" w:id="1">
    <w:p w14:paraId="4AC3B122" w14:textId="77777777" w:rsidR="00E94B61" w:rsidRDefault="00E94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xmlns:oel="http://schemas.microsoft.com/office/2019/extlst">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7E47" w14:textId="77777777" w:rsidR="00E94B61" w:rsidRDefault="00E94B61">
      <w:r>
        <w:separator/>
      </w:r>
    </w:p>
  </w:footnote>
  <w:footnote w:type="continuationSeparator" w:id="0">
    <w:p w14:paraId="6F7320AA" w14:textId="77777777" w:rsidR="00E94B61" w:rsidRDefault="00E94B61">
      <w:r>
        <w:continuationSeparator/>
      </w:r>
    </w:p>
  </w:footnote>
  <w:footnote w:type="continuationNotice" w:id="1">
    <w:p w14:paraId="0D0C10CB" w14:textId="77777777" w:rsidR="00E94B61" w:rsidRDefault="00E94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5"/>
  </w:num>
  <w:num w:numId="5">
    <w:abstractNumId w:val="36"/>
  </w:num>
  <w:num w:numId="6">
    <w:abstractNumId w:val="42"/>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8"/>
  </w:num>
  <w:num w:numId="13">
    <w:abstractNumId w:val="12"/>
  </w:num>
  <w:num w:numId="14">
    <w:abstractNumId w:val="28"/>
  </w:num>
  <w:num w:numId="15">
    <w:abstractNumId w:val="22"/>
  </w:num>
  <w:num w:numId="16">
    <w:abstractNumId w:val="51"/>
  </w:num>
  <w:num w:numId="17">
    <w:abstractNumId w:val="15"/>
  </w:num>
  <w:num w:numId="18">
    <w:abstractNumId w:val="27"/>
  </w:num>
  <w:num w:numId="19">
    <w:abstractNumId w:val="32"/>
  </w:num>
  <w:num w:numId="20">
    <w:abstractNumId w:val="29"/>
  </w:num>
  <w:num w:numId="21">
    <w:abstractNumId w:val="50"/>
  </w:num>
  <w:num w:numId="22">
    <w:abstractNumId w:val="54"/>
  </w:num>
  <w:num w:numId="23">
    <w:abstractNumId w:val="37"/>
  </w:num>
  <w:num w:numId="24">
    <w:abstractNumId w:val="25"/>
  </w:num>
  <w:num w:numId="25">
    <w:abstractNumId w:val="55"/>
  </w:num>
  <w:num w:numId="26">
    <w:abstractNumId w:val="47"/>
  </w:num>
  <w:num w:numId="27">
    <w:abstractNumId w:val="44"/>
  </w:num>
  <w:num w:numId="28">
    <w:abstractNumId w:val="40"/>
  </w:num>
  <w:num w:numId="29">
    <w:abstractNumId w:val="46"/>
  </w:num>
  <w:num w:numId="30">
    <w:abstractNumId w:val="10"/>
  </w:num>
  <w:num w:numId="31">
    <w:abstractNumId w:val="18"/>
  </w:num>
  <w:num w:numId="32">
    <w:abstractNumId w:val="38"/>
  </w:num>
  <w:num w:numId="33">
    <w:abstractNumId w:val="41"/>
  </w:num>
  <w:num w:numId="34">
    <w:abstractNumId w:val="9"/>
  </w:num>
  <w:num w:numId="35">
    <w:abstractNumId w:val="20"/>
  </w:num>
  <w:num w:numId="36">
    <w:abstractNumId w:val="43"/>
  </w:num>
  <w:num w:numId="37">
    <w:abstractNumId w:val="17"/>
  </w:num>
  <w:num w:numId="38">
    <w:abstractNumId w:val="24"/>
  </w:num>
  <w:num w:numId="39">
    <w:abstractNumId w:val="45"/>
  </w:num>
  <w:num w:numId="40">
    <w:abstractNumId w:val="16"/>
  </w:num>
  <w:num w:numId="41">
    <w:abstractNumId w:val="33"/>
  </w:num>
  <w:num w:numId="42">
    <w:abstractNumId w:val="53"/>
  </w:num>
  <w:num w:numId="43">
    <w:abstractNumId w:val="34"/>
  </w:num>
  <w:num w:numId="44">
    <w:abstractNumId w:val="14"/>
  </w:num>
  <w:num w:numId="45">
    <w:abstractNumId w:val="21"/>
  </w:num>
  <w:num w:numId="46">
    <w:abstractNumId w:val="8"/>
  </w:num>
  <w:num w:numId="47">
    <w:abstractNumId w:val="49"/>
  </w:num>
  <w:num w:numId="48">
    <w:abstractNumId w:val="30"/>
  </w:num>
  <w:num w:numId="49">
    <w:abstractNumId w:val="19"/>
  </w:num>
  <w:num w:numId="50">
    <w:abstractNumId w:val="39"/>
  </w:num>
  <w:num w:numId="51">
    <w:abstractNumId w:val="52"/>
  </w:num>
  <w:num w:numId="52">
    <w:abstractNumId w:val="26"/>
  </w:num>
  <w:num w:numId="53">
    <w:abstractNumId w:val="6"/>
  </w:num>
  <w:num w:numId="54">
    <w:abstractNumId w:val="5"/>
  </w:num>
  <w:num w:numId="55">
    <w:abstractNumId w:val="42"/>
  </w:num>
  <w:num w:numId="56">
    <w:abstractNumId w:val="23"/>
  </w:num>
  <w:num w:numId="57">
    <w:abstractNumId w:val="13"/>
  </w:num>
  <w:num w:numId="58">
    <w:abstractNumId w:val="42"/>
  </w:num>
  <w:num w:numId="5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B5"/>
    <w:rsid w:val="001441DE"/>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7034B"/>
    <w:rsid w:val="00F70A5E"/>
    <w:rsid w:val="00F726C2"/>
    <w:rsid w:val="00F744C9"/>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 L E F O S S E ! 3 7 8 3 4 0 4 . 1 < / d o c u m e n t i d >  
     < s e n d e r i d > C A I U B < / s e n d e r i d >  
     < s e n d e r e m a i l > C L A R I C E . A I U B @ L E F O S S E . C O M < / s e n d e r e m a i l >  
     < l a s t m o d i f i e d > 2 0 2 2 - 0 9 - 0 2 T 1 6 : 4 3 : 0 0 . 0 0 0 0 0 0 0 - 0 3 : 0 0 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E6512-3041-4F3C-90D0-4F16BFF4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6477</Words>
  <Characters>36794</Characters>
  <Application>Microsoft Office Word</Application>
  <DocSecurity>0</DocSecurity>
  <Lines>694</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8</cp:revision>
  <cp:lastPrinted>2018-10-04T09:12:00Z</cp:lastPrinted>
  <dcterms:created xsi:type="dcterms:W3CDTF">2022-09-02T17:38:00Z</dcterms:created>
  <dcterms:modified xsi:type="dcterms:W3CDTF">2022-09-02T19:43:00Z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- 3783404v1</vt:lpwstr>
  </property>
</Properties>
</file>