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05ED9B28"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142C9E">
        <w:rPr>
          <w:sz w:val="20"/>
        </w:rPr>
        <w:t xml:space="preserve">novembro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6D8C2E60"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142C9E">
        <w:rPr>
          <w:rFonts w:ascii="Arial" w:hAnsi="Arial" w:cs="Arial"/>
          <w:sz w:val="20"/>
          <w:szCs w:val="20"/>
        </w:rPr>
        <w:t>novembro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1BFF443B" w:rsidR="00601DAF" w:rsidRPr="00715109" w:rsidRDefault="00C634D3" w:rsidP="00715109">
      <w:pPr>
        <w:pStyle w:val="Recitals"/>
      </w:pPr>
      <w:r w:rsidRPr="00715109">
        <w:t xml:space="preserve">em </w:t>
      </w:r>
      <w:r w:rsidR="00F80843">
        <w:rPr>
          <w:szCs w:val="20"/>
        </w:rPr>
        <w:t xml:space="preserve">28 </w:t>
      </w:r>
      <w:r w:rsidR="00EE5D2C">
        <w:rPr>
          <w:szCs w:val="20"/>
        </w:rPr>
        <w:t xml:space="preserve">de </w:t>
      </w:r>
      <w:r w:rsidR="00142C9E">
        <w:rPr>
          <w:szCs w:val="20"/>
        </w:rPr>
        <w:t xml:space="preserve">novembro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465B6739"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B13059">
        <w:rPr>
          <w:szCs w:val="20"/>
        </w:rPr>
        <w:t>7,53</w:t>
      </w:r>
      <w:r w:rsidR="00B13059" w:rsidRPr="00F6090E">
        <w:rPr>
          <w:szCs w:val="20"/>
        </w:rPr>
        <w:t>% (</w:t>
      </w:r>
      <w:r w:rsidR="00B13059">
        <w:rPr>
          <w:szCs w:val="20"/>
        </w:rPr>
        <w:t xml:space="preserve">sete inteiros e cinquenta e três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4DC32EDB"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por fiança bancária contratada junto ao "</w:t>
      </w:r>
      <w:r w:rsidR="0014512C" w:rsidRPr="0026086F">
        <w:rPr>
          <w:highlight w:val="yellow"/>
        </w:rPr>
        <w:t>[</w:t>
      </w:r>
      <w:r w:rsidR="0014512C" w:rsidRPr="006B20CC">
        <w:rPr>
          <w:highlight w:val="yellow"/>
        </w:rPr>
        <w:sym w:font="Symbol" w:char="F0B7"/>
      </w:r>
      <w:r w:rsidR="0014512C" w:rsidRPr="0026086F">
        <w:rPr>
          <w:highlight w:val="yellow"/>
        </w:rPr>
        <w:t>]</w:t>
      </w:r>
      <w:r w:rsidR="0014512C">
        <w:t>", nos termos do “</w:t>
      </w:r>
      <w:r w:rsidR="0014512C" w:rsidRPr="0026086F">
        <w:rPr>
          <w:highlight w:val="yellow"/>
        </w:rPr>
        <w:t>[</w:t>
      </w:r>
      <w:r w:rsidR="0014512C" w:rsidRPr="006B20CC">
        <w:rPr>
          <w:highlight w:val="yellow"/>
        </w:rPr>
        <w:sym w:font="Symbol" w:char="F0B7"/>
      </w:r>
      <w:r w:rsidR="0014512C" w:rsidRPr="0026086F">
        <w:rPr>
          <w:highlight w:val="yellow"/>
        </w:rPr>
        <w:t>]</w:t>
      </w:r>
      <w:r w:rsidR="0014512C">
        <w:t>” (“</w:t>
      </w:r>
      <w:r w:rsidR="0014512C" w:rsidRPr="0026086F">
        <w:rPr>
          <w:b/>
          <w:bCs/>
        </w:rPr>
        <w:t>Carta Fiança</w:t>
      </w:r>
      <w:r w:rsidR="0014512C">
        <w:t xml:space="preserve">”) [celebrado em </w:t>
      </w:r>
      <w:r w:rsidR="0014512C" w:rsidRPr="0026086F">
        <w:rPr>
          <w:highlight w:val="yellow"/>
        </w:rPr>
        <w:t>[</w:t>
      </w:r>
      <w:r w:rsidR="0014512C" w:rsidRPr="006B20CC">
        <w:rPr>
          <w:highlight w:val="yellow"/>
        </w:rPr>
        <w:sym w:font="Symbol" w:char="F0B7"/>
      </w:r>
      <w:r w:rsidR="0014512C" w:rsidRPr="0026086F">
        <w:rPr>
          <w:highlight w:val="yellow"/>
        </w:rPr>
        <w:t>]</w:t>
      </w:r>
      <w:r w:rsidR="0014512C">
        <w:t xml:space="preserve"> de </w:t>
      </w:r>
      <w:r w:rsidR="00142C9E">
        <w:t xml:space="preserve">novembro </w:t>
      </w:r>
      <w:r w:rsidR="0014512C">
        <w:t xml:space="preserve">de 2022 / a ser celebrado], entre a Fiduciária e o </w:t>
      </w:r>
      <w:r w:rsidR="0014512C" w:rsidRPr="0026086F">
        <w:rPr>
          <w:highlight w:val="yellow"/>
        </w:rPr>
        <w:t>[</w:t>
      </w:r>
      <w:r w:rsidR="0014512C" w:rsidRPr="006B20CC">
        <w:rPr>
          <w:highlight w:val="yellow"/>
        </w:rPr>
        <w:sym w:font="Symbol" w:char="F0B7"/>
      </w:r>
      <w:r w:rsidR="0014512C" w:rsidRPr="0026086F">
        <w:rPr>
          <w:highlight w:val="yellow"/>
        </w:rPr>
        <w:t>]</w:t>
      </w:r>
      <w:r w:rsidR="0014512C" w:rsidRPr="00F6090E">
        <w:t xml:space="preserve"> (“</w:t>
      </w:r>
      <w:r w:rsidR="0014512C" w:rsidRPr="0026086F">
        <w:rPr>
          <w:b/>
          <w:bCs/>
        </w:rPr>
        <w:t>Fiança Bancária</w:t>
      </w:r>
      <w:r w:rsidR="0014512C" w:rsidRPr="00BF3A4E">
        <w:t>”)</w:t>
      </w:r>
      <w:r w:rsidR="0014512C" w:rsidRPr="00BF3A4E">
        <w:rPr>
          <w:lang w:eastAsia="en-GB"/>
        </w:rPr>
        <w:t>;</w:t>
      </w:r>
      <w:r w:rsidR="0026086F">
        <w:rPr>
          <w:lang w:eastAsia="en-GB"/>
        </w:rPr>
        <w:t xml:space="preserve"> </w:t>
      </w:r>
      <w:r w:rsidR="0026086F" w:rsidRPr="0026086F">
        <w:rPr>
          <w:b/>
          <w:bCs/>
        </w:rPr>
        <w:t>(</w:t>
      </w:r>
      <w:proofErr w:type="spellStart"/>
      <w:r w:rsidR="0026086F" w:rsidRPr="0026086F">
        <w:rPr>
          <w:b/>
          <w:bCs/>
        </w:rPr>
        <w:t>ii</w:t>
      </w:r>
      <w:proofErr w:type="spellEnd"/>
      <w:r w:rsidR="0026086F" w:rsidRPr="0026086F">
        <w:rPr>
          <w:b/>
          <w:bCs/>
        </w:rPr>
        <w:t xml:space="preserve">)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proofErr w:type="spellStart"/>
      <w:r w:rsidR="0026086F" w:rsidRPr="0026086F">
        <w:rPr>
          <w:i/>
          <w:iCs/>
        </w:rPr>
        <w:t>Completion</w:t>
      </w:r>
      <w:proofErr w:type="spellEnd"/>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proofErr w:type="spellStart"/>
      <w:r w:rsidR="0026086F">
        <w:rPr>
          <w:b/>
          <w:bCs/>
          <w:lang w:eastAsia="en-GB"/>
        </w:rPr>
        <w:t>i</w:t>
      </w:r>
      <w:r w:rsidR="0014512C" w:rsidRPr="0026086F">
        <w:rPr>
          <w:b/>
          <w:bCs/>
          <w:lang w:eastAsia="en-GB"/>
        </w:rPr>
        <w:t>ii</w:t>
      </w:r>
      <w:proofErr w:type="spellEnd"/>
      <w:r w:rsidR="0014512C" w:rsidRPr="0026086F">
        <w:rPr>
          <w:b/>
          <w:bCs/>
          <w:lang w:eastAsia="en-GB"/>
        </w:rPr>
        <w:t>)</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w:t>
      </w:r>
      <w:proofErr w:type="spellStart"/>
      <w:r w:rsidR="0014512C" w:rsidRPr="0026086F">
        <w:rPr>
          <w:b/>
          <w:bCs/>
        </w:rPr>
        <w:t>i</w:t>
      </w:r>
      <w:r w:rsidR="0026086F">
        <w:rPr>
          <w:b/>
          <w:bCs/>
        </w:rPr>
        <w:t>v</w:t>
      </w:r>
      <w:proofErr w:type="spellEnd"/>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 xml:space="preserve">a Securitizadora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xml:space="preserve">”), e da Resolução da CVM nº 60, de 23 de dezembro </w:t>
      </w:r>
      <w:r w:rsidRPr="00C9156B">
        <w:lastRenderedPageBreak/>
        <w:t>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lastRenderedPageBreak/>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638D8DD4"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CD6D5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CD6D5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 xml:space="preserve">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w:t>
      </w:r>
      <w:r w:rsidRPr="00C95A39">
        <w:lastRenderedPageBreak/>
        <w:t>recebimento da referida solicitação ou em prazo menor, na hipótese da necessidade de prazo para atendimento de exigência legal ou regulamentar.</w:t>
      </w:r>
    </w:p>
    <w:p w14:paraId="2453DDC0" w14:textId="185D1A88" w:rsidR="00927E92" w:rsidRPr="00715109" w:rsidRDefault="00927E92" w:rsidP="00715109">
      <w:pPr>
        <w:pStyle w:val="Level2"/>
        <w:rPr>
          <w:rFonts w:cs="Arial"/>
          <w:color w:val="000000"/>
        </w:rPr>
      </w:pPr>
      <w:bookmarkStart w:id="51" w:name="_DV_M78"/>
      <w:bookmarkStart w:id="52" w:name="_Hlk12003883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w:t>
      </w:r>
      <w:r w:rsidR="00142C9E">
        <w:rPr>
          <w:rFonts w:cs="Arial"/>
          <w:szCs w:val="20"/>
        </w:rPr>
        <w:t xml:space="preserve"> </w:t>
      </w:r>
      <w:r w:rsidR="00142C9E" w:rsidRPr="008F07B3">
        <w:rPr>
          <w:rFonts w:cs="Arial"/>
          <w:b/>
          <w:bCs/>
          <w:szCs w:val="20"/>
          <w:highlight w:val="yellow"/>
        </w:rPr>
        <w:t xml:space="preserve">[Nota </w:t>
      </w:r>
      <w:proofErr w:type="spellStart"/>
      <w:r w:rsidR="00142C9E" w:rsidRPr="008F07B3">
        <w:rPr>
          <w:rFonts w:cs="Arial"/>
          <w:b/>
          <w:bCs/>
          <w:szCs w:val="20"/>
          <w:highlight w:val="yellow"/>
        </w:rPr>
        <w:t>Lefosse</w:t>
      </w:r>
      <w:proofErr w:type="spellEnd"/>
      <w:r w:rsidR="00142C9E" w:rsidRPr="008F07B3">
        <w:rPr>
          <w:rFonts w:cs="Arial"/>
          <w:b/>
          <w:bCs/>
          <w:szCs w:val="20"/>
          <w:highlight w:val="yellow"/>
        </w:rPr>
        <w:t xml:space="preserve">: </w:t>
      </w:r>
      <w:r w:rsidR="00142C9E">
        <w:rPr>
          <w:rFonts w:cs="Arial"/>
          <w:b/>
          <w:bCs/>
          <w:szCs w:val="20"/>
          <w:highlight w:val="yellow"/>
        </w:rPr>
        <w:t>OT</w:t>
      </w:r>
      <w:r w:rsidR="00142C9E" w:rsidRPr="008F07B3">
        <w:rPr>
          <w:rFonts w:cs="Arial"/>
          <w:b/>
          <w:bCs/>
          <w:szCs w:val="20"/>
          <w:highlight w:val="yellow"/>
        </w:rPr>
        <w:t>, favor preencher oportunamente.]</w:t>
      </w:r>
    </w:p>
    <w:p w14:paraId="67C5C7FA" w14:textId="6DB1DDC8" w:rsidR="000E7062" w:rsidRPr="000E7062" w:rsidRDefault="00927E92" w:rsidP="00212640">
      <w:pPr>
        <w:pStyle w:val="Level2"/>
        <w:rPr>
          <w:rFonts w:cs="Arial"/>
          <w:color w:val="000000"/>
          <w:szCs w:val="20"/>
        </w:rPr>
      </w:pPr>
      <w:bookmarkStart w:id="53" w:name="_DV_M79"/>
      <w:bookmarkEnd w:id="52"/>
      <w:bookmarkEnd w:id="53"/>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7C9A2A1C"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CD6D5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lastRenderedPageBreak/>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lastRenderedPageBreak/>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r w:rsidR="007C0473">
        <w:t>Securitizadora</w:t>
      </w:r>
      <w:bookmarkStart w:id="86" w:name="_DV_M112"/>
      <w:bookmarkEnd w:id="85"/>
      <w:bookmarkEnd w:id="86"/>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3D9E80F5"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6" w:name="_DV_M118"/>
      <w:bookmarkEnd w:id="96"/>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7" w:name="_Hlk70956699"/>
      <w:r>
        <w:t>Securitizadora</w:t>
      </w:r>
      <w:bookmarkEnd w:id="97"/>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r>
        <w:t xml:space="preserve">Securitizadora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8" w:name="_DV_M328"/>
      <w:bookmarkStart w:id="99" w:name="OLE_LINK23"/>
      <w:bookmarkStart w:id="100" w:name="OLE_LINK24"/>
      <w:bookmarkEnd w:id="98"/>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1" w:name="_DV_M329"/>
      <w:bookmarkEnd w:id="101"/>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2"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76D94E72"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3" w:name="_DV_M336"/>
      <w:bookmarkEnd w:id="102"/>
      <w:bookmarkEnd w:id="103"/>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09A365A0" w:rsidR="000A2BB6" w:rsidRPr="00F6090E" w:rsidRDefault="00584848" w:rsidP="0034472C">
      <w:pPr>
        <w:pStyle w:val="Level1"/>
        <w:keepNext w:val="0"/>
        <w:numPr>
          <w:ilvl w:val="0"/>
          <w:numId w:val="0"/>
        </w:numPr>
        <w:spacing w:before="0" w:after="0"/>
        <w:ind w:left="709"/>
        <w:jc w:val="left"/>
        <w:rPr>
          <w:smallCaps/>
        </w:rPr>
      </w:pPr>
      <w:bookmarkStart w:id="104" w:name="_DV_M337"/>
      <w:bookmarkStart w:id="105" w:name="_DV_M338"/>
      <w:bookmarkStart w:id="106" w:name="_DV_M339"/>
      <w:bookmarkStart w:id="107" w:name="_DV_M340"/>
      <w:bookmarkStart w:id="108" w:name="_DV_M341"/>
      <w:bookmarkStart w:id="109" w:name="_DV_M718"/>
      <w:bookmarkStart w:id="110" w:name="_DV_M342"/>
      <w:bookmarkStart w:id="111" w:name="_DV_M343"/>
      <w:bookmarkStart w:id="112" w:name="_DV_M344"/>
      <w:bookmarkStart w:id="113" w:name="_DV_M345"/>
      <w:bookmarkStart w:id="114" w:name="_DV_M346"/>
      <w:bookmarkStart w:id="115" w:name="_DV_M347"/>
      <w:bookmarkStart w:id="116" w:name="_DV_M349"/>
      <w:bookmarkStart w:id="117" w:name="_DV_M350"/>
      <w:bookmarkStart w:id="118" w:name="_DV_M351"/>
      <w:bookmarkStart w:id="119" w:name="_DV_M352"/>
      <w:bookmarkStart w:id="120" w:name="_DV_M353"/>
      <w:bookmarkStart w:id="121" w:name="_DV_M354"/>
      <w:bookmarkStart w:id="122" w:name="_DV_M355"/>
      <w:bookmarkStart w:id="123" w:name="_DV_M356"/>
      <w:bookmarkStart w:id="124" w:name="_DV_M357"/>
      <w:bookmarkStart w:id="125" w:name="_DV_M358"/>
      <w:bookmarkStart w:id="126" w:name="_DV_M359"/>
      <w:bookmarkStart w:id="127" w:name="_DV_M360"/>
      <w:bookmarkStart w:id="128" w:name="_DV_M361"/>
      <w:bookmarkStart w:id="129" w:name="_DV_M362"/>
      <w:bookmarkStart w:id="130" w:name="_DV_M363"/>
      <w:bookmarkStart w:id="131" w:name="_DV_M364"/>
      <w:bookmarkStart w:id="132" w:name="_DV_M365"/>
      <w:bookmarkStart w:id="133" w:name="_DV_M366"/>
      <w:bookmarkStart w:id="134" w:name="_DV_M367"/>
      <w:bookmarkStart w:id="135" w:name="_DV_M368"/>
      <w:bookmarkStart w:id="136" w:name="_DV_M369"/>
      <w:bookmarkStart w:id="137" w:name="_DV_M370"/>
      <w:bookmarkStart w:id="138" w:name="_DV_M371"/>
      <w:bookmarkStart w:id="139" w:name="_Hlk71816786"/>
      <w:bookmarkStart w:id="140" w:name="_Hlk71819793"/>
      <w:bookmarkEnd w:id="99"/>
      <w:bookmarkEnd w:id="1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1"/>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39"/>
    <w:bookmarkEnd w:id="140"/>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2" w:name="_DV_M372"/>
      <w:bookmarkStart w:id="143" w:name="_DV_M373"/>
      <w:bookmarkEnd w:id="142"/>
      <w:bookmarkEnd w:id="14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4" w:name="_DV_M119"/>
      <w:bookmarkEnd w:id="14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46DC44BB" w:rsidR="003C11B0" w:rsidRPr="00715109" w:rsidRDefault="001765E0" w:rsidP="00D373D7">
      <w:pPr>
        <w:widowControl w:val="0"/>
        <w:tabs>
          <w:tab w:val="left" w:pos="8647"/>
        </w:tabs>
        <w:spacing w:line="320" w:lineRule="exact"/>
        <w:jc w:val="center"/>
        <w:rPr>
          <w:rFonts w:ascii="Arial" w:hAnsi="Arial" w:cs="Arial"/>
          <w:sz w:val="20"/>
          <w:szCs w:val="20"/>
        </w:rPr>
      </w:pPr>
      <w:bookmarkStart w:id="145" w:name="_DV_M126"/>
      <w:bookmarkEnd w:id="145"/>
      <w:r w:rsidRPr="00715109">
        <w:rPr>
          <w:rFonts w:ascii="Arial" w:hAnsi="Arial" w:cs="Arial"/>
          <w:sz w:val="20"/>
          <w:szCs w:val="20"/>
        </w:rPr>
        <w:t>São Paulo</w:t>
      </w:r>
      <w:r w:rsidR="003C11B0" w:rsidRPr="00715109">
        <w:rPr>
          <w:rFonts w:ascii="Arial" w:hAnsi="Arial" w:cs="Arial"/>
          <w:sz w:val="20"/>
          <w:szCs w:val="20"/>
        </w:rPr>
        <w:t>,</w:t>
      </w:r>
      <w:bookmarkStart w:id="146" w:name="_DV_C187"/>
      <w:r w:rsidR="003C11B0" w:rsidRPr="00715109">
        <w:rPr>
          <w:rFonts w:ascii="Arial" w:hAnsi="Arial" w:cs="Arial"/>
          <w:sz w:val="20"/>
          <w:szCs w:val="20"/>
        </w:rPr>
        <w:t xml:space="preserve"> </w:t>
      </w:r>
      <w:bookmarkEnd w:id="146"/>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142C9E">
        <w:rPr>
          <w:rFonts w:ascii="Arial" w:hAnsi="Arial" w:cs="Arial"/>
          <w:sz w:val="20"/>
          <w:szCs w:val="20"/>
        </w:rPr>
        <w:t xml:space="preserve">novembro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7" w:name="_DV_M120"/>
      <w:bookmarkStart w:id="148" w:name="_DV_M121"/>
      <w:bookmarkStart w:id="149" w:name="_DV_M122"/>
      <w:bookmarkStart w:id="150" w:name="_DV_M123"/>
      <w:bookmarkStart w:id="151" w:name="_DV_M124"/>
      <w:bookmarkEnd w:id="147"/>
      <w:bookmarkEnd w:id="148"/>
      <w:bookmarkEnd w:id="149"/>
      <w:bookmarkEnd w:id="150"/>
      <w:bookmarkEnd w:id="15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2" w:name="_DV_M127"/>
      <w:bookmarkStart w:id="153" w:name="_DV_M128"/>
      <w:bookmarkStart w:id="154" w:name="_DV_M129"/>
      <w:bookmarkEnd w:id="152"/>
      <w:bookmarkEnd w:id="153"/>
      <w:bookmarkEnd w:id="15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6" w:name="_DV_M130"/>
      <w:bookmarkEnd w:id="156"/>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7" w:name="_DV_M408"/>
      <w:bookmarkEnd w:id="15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8" w:name="_DV_M15"/>
      <w:bookmarkStart w:id="159" w:name="_DV_M509"/>
      <w:bookmarkStart w:id="160" w:name="_DV_M508"/>
      <w:bookmarkEnd w:id="158"/>
      <w:bookmarkEnd w:id="159"/>
      <w:bookmarkEnd w:id="16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1" w:name="_DV_M131"/>
      <w:bookmarkStart w:id="162" w:name="_DV_M132"/>
      <w:bookmarkEnd w:id="161"/>
      <w:bookmarkEnd w:id="162"/>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3C89C348"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F80843">
              <w:rPr>
                <w:rFonts w:ascii="Arial" w:hAnsi="Arial" w:cs="Arial"/>
                <w:sz w:val="20"/>
                <w:szCs w:val="20"/>
              </w:rPr>
              <w:t xml:space="preserve">28 </w:t>
            </w:r>
            <w:r w:rsidR="00FF73BA">
              <w:rPr>
                <w:rFonts w:ascii="Arial" w:hAnsi="Arial" w:cs="Arial"/>
                <w:sz w:val="20"/>
                <w:szCs w:val="20"/>
              </w:rPr>
              <w:t xml:space="preserve">de </w:t>
            </w:r>
            <w:r w:rsidR="00142C9E">
              <w:rPr>
                <w:rFonts w:ascii="Arial" w:hAnsi="Arial" w:cs="Arial"/>
                <w:sz w:val="20"/>
                <w:szCs w:val="20"/>
              </w:rPr>
              <w:t xml:space="preserve">novembro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7600168F"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F80843">
              <w:rPr>
                <w:rFonts w:ascii="Arial" w:hAnsi="Arial" w:cs="Arial"/>
                <w:bCs/>
                <w:sz w:val="20"/>
                <w:szCs w:val="20"/>
              </w:rPr>
              <w:t>novembro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4F1611E"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4F11FF">
              <w:rPr>
                <w:rFonts w:ascii="Arial" w:hAnsi="Arial" w:cs="Arial"/>
                <w:sz w:val="20"/>
                <w:szCs w:val="20"/>
              </w:rPr>
              <w:t>21</w:t>
            </w:r>
            <w:r w:rsidR="004F11FF" w:rsidRPr="007E0BC2">
              <w:rPr>
                <w:rFonts w:ascii="Arial" w:hAnsi="Arial" w:cs="Arial"/>
                <w:sz w:val="20"/>
                <w:szCs w:val="20"/>
              </w:rPr>
              <w:t xml:space="preserve"> </w:t>
            </w:r>
            <w:r w:rsidR="00EE5D2C" w:rsidRPr="007E0BC2">
              <w:rPr>
                <w:rFonts w:ascii="Arial" w:hAnsi="Arial" w:cs="Arial"/>
                <w:sz w:val="20"/>
                <w:szCs w:val="20"/>
              </w:rPr>
              <w:t xml:space="preserve">de </w:t>
            </w:r>
            <w:r w:rsidR="004F11FF">
              <w:rPr>
                <w:rFonts w:ascii="Arial" w:hAnsi="Arial" w:cs="Arial"/>
                <w:sz w:val="20"/>
                <w:szCs w:val="20"/>
              </w:rPr>
              <w:t>novembro</w:t>
            </w:r>
            <w:r w:rsidR="004F11FF"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7C6E6ACD" w:rsidR="0006135E" w:rsidRPr="00715109" w:rsidRDefault="00F80843" w:rsidP="0006135E">
            <w:pPr>
              <w:spacing w:line="320" w:lineRule="exact"/>
              <w:jc w:val="both"/>
              <w:rPr>
                <w:rFonts w:ascii="Arial" w:hAnsi="Arial" w:cs="Arial"/>
                <w:sz w:val="20"/>
                <w:szCs w:val="20"/>
              </w:rPr>
            </w:pPr>
            <w:r>
              <w:rPr>
                <w:rFonts w:ascii="Arial" w:hAnsi="Arial" w:cs="Arial"/>
                <w:sz w:val="20"/>
                <w:szCs w:val="20"/>
              </w:rPr>
              <w:t xml:space="preserve">28 </w:t>
            </w:r>
            <w:r w:rsidR="00EE5D2C">
              <w:rPr>
                <w:rFonts w:ascii="Arial" w:hAnsi="Arial" w:cs="Arial"/>
                <w:sz w:val="20"/>
                <w:szCs w:val="20"/>
              </w:rPr>
              <w:t xml:space="preserve">de </w:t>
            </w:r>
            <w:r w:rsidR="00142C9E">
              <w:rPr>
                <w:rFonts w:ascii="Arial" w:hAnsi="Arial" w:cs="Arial"/>
                <w:sz w:val="20"/>
                <w:szCs w:val="20"/>
              </w:rPr>
              <w:t xml:space="preserve">novembro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4DA32EE6" w:rsidR="0006135E" w:rsidRPr="00043637" w:rsidRDefault="00A43F78" w:rsidP="007E0BC2">
            <w:pPr>
              <w:spacing w:line="320" w:lineRule="exact"/>
              <w:jc w:val="both"/>
              <w:rPr>
                <w:rFonts w:ascii="Arial" w:hAnsi="Arial" w:cs="Arial"/>
                <w:sz w:val="20"/>
                <w:szCs w:val="20"/>
              </w:rPr>
            </w:pPr>
            <w:del w:id="163" w:author="Luis Henrique Cavalleiro" w:date="2022-11-23T11:26:00Z">
              <w:r w:rsidRPr="00043637" w:rsidDel="00A86C5C">
                <w:rPr>
                  <w:rFonts w:ascii="Arial" w:hAnsi="Arial" w:cs="Arial"/>
                  <w:sz w:val="20"/>
                  <w:szCs w:val="20"/>
                </w:rPr>
                <w:delText>4.</w:delText>
              </w:r>
              <w:r w:rsidR="00043637" w:rsidRPr="00043637" w:rsidDel="00A86C5C">
                <w:rPr>
                  <w:rFonts w:ascii="Arial" w:hAnsi="Arial" w:cs="Arial"/>
                  <w:sz w:val="20"/>
                  <w:szCs w:val="20"/>
                </w:rPr>
                <w:delText>99</w:delText>
              </w:r>
              <w:r w:rsidR="00E22487" w:rsidDel="00A86C5C">
                <w:rPr>
                  <w:rFonts w:ascii="Arial" w:hAnsi="Arial" w:cs="Arial"/>
                  <w:sz w:val="20"/>
                  <w:szCs w:val="20"/>
                </w:rPr>
                <w:delText>8</w:delText>
              </w:r>
            </w:del>
            <w:ins w:id="164" w:author="Luis Henrique Cavalleiro" w:date="2022-11-23T11:26:00Z">
              <w:r w:rsidR="00A86C5C">
                <w:rPr>
                  <w:rFonts w:ascii="Arial" w:hAnsi="Arial" w:cs="Arial"/>
                  <w:sz w:val="20"/>
                  <w:szCs w:val="20"/>
                </w:rPr>
                <w:t>4.988</w:t>
              </w:r>
            </w:ins>
            <w:r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w:t>
            </w:r>
            <w:del w:id="165" w:author="Luis Henrique Cavalleiro" w:date="2022-11-23T11:26:00Z">
              <w:r w:rsidR="00043637" w:rsidRPr="00A12338" w:rsidDel="00A86C5C">
                <w:rPr>
                  <w:rFonts w:ascii="Arial" w:hAnsi="Arial" w:cs="Arial"/>
                  <w:sz w:val="20"/>
                  <w:szCs w:val="20"/>
                </w:rPr>
                <w:delText xml:space="preserve">noventa </w:delText>
              </w:r>
            </w:del>
            <w:ins w:id="166" w:author="Luis Henrique Cavalleiro" w:date="2022-11-23T11:26:00Z">
              <w:r w:rsidR="00A86C5C">
                <w:rPr>
                  <w:rFonts w:ascii="Arial" w:hAnsi="Arial" w:cs="Arial"/>
                  <w:sz w:val="20"/>
                  <w:szCs w:val="20"/>
                </w:rPr>
                <w:t>oitenta</w:t>
              </w:r>
              <w:r w:rsidR="00A86C5C" w:rsidRPr="00A12338">
                <w:rPr>
                  <w:rFonts w:ascii="Arial" w:hAnsi="Arial" w:cs="Arial"/>
                  <w:sz w:val="20"/>
                  <w:szCs w:val="20"/>
                </w:rPr>
                <w:t xml:space="preserve"> </w:t>
              </w:r>
            </w:ins>
            <w:r w:rsidR="00043637" w:rsidRPr="00A12338">
              <w:rPr>
                <w:rFonts w:ascii="Arial" w:hAnsi="Arial" w:cs="Arial"/>
                <w:sz w:val="20"/>
                <w:szCs w:val="20"/>
              </w:rPr>
              <w:t xml:space="preserve">e </w:t>
            </w:r>
            <w:r w:rsidR="00E22487">
              <w:rPr>
                <w:rFonts w:ascii="Arial" w:hAnsi="Arial" w:cs="Arial"/>
                <w:sz w:val="20"/>
                <w:szCs w:val="20"/>
              </w:rPr>
              <w:t>oito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5808F38"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7,53% (sete inteiros e cinquenta e três 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lastRenderedPageBreak/>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77777777"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 xml:space="preserve">150), Gleba Ribeirão do Tigre, Estrada </w:t>
            </w:r>
            <w:proofErr w:type="spellStart"/>
            <w:r w:rsidRPr="00B645F7">
              <w:rPr>
                <w:rFonts w:ascii="Arial" w:hAnsi="Arial" w:cs="Arial"/>
                <w:sz w:val="20"/>
                <w:szCs w:val="20"/>
              </w:rPr>
              <w:t>Boiadeira</w:t>
            </w:r>
            <w:proofErr w:type="spellEnd"/>
            <w:r w:rsidRPr="00B645F7">
              <w:rPr>
                <w:rFonts w:ascii="Arial" w:hAnsi="Arial" w:cs="Arial"/>
                <w:sz w:val="20"/>
                <w:szCs w:val="20"/>
              </w:rPr>
              <w:t>, Colônia Paranavaí, Nova Londrina/PR, CEP 87970-000</w:t>
            </w:r>
            <w:r w:rsidR="00F67D92">
              <w:rPr>
                <w:rFonts w:ascii="Arial" w:hAnsi="Arial" w:cs="Arial"/>
                <w:sz w:val="20"/>
                <w:szCs w:val="20"/>
              </w:rPr>
              <w:t xml:space="preserve">, melhor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FB8A" w14:textId="77777777" w:rsidR="00CC40A7" w:rsidRDefault="00CC40A7">
      <w:r>
        <w:separator/>
      </w:r>
    </w:p>
  </w:endnote>
  <w:endnote w:type="continuationSeparator" w:id="0">
    <w:p w14:paraId="2F8B106D" w14:textId="77777777" w:rsidR="00CC40A7" w:rsidRDefault="00CC40A7">
      <w:r>
        <w:continuationSeparator/>
      </w:r>
    </w:p>
  </w:endnote>
  <w:endnote w:type="continuationNotice" w:id="1">
    <w:p w14:paraId="35F3DCEA" w14:textId="77777777" w:rsidR="00CC40A7" w:rsidRDefault="00CC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ADF5" w14:textId="77777777" w:rsidR="00CC40A7" w:rsidRDefault="00CC40A7">
      <w:r>
        <w:separator/>
      </w:r>
    </w:p>
  </w:footnote>
  <w:footnote w:type="continuationSeparator" w:id="0">
    <w:p w14:paraId="61EEFE01" w14:textId="77777777" w:rsidR="00CC40A7" w:rsidRDefault="00CC40A7">
      <w:r>
        <w:continuationSeparator/>
      </w:r>
    </w:p>
  </w:footnote>
  <w:footnote w:type="continuationNotice" w:id="1">
    <w:p w14:paraId="3A570CBF" w14:textId="77777777" w:rsidR="00CC40A7" w:rsidRDefault="00CC4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6C5C"/>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0A7"/>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 L E F O S S E ! 4 0 1 7 0 5 4 . 1 < / d o c u m e n t i d >  
     < s e n d e r i d > C A I U B < / s e n d e r i d >  
     < s e n d e r e m a i l > C L A R I C E . A I U B @ L E F O S S E . C O M < / s e n d e r e m a i l >  
     < l a s t m o d i f i e d > 2 0 2 2 - 1 1 - 2 2 T 2 0 : 1 0 : 0 0 . 0 0 0 0 0 0 0 - 0 3 : 0 0 < / l a s t m o d i f i e d >  
     < d a t a b a s e > L E F O S S E < / d a t a b a s e >  
 < / p r o p e r t i e s > 
</file>

<file path=customXml/item5.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3A6A5C9A-ECD5-40B4-A412-943967AAB1F1}">
  <ds:schemaRefs>
    <ds:schemaRef ds:uri="http://www.imanage.com/work/xmlschema"/>
  </ds:schemaRefs>
</ds:datastoreItem>
</file>

<file path=customXml/itemProps5.xml><?xml version="1.0" encoding="utf-8"?>
<ds:datastoreItem xmlns:ds="http://schemas.openxmlformats.org/officeDocument/2006/customXml" ds:itemID="{10A9CF43-D2F6-47E1-A82D-3E8555A45614}">
  <ds:schemaRefs>
    <ds:schemaRef ds:uri="http://www.imanage.com/work/xmlschema"/>
  </ds:schemaRefs>
</ds:datastoreItem>
</file>

<file path=customXml/itemProps6.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6891</Words>
  <Characters>37217</Characters>
  <Application>Microsoft Office Word</Application>
  <DocSecurity>0</DocSecurity>
  <Lines>310</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11</cp:revision>
  <cp:lastPrinted>2018-10-04T09:12:00Z</cp:lastPrinted>
  <dcterms:created xsi:type="dcterms:W3CDTF">2022-11-22T19:53:00Z</dcterms:created>
  <dcterms:modified xsi:type="dcterms:W3CDTF">2022-11-23T14:26:00Z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- 4017054v1</vt:lpwstr>
  </property>
</Properties>
</file>