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5B8C" w14:textId="77777777" w:rsidR="00F1561E" w:rsidRPr="003433D8" w:rsidRDefault="00F1561E" w:rsidP="003433D8">
      <w:pPr>
        <w:pStyle w:val="Ttulo1"/>
        <w:tabs>
          <w:tab w:val="left" w:pos="9072"/>
        </w:tabs>
        <w:spacing w:before="0" w:line="300" w:lineRule="exact"/>
        <w:ind w:left="0" w:right="751"/>
        <w:jc w:val="center"/>
        <w:rPr>
          <w:rFonts w:ascii="Tahoma" w:hAnsi="Tahoma" w:cs="Tahoma"/>
          <w:sz w:val="21"/>
          <w:szCs w:val="21"/>
        </w:rPr>
      </w:pPr>
      <w:r w:rsidRPr="003B09EC">
        <w:rPr>
          <w:rFonts w:ascii="Tahoma" w:hAnsi="Tahoma" w:cs="Tahoma"/>
          <w:sz w:val="21"/>
          <w:szCs w:val="21"/>
        </w:rPr>
        <w:t>PRIMEIRO</w:t>
      </w:r>
      <w:r w:rsidRPr="003433D8">
        <w:rPr>
          <w:rFonts w:ascii="Tahoma" w:hAnsi="Tahoma" w:cs="Tahoma"/>
          <w:sz w:val="21"/>
          <w:szCs w:val="21"/>
        </w:rPr>
        <w:t xml:space="preserve"> ADITAMENTO À CÉDULA DE CRÉDITO BANCÁRIO </w:t>
      </w:r>
      <w:r w:rsidRPr="003433D8">
        <w:rPr>
          <w:rFonts w:ascii="Tahoma" w:hAnsi="Tahoma" w:cs="Tahoma"/>
          <w:spacing w:val="-57"/>
          <w:sz w:val="21"/>
          <w:szCs w:val="21"/>
        </w:rPr>
        <w:t xml:space="preserve"> </w:t>
      </w:r>
      <w:r w:rsidRPr="003433D8">
        <w:rPr>
          <w:rFonts w:ascii="Tahoma" w:hAnsi="Tahoma" w:cs="Tahoma"/>
          <w:sz w:val="21"/>
          <w:szCs w:val="21"/>
        </w:rPr>
        <w:t>Nº</w:t>
      </w:r>
      <w:r w:rsidRPr="003433D8">
        <w:rPr>
          <w:rFonts w:ascii="Tahoma" w:hAnsi="Tahoma" w:cs="Tahoma"/>
          <w:spacing w:val="-1"/>
          <w:sz w:val="21"/>
          <w:szCs w:val="21"/>
        </w:rPr>
        <w:t xml:space="preserve"> </w:t>
      </w:r>
      <w:r w:rsidRPr="003433D8">
        <w:rPr>
          <w:rFonts w:ascii="Tahoma" w:hAnsi="Tahoma" w:cs="Tahoma"/>
          <w:sz w:val="21"/>
          <w:szCs w:val="21"/>
        </w:rPr>
        <w:t>41500811-5</w:t>
      </w:r>
    </w:p>
    <w:p w14:paraId="2D468138" w14:textId="77777777" w:rsidR="00F1561E" w:rsidRPr="003433D8" w:rsidRDefault="00F1561E" w:rsidP="003433D8">
      <w:pPr>
        <w:pStyle w:val="Corpodetexto"/>
        <w:spacing w:line="300" w:lineRule="exact"/>
        <w:rPr>
          <w:rFonts w:ascii="Tahoma" w:hAnsi="Tahoma" w:cs="Tahoma"/>
          <w:b/>
          <w:sz w:val="21"/>
          <w:szCs w:val="21"/>
        </w:rPr>
      </w:pPr>
    </w:p>
    <w:p w14:paraId="04D8054F"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 – PARTES</w:t>
      </w:r>
    </w:p>
    <w:p w14:paraId="6E505182" w14:textId="77777777" w:rsidR="00F1561E" w:rsidRPr="003433D8" w:rsidRDefault="00F1561E" w:rsidP="003433D8">
      <w:pPr>
        <w:pStyle w:val="Corpodetexto"/>
        <w:spacing w:line="300" w:lineRule="exact"/>
        <w:rPr>
          <w:rFonts w:ascii="Tahoma" w:hAnsi="Tahoma" w:cs="Tahoma"/>
          <w:b/>
          <w:sz w:val="21"/>
          <w:szCs w:val="21"/>
        </w:rPr>
      </w:pPr>
    </w:p>
    <w:p w14:paraId="1A53CFB5" w14:textId="7777777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Pelo presente instrumento particular:</w:t>
      </w:r>
    </w:p>
    <w:p w14:paraId="1C540063" w14:textId="77777777" w:rsidR="00F1561E" w:rsidRPr="003433D8" w:rsidRDefault="00F1561E" w:rsidP="003433D8">
      <w:pPr>
        <w:pStyle w:val="Corpodetexto"/>
        <w:spacing w:line="300" w:lineRule="exact"/>
        <w:rPr>
          <w:rFonts w:ascii="Tahoma" w:hAnsi="Tahoma" w:cs="Tahoma"/>
          <w:b/>
          <w:sz w:val="21"/>
          <w:szCs w:val="21"/>
        </w:rPr>
      </w:pPr>
    </w:p>
    <w:p w14:paraId="5D9FA131"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VIRGO COMPANHIA DE SECURITIZAÇÃO</w:t>
      </w:r>
      <w:r w:rsidRPr="003433D8">
        <w:rPr>
          <w:rFonts w:ascii="Tahoma" w:hAnsi="Tahoma" w:cs="Tahoma"/>
          <w:bCs/>
          <w:sz w:val="21"/>
          <w:szCs w:val="21"/>
        </w:rPr>
        <w:t xml:space="preserve"> (atual denominação de Isec SECURITIZADORA S.A.), sociedade por ações, registrada na Comissão de Valores Mobiliários (“CVM”), com sede na Cidade de São Paulo, Estado de São Paulo, na Rua Tabapuã, nº 1.123, 21º andar, conjunto 215, Itaim Bibi, inscrita no CNPJ/ME sob o nº 08.769.451/0001-08, neste ato representada na forma do seu Estatuto Social (adiante designada como “Credora” ou “Securitizadora”);</w:t>
      </w:r>
    </w:p>
    <w:p w14:paraId="4FF7BCBA" w14:textId="77777777" w:rsidR="00F1561E" w:rsidRPr="003433D8" w:rsidRDefault="00F1561E" w:rsidP="003433D8">
      <w:pPr>
        <w:pStyle w:val="Corpodetexto"/>
        <w:spacing w:line="300" w:lineRule="exact"/>
        <w:jc w:val="both"/>
        <w:rPr>
          <w:rFonts w:ascii="Tahoma" w:hAnsi="Tahoma" w:cs="Tahoma"/>
          <w:bCs/>
          <w:sz w:val="21"/>
          <w:szCs w:val="21"/>
        </w:rPr>
      </w:pPr>
    </w:p>
    <w:p w14:paraId="6E1002EF"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EXTO INCORPORAÇÕES E EMPREENDIMENTOS IMOBILIÁRIOS LTDA,</w:t>
      </w:r>
      <w:r w:rsidRPr="003433D8">
        <w:rPr>
          <w:rFonts w:ascii="Tahoma" w:hAnsi="Tahoma" w:cs="Tahoma"/>
          <w:bCs/>
          <w:sz w:val="21"/>
          <w:szCs w:val="21"/>
        </w:rPr>
        <w:t xml:space="preserve"> sociedade limitada, com sede na cidade de São Paulo, Estado de São Paulo, na Av. Eliseu de Almeida, 1.415, 1º andar, Butantã, inscrita no CNPJ/ME sob o nº 03.142.682/0001-65, neste ato representada na forma do seu Estatuto Social (adiante designada simplesmente “Devedora”);</w:t>
      </w:r>
    </w:p>
    <w:p w14:paraId="73AAAAFF" w14:textId="77777777" w:rsidR="00F1561E" w:rsidRPr="003433D8" w:rsidRDefault="00F1561E" w:rsidP="003433D8">
      <w:pPr>
        <w:pStyle w:val="Corpodetexto"/>
        <w:spacing w:line="300" w:lineRule="exact"/>
        <w:rPr>
          <w:rFonts w:ascii="Tahoma" w:hAnsi="Tahoma" w:cs="Tahoma"/>
          <w:b/>
          <w:sz w:val="21"/>
          <w:szCs w:val="21"/>
        </w:rPr>
      </w:pPr>
    </w:p>
    <w:p w14:paraId="756EE7E7"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II – CONSIDERAÇÕES PRELIMINARES</w:t>
      </w:r>
    </w:p>
    <w:p w14:paraId="3AC37F15" w14:textId="77777777" w:rsidR="00F1561E" w:rsidRPr="003433D8" w:rsidRDefault="00F1561E" w:rsidP="003433D8">
      <w:pPr>
        <w:pStyle w:val="Corpodetexto"/>
        <w:spacing w:line="300" w:lineRule="exact"/>
        <w:rPr>
          <w:rFonts w:ascii="Tahoma" w:hAnsi="Tahoma" w:cs="Tahoma"/>
          <w:b/>
          <w:sz w:val="21"/>
          <w:szCs w:val="21"/>
        </w:rPr>
      </w:pPr>
    </w:p>
    <w:p w14:paraId="78EF0D56" w14:textId="70F0CB62"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em 26 de janeiro de 2021, a devedora emitiu a</w:t>
      </w:r>
      <w:r w:rsidRPr="003433D8">
        <w:rPr>
          <w:rFonts w:ascii="Tahoma" w:hAnsi="Tahoma" w:cs="Tahoma"/>
          <w:sz w:val="21"/>
          <w:szCs w:val="21"/>
        </w:rPr>
        <w:t xml:space="preserve"> </w:t>
      </w:r>
      <w:r w:rsidRPr="003433D8">
        <w:rPr>
          <w:rFonts w:ascii="Tahoma" w:hAnsi="Tahoma" w:cs="Tahoma"/>
          <w:bCs/>
          <w:i/>
          <w:iCs/>
          <w:sz w:val="21"/>
          <w:szCs w:val="21"/>
        </w:rPr>
        <w:t>Cédula de Crédito Bancário nº 41500811-5</w:t>
      </w:r>
      <w:r w:rsidRPr="003433D8">
        <w:rPr>
          <w:rFonts w:ascii="Tahoma" w:hAnsi="Tahoma" w:cs="Tahoma"/>
          <w:bCs/>
          <w:sz w:val="21"/>
          <w:szCs w:val="21"/>
        </w:rPr>
        <w:t xml:space="preserve"> (“</w:t>
      </w:r>
      <w:r w:rsidRPr="003433D8">
        <w:rPr>
          <w:rFonts w:ascii="Tahoma" w:hAnsi="Tahoma" w:cs="Tahoma"/>
          <w:bCs/>
          <w:sz w:val="21"/>
          <w:szCs w:val="21"/>
          <w:u w:val="single"/>
        </w:rPr>
        <w:t>CCB</w:t>
      </w:r>
      <w:r w:rsidRPr="003433D8">
        <w:rPr>
          <w:rFonts w:ascii="Tahoma" w:hAnsi="Tahoma" w:cs="Tahoma"/>
          <w:bCs/>
          <w:sz w:val="21"/>
          <w:szCs w:val="21"/>
        </w:rPr>
        <w:t>”) no valor de R$</w:t>
      </w:r>
      <w:r w:rsidR="003433D8">
        <w:rPr>
          <w:rFonts w:ascii="Tahoma" w:hAnsi="Tahoma" w:cs="Tahoma"/>
          <w:bCs/>
          <w:sz w:val="21"/>
          <w:szCs w:val="21"/>
        </w:rPr>
        <w:t xml:space="preserve"> </w:t>
      </w:r>
      <w:r w:rsidRPr="003433D8">
        <w:rPr>
          <w:rFonts w:ascii="Tahoma" w:hAnsi="Tahoma" w:cs="Tahoma"/>
          <w:bCs/>
          <w:sz w:val="21"/>
          <w:szCs w:val="21"/>
        </w:rPr>
        <w:t>65.000.000,00 (sessenta e cinco milhões de reais)</w:t>
      </w:r>
      <w:r w:rsidRPr="003433D8">
        <w:rPr>
          <w:rFonts w:ascii="Tahoma" w:hAnsi="Tahoma" w:cs="Tahoma"/>
          <w:sz w:val="21"/>
          <w:szCs w:val="21"/>
        </w:rPr>
        <w:t xml:space="preserve"> </w:t>
      </w:r>
      <w:r w:rsidRPr="003433D8">
        <w:rPr>
          <w:rFonts w:ascii="Tahoma" w:hAnsi="Tahoma" w:cs="Tahoma"/>
          <w:bCs/>
          <w:sz w:val="21"/>
          <w:szCs w:val="21"/>
        </w:rPr>
        <w:t>em favor da COMPANHIA HIPOTECÁRIA PIRATINI – CHP, companhia hipotecária, com sede na Cidade de Porto Alegre, Estado do Rio Grande do Sul, na Avenida Cristóvão Colombo, nº 2.955, conjunto 501, Floresta, CEP 90560-002, inscrita no CNPJ/ME sob o nº 18.282.093/0001-50 (“</w:t>
      </w:r>
      <w:r w:rsidRPr="003433D8">
        <w:rPr>
          <w:rFonts w:ascii="Tahoma" w:hAnsi="Tahoma" w:cs="Tahoma"/>
          <w:bCs/>
          <w:sz w:val="21"/>
          <w:szCs w:val="21"/>
          <w:u w:val="single"/>
        </w:rPr>
        <w:t>Companhia Hipotecária</w:t>
      </w:r>
      <w:r w:rsidRPr="003433D8">
        <w:rPr>
          <w:rFonts w:ascii="Tahoma" w:hAnsi="Tahoma" w:cs="Tahoma"/>
          <w:bCs/>
          <w:sz w:val="21"/>
          <w:szCs w:val="21"/>
        </w:rPr>
        <w:t>”);</w:t>
      </w:r>
    </w:p>
    <w:p w14:paraId="05DF8BBD" w14:textId="77777777" w:rsidR="00F1561E" w:rsidRPr="003433D8" w:rsidRDefault="00F1561E" w:rsidP="003433D8">
      <w:pPr>
        <w:pStyle w:val="Corpodetexto"/>
        <w:spacing w:line="300" w:lineRule="exact"/>
        <w:jc w:val="both"/>
        <w:rPr>
          <w:rFonts w:ascii="Tahoma" w:hAnsi="Tahoma" w:cs="Tahoma"/>
          <w:bCs/>
          <w:sz w:val="21"/>
          <w:szCs w:val="21"/>
        </w:rPr>
      </w:pPr>
    </w:p>
    <w:p w14:paraId="6C008FEC" w14:textId="62DBA646"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bCs/>
          <w:sz w:val="21"/>
          <w:szCs w:val="21"/>
        </w:rPr>
        <w:t>a Companhia Hipotecária cedeu a totalidade dos créditos imobiliários decorrente da CCB (“</w:t>
      </w:r>
      <w:r w:rsidRPr="003433D8">
        <w:rPr>
          <w:rFonts w:ascii="Tahoma" w:hAnsi="Tahoma" w:cs="Tahoma"/>
          <w:bCs/>
          <w:sz w:val="21"/>
          <w:szCs w:val="21"/>
          <w:u w:val="single"/>
        </w:rPr>
        <w:t>Créditos Imobiliários CCB</w:t>
      </w:r>
      <w:r w:rsidRPr="003433D8">
        <w:rPr>
          <w:rFonts w:ascii="Tahoma" w:hAnsi="Tahoma" w:cs="Tahoma"/>
          <w:bCs/>
          <w:sz w:val="21"/>
          <w:szCs w:val="21"/>
        </w:rPr>
        <w:t xml:space="preserve">”), e a Devedora cedeu a totalidade dos créditos imobiliários nos termos do </w:t>
      </w:r>
      <w:r w:rsidRPr="003433D8">
        <w:rPr>
          <w:rFonts w:ascii="Tahoma" w:hAnsi="Tahoma" w:cs="Tahoma"/>
          <w:bCs/>
          <w:i/>
          <w:iCs/>
          <w:sz w:val="21"/>
          <w:szCs w:val="21"/>
        </w:rPr>
        <w:t>“Termo de Endosso”</w:t>
      </w:r>
      <w:r w:rsidRPr="003433D8">
        <w:rPr>
          <w:rFonts w:ascii="Tahoma" w:hAnsi="Tahoma" w:cs="Tahoma"/>
          <w:bCs/>
          <w:sz w:val="21"/>
          <w:szCs w:val="21"/>
        </w:rPr>
        <w:t xml:space="preserve"> (“</w:t>
      </w:r>
      <w:r w:rsidR="003433D8" w:rsidRPr="003433D8">
        <w:rPr>
          <w:rFonts w:ascii="Tahoma" w:hAnsi="Tahoma" w:cs="Tahoma"/>
          <w:bCs/>
          <w:sz w:val="21"/>
          <w:szCs w:val="21"/>
          <w:u w:val="single"/>
        </w:rPr>
        <w:t>Termo de Endosso</w:t>
      </w:r>
      <w:r w:rsidRPr="003433D8">
        <w:rPr>
          <w:rFonts w:ascii="Tahoma" w:hAnsi="Tahoma" w:cs="Tahoma"/>
          <w:bCs/>
          <w:sz w:val="21"/>
          <w:szCs w:val="21"/>
        </w:rPr>
        <w:t>”) e serão representados pela cédula de créditos imobiliários (“</w:t>
      </w:r>
      <w:r w:rsidRPr="003433D8">
        <w:rPr>
          <w:rFonts w:ascii="Tahoma" w:hAnsi="Tahoma" w:cs="Tahoma"/>
          <w:bCs/>
          <w:sz w:val="21"/>
          <w:szCs w:val="21"/>
          <w:u w:val="single"/>
        </w:rPr>
        <w:t>CCI</w:t>
      </w:r>
      <w:r w:rsidRPr="003433D8">
        <w:rPr>
          <w:rFonts w:ascii="Tahoma" w:hAnsi="Tahoma" w:cs="Tahoma"/>
          <w:bCs/>
          <w:sz w:val="21"/>
          <w:szCs w:val="21"/>
        </w:rPr>
        <w:t xml:space="preserve">”), emitida nos termos do </w:t>
      </w:r>
      <w:r w:rsidRPr="003433D8">
        <w:rPr>
          <w:rFonts w:ascii="Tahoma" w:hAnsi="Tahoma" w:cs="Tahoma"/>
          <w:bCs/>
          <w:i/>
          <w:iCs/>
          <w:sz w:val="21"/>
          <w:szCs w:val="21"/>
        </w:rPr>
        <w:t>“Instrumento Particular de Emissão de Cédula de Créditos Imobiliários, sem Garantia Real Imobiliária, sob a Forma Escritural e Outras Avenças”</w:t>
      </w:r>
      <w:r w:rsidRPr="003433D8">
        <w:rPr>
          <w:rFonts w:ascii="Tahoma" w:hAnsi="Tahoma" w:cs="Tahoma"/>
          <w:bCs/>
          <w:sz w:val="21"/>
          <w:szCs w:val="21"/>
        </w:rPr>
        <w:t xml:space="preserve"> (“</w:t>
      </w:r>
      <w:r w:rsidR="003433D8" w:rsidRPr="003433D8">
        <w:rPr>
          <w:rFonts w:ascii="Tahoma" w:hAnsi="Tahoma" w:cs="Tahoma"/>
          <w:bCs/>
          <w:sz w:val="21"/>
          <w:szCs w:val="21"/>
          <w:u w:val="single"/>
        </w:rPr>
        <w:t>Escritura de Emissão de</w:t>
      </w:r>
      <w:r w:rsidRPr="003433D8">
        <w:rPr>
          <w:rFonts w:ascii="Tahoma" w:hAnsi="Tahoma" w:cs="Tahoma"/>
          <w:bCs/>
          <w:sz w:val="21"/>
          <w:szCs w:val="21"/>
          <w:u w:val="single"/>
        </w:rPr>
        <w:t xml:space="preserve"> CCI</w:t>
      </w:r>
      <w:r w:rsidRPr="003433D8">
        <w:rPr>
          <w:rFonts w:ascii="Tahoma" w:hAnsi="Tahoma" w:cs="Tahoma"/>
          <w:bCs/>
          <w:sz w:val="21"/>
          <w:szCs w:val="21"/>
        </w:rPr>
        <w:t>”) à Credora, celebrado em</w:t>
      </w:r>
      <w:r w:rsidR="0022696B" w:rsidRPr="003433D8">
        <w:rPr>
          <w:rFonts w:ascii="Tahoma" w:hAnsi="Tahoma" w:cs="Tahoma"/>
          <w:bCs/>
          <w:sz w:val="21"/>
          <w:szCs w:val="21"/>
        </w:rPr>
        <w:t xml:space="preserve"> 26 de janeiro de 2021;</w:t>
      </w:r>
    </w:p>
    <w:p w14:paraId="6C9E4EC3" w14:textId="77777777" w:rsidR="00F1561E" w:rsidRPr="003433D8" w:rsidRDefault="00F1561E" w:rsidP="003433D8">
      <w:pPr>
        <w:pStyle w:val="PargrafodaLista"/>
        <w:spacing w:line="300" w:lineRule="exact"/>
        <w:ind w:left="0" w:firstLine="0"/>
        <w:rPr>
          <w:rFonts w:ascii="Tahoma" w:hAnsi="Tahoma" w:cs="Tahoma"/>
          <w:sz w:val="21"/>
          <w:szCs w:val="21"/>
        </w:rPr>
      </w:pPr>
    </w:p>
    <w:p w14:paraId="10407CC3" w14:textId="77777777"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sz w:val="21"/>
          <w:szCs w:val="21"/>
        </w:rPr>
        <w:t>a Credora vinculou os Créditos Imobiliários, representados pelas CCI, aos certificados de recebíveis imobiliários das 131ª série de sua 4ª emissão (“</w:t>
      </w:r>
      <w:r w:rsidRPr="003433D8">
        <w:rPr>
          <w:rFonts w:ascii="Tahoma" w:hAnsi="Tahoma" w:cs="Tahoma"/>
          <w:sz w:val="21"/>
          <w:szCs w:val="21"/>
          <w:u w:val="single"/>
        </w:rPr>
        <w:t>CRI</w:t>
      </w:r>
      <w:r w:rsidRPr="003433D8">
        <w:rPr>
          <w:rFonts w:ascii="Tahoma" w:hAnsi="Tahoma" w:cs="Tahoma"/>
          <w:sz w:val="21"/>
          <w:szCs w:val="21"/>
        </w:rPr>
        <w:t>” e “</w:t>
      </w:r>
      <w:r w:rsidRPr="003433D8">
        <w:rPr>
          <w:rFonts w:ascii="Tahoma" w:hAnsi="Tahoma" w:cs="Tahoma"/>
          <w:sz w:val="21"/>
          <w:szCs w:val="21"/>
          <w:u w:val="single"/>
        </w:rPr>
        <w:t>Emissão</w:t>
      </w:r>
      <w:r w:rsidRPr="003433D8">
        <w:rPr>
          <w:rFonts w:ascii="Tahoma" w:hAnsi="Tahoma" w:cs="Tahoma"/>
          <w:sz w:val="21"/>
          <w:szCs w:val="21"/>
        </w:rPr>
        <w:t>”, respectivamente), nos termos da Lei nº 9.514, de 20 de novembro de 1997, e normativos da Comissão de Valores Mobiliários (“</w:t>
      </w:r>
      <w:r w:rsidRPr="003433D8">
        <w:rPr>
          <w:rFonts w:ascii="Tahoma" w:hAnsi="Tahoma" w:cs="Tahoma"/>
          <w:sz w:val="21"/>
          <w:szCs w:val="21"/>
          <w:u w:val="single"/>
        </w:rPr>
        <w:t>CVM</w:t>
      </w:r>
      <w:r w:rsidRPr="003433D8">
        <w:rPr>
          <w:rFonts w:ascii="Tahoma" w:hAnsi="Tahoma" w:cs="Tahoma"/>
          <w:sz w:val="21"/>
          <w:szCs w:val="21"/>
        </w:rPr>
        <w:t xml:space="preserve">”), mediante a celebração do </w:t>
      </w:r>
      <w:r w:rsidRPr="003433D8">
        <w:rPr>
          <w:rFonts w:ascii="Tahoma" w:hAnsi="Tahoma" w:cs="Tahoma"/>
          <w:i/>
          <w:iCs/>
          <w:sz w:val="21"/>
          <w:szCs w:val="21"/>
        </w:rPr>
        <w:t>Termo de Securitização dos Créditos Imobiliários da 131ª Série da 4ª Emissão da Virgo Companhia de Securitização (atual denominação da Isec Securitizadora S.A.)</w:t>
      </w:r>
      <w:r w:rsidRPr="003433D8">
        <w:rPr>
          <w:rFonts w:ascii="Tahoma" w:hAnsi="Tahoma" w:cs="Tahoma"/>
          <w:sz w:val="21"/>
          <w:szCs w:val="21"/>
        </w:rPr>
        <w:t xml:space="preserve">, celebrado em </w:t>
      </w:r>
      <w:r w:rsidRPr="003433D8">
        <w:rPr>
          <w:rFonts w:ascii="Tahoma" w:hAnsi="Tahoma" w:cs="Tahoma"/>
          <w:color w:val="000000" w:themeColor="text1"/>
          <w:sz w:val="21"/>
          <w:szCs w:val="21"/>
        </w:rPr>
        <w:t>23</w:t>
      </w:r>
      <w:r w:rsidRPr="003433D8">
        <w:rPr>
          <w:rFonts w:ascii="Tahoma" w:hAnsi="Tahoma" w:cs="Tahoma"/>
          <w:sz w:val="21"/>
          <w:szCs w:val="21"/>
        </w:rPr>
        <w:t xml:space="preserve"> de janeiro de 2021 (“</w:t>
      </w:r>
      <w:r w:rsidRPr="003433D8">
        <w:rPr>
          <w:rFonts w:ascii="Tahoma" w:hAnsi="Tahoma" w:cs="Tahoma"/>
          <w:sz w:val="21"/>
          <w:szCs w:val="21"/>
          <w:u w:val="single"/>
        </w:rPr>
        <w:t>Termo de Securitização</w:t>
      </w:r>
      <w:r w:rsidRPr="003433D8">
        <w:rPr>
          <w:rFonts w:ascii="Tahoma" w:hAnsi="Tahoma" w:cs="Tahoma"/>
          <w:sz w:val="21"/>
          <w:szCs w:val="21"/>
        </w:rPr>
        <w:t>”), entre a Credora e o Agente Fiduciário;</w:t>
      </w:r>
    </w:p>
    <w:p w14:paraId="14FF0A4D" w14:textId="77777777" w:rsidR="00F1561E" w:rsidRPr="003433D8" w:rsidRDefault="00F1561E" w:rsidP="003433D8">
      <w:pPr>
        <w:pStyle w:val="Corpodetexto"/>
        <w:spacing w:line="300" w:lineRule="exact"/>
        <w:jc w:val="both"/>
        <w:rPr>
          <w:rFonts w:ascii="Tahoma" w:hAnsi="Tahoma" w:cs="Tahoma"/>
          <w:b/>
          <w:sz w:val="21"/>
          <w:szCs w:val="21"/>
        </w:rPr>
      </w:pPr>
    </w:p>
    <w:p w14:paraId="4ACB973B" w14:textId="37BA285C"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as Partes, após devidamente autorizadas pelos titulares de 100% (cem por cento) dos CRI, conforme deliberação tomada em Assembleia de Titulares de CRI, realizada em 24 de fevereiro de 2022 (“</w:t>
      </w:r>
      <w:r w:rsidRPr="003433D8">
        <w:rPr>
          <w:rFonts w:ascii="Tahoma" w:hAnsi="Tahoma" w:cs="Tahoma"/>
          <w:bCs/>
          <w:sz w:val="21"/>
          <w:szCs w:val="21"/>
          <w:u w:val="single"/>
        </w:rPr>
        <w:t>AGT</w:t>
      </w:r>
      <w:r w:rsidRPr="003433D8">
        <w:rPr>
          <w:rFonts w:ascii="Tahoma" w:hAnsi="Tahoma" w:cs="Tahoma"/>
          <w:bCs/>
          <w:sz w:val="21"/>
          <w:szCs w:val="21"/>
        </w:rPr>
        <w:t xml:space="preserve">”), resolveram, entre outras decisões, de mútuo e comum acordo, aditar o </w:t>
      </w:r>
      <w:r w:rsidR="0022696B" w:rsidRPr="003433D8">
        <w:rPr>
          <w:rFonts w:ascii="Tahoma" w:hAnsi="Tahoma" w:cs="Tahoma"/>
          <w:bCs/>
          <w:sz w:val="21"/>
          <w:szCs w:val="21"/>
        </w:rPr>
        <w:t xml:space="preserve">Termo de Securitização, a Cédula De Crédito Bancário nº 41500811-5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w:t>
      </w:r>
      <w:r w:rsidR="0022696B" w:rsidRPr="003433D8">
        <w:rPr>
          <w:rFonts w:ascii="Tahoma" w:hAnsi="Tahoma" w:cs="Tahoma"/>
          <w:bCs/>
          <w:sz w:val="21"/>
          <w:szCs w:val="21"/>
        </w:rPr>
        <w:lastRenderedPageBreak/>
        <w:t>quarto) mês para Amortização Extraordinária Obrigatória da CCB, conforme definido na Cláusula Primeira do Termo de Securitização, passando de 55% (cinquenta e cinco por cento) para 60% (sessenta por cento);</w:t>
      </w:r>
      <w:r w:rsidR="003433D8">
        <w:rPr>
          <w:rFonts w:ascii="Tahoma" w:hAnsi="Tahoma" w:cs="Tahoma"/>
          <w:bCs/>
          <w:sz w:val="21"/>
          <w:szCs w:val="21"/>
        </w:rPr>
        <w:t xml:space="preserve"> e</w:t>
      </w:r>
    </w:p>
    <w:p w14:paraId="4E81195A" w14:textId="77777777" w:rsidR="0022696B" w:rsidRPr="003433D8" w:rsidRDefault="0022696B" w:rsidP="003433D8">
      <w:pPr>
        <w:pStyle w:val="Corpodetexto"/>
        <w:spacing w:line="300" w:lineRule="exact"/>
        <w:jc w:val="both"/>
        <w:rPr>
          <w:rFonts w:ascii="Tahoma" w:hAnsi="Tahoma" w:cs="Tahoma"/>
          <w:bCs/>
          <w:sz w:val="21"/>
          <w:szCs w:val="21"/>
        </w:rPr>
      </w:pPr>
    </w:p>
    <w:p w14:paraId="7F758DD8" w14:textId="77777777"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 xml:space="preserve">as Partes têm interesse em ajustar a CCB para refletir o deliberado no item “(iv)” acima dos considerandos. </w:t>
      </w:r>
    </w:p>
    <w:p w14:paraId="5BCF8862" w14:textId="77777777" w:rsidR="00F1561E" w:rsidRPr="003433D8" w:rsidRDefault="00F1561E" w:rsidP="003433D8">
      <w:pPr>
        <w:pStyle w:val="Corpodetexto"/>
        <w:spacing w:line="300" w:lineRule="exact"/>
        <w:jc w:val="both"/>
        <w:rPr>
          <w:rFonts w:ascii="Tahoma" w:hAnsi="Tahoma" w:cs="Tahoma"/>
          <w:bCs/>
          <w:sz w:val="21"/>
          <w:szCs w:val="21"/>
        </w:rPr>
      </w:pPr>
    </w:p>
    <w:p w14:paraId="43B00D9D" w14:textId="7C2F39DC"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RESOLVEM</w:t>
      </w:r>
      <w:r w:rsidRPr="003433D8">
        <w:rPr>
          <w:rFonts w:ascii="Tahoma" w:hAnsi="Tahoma" w:cs="Tahoma"/>
          <w:color w:val="auto"/>
          <w:sz w:val="21"/>
          <w:szCs w:val="21"/>
        </w:rPr>
        <w:t xml:space="preserve"> celebrar este </w:t>
      </w:r>
      <w:r w:rsidRPr="003433D8">
        <w:rPr>
          <w:rFonts w:ascii="Tahoma" w:hAnsi="Tahoma" w:cs="Tahoma"/>
          <w:i/>
          <w:iCs/>
          <w:color w:val="auto"/>
          <w:sz w:val="21"/>
          <w:szCs w:val="21"/>
        </w:rPr>
        <w:t xml:space="preserve">Primeiro Aditamento à Cédula de Crédito Bancário nº </w:t>
      </w:r>
      <w:r w:rsidRPr="003433D8">
        <w:rPr>
          <w:rFonts w:ascii="Tahoma" w:hAnsi="Tahoma" w:cs="Tahoma"/>
          <w:sz w:val="21"/>
          <w:szCs w:val="21"/>
        </w:rPr>
        <w:t>41500811-5</w:t>
      </w:r>
      <w:r w:rsidRPr="003433D8">
        <w:rPr>
          <w:rFonts w:ascii="Tahoma" w:hAnsi="Tahoma" w:cs="Tahoma"/>
          <w:color w:val="auto"/>
          <w:sz w:val="21"/>
          <w:szCs w:val="21"/>
        </w:rPr>
        <w:t xml:space="preserve"> (“</w:t>
      </w:r>
      <w:r w:rsidRPr="003433D8">
        <w:rPr>
          <w:rFonts w:ascii="Tahoma" w:hAnsi="Tahoma" w:cs="Tahoma"/>
          <w:color w:val="auto"/>
          <w:sz w:val="21"/>
          <w:szCs w:val="21"/>
          <w:u w:val="single"/>
        </w:rPr>
        <w:t>Aditamento</w:t>
      </w:r>
      <w:r w:rsidRPr="003433D8">
        <w:rPr>
          <w:rFonts w:ascii="Tahoma" w:hAnsi="Tahoma" w:cs="Tahoma"/>
          <w:color w:val="auto"/>
          <w:sz w:val="21"/>
          <w:szCs w:val="21"/>
        </w:rPr>
        <w:t>”)</w:t>
      </w:r>
      <w:r w:rsidR="003433D8">
        <w:rPr>
          <w:rFonts w:ascii="Tahoma" w:hAnsi="Tahoma" w:cs="Tahoma"/>
          <w:color w:val="auto"/>
          <w:sz w:val="21"/>
          <w:szCs w:val="21"/>
        </w:rPr>
        <w:t>, nos termos e condições a seguir:</w:t>
      </w:r>
    </w:p>
    <w:p w14:paraId="2FF4127D" w14:textId="19063DAF"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Cs/>
          <w:sz w:val="21"/>
          <w:szCs w:val="21"/>
        </w:rPr>
        <w:t xml:space="preserve"> </w:t>
      </w:r>
    </w:p>
    <w:p w14:paraId="4176070C"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III – CLÁUSULAS </w:t>
      </w:r>
    </w:p>
    <w:p w14:paraId="67F935B1"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5E8DBB70"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PRIMEIRA - DEFINIÇÕES </w:t>
      </w:r>
    </w:p>
    <w:p w14:paraId="7E5CA65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366D5C3" w14:textId="77777777" w:rsidR="00F1561E" w:rsidRPr="003433D8" w:rsidRDefault="00F1561E" w:rsidP="003433D8">
      <w:pPr>
        <w:pStyle w:val="Default"/>
        <w:widowControl w:val="0"/>
        <w:numPr>
          <w:ilvl w:val="1"/>
          <w:numId w:val="13"/>
        </w:numPr>
        <w:tabs>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Definições</w:t>
      </w:r>
      <w:r w:rsidRPr="003433D8">
        <w:rPr>
          <w:rFonts w:ascii="Tahoma" w:hAnsi="Tahoma" w:cs="Tahoma"/>
          <w:color w:val="auto"/>
          <w:sz w:val="21"/>
          <w:szCs w:val="21"/>
        </w:rPr>
        <w:t xml:space="preserve">: Os termos iniciados em letra maiúscula e não definidos neste Aditamento têm o significado que lhes foi atribuído na CCB. </w:t>
      </w:r>
    </w:p>
    <w:p w14:paraId="7AD1A39A" w14:textId="77777777" w:rsidR="00F1561E" w:rsidRPr="003433D8" w:rsidRDefault="00F1561E" w:rsidP="003433D8">
      <w:pPr>
        <w:pStyle w:val="Corpodetexto"/>
        <w:spacing w:line="300" w:lineRule="exact"/>
        <w:rPr>
          <w:rFonts w:ascii="Tahoma" w:hAnsi="Tahoma" w:cs="Tahoma"/>
          <w:b/>
          <w:sz w:val="21"/>
          <w:szCs w:val="21"/>
        </w:rPr>
      </w:pPr>
    </w:p>
    <w:p w14:paraId="577E4F7E" w14:textId="77777777"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
          <w:sz w:val="21"/>
          <w:szCs w:val="21"/>
        </w:rPr>
        <w:t>CLÁUSULA SEGUNDA – OBJETO</w:t>
      </w:r>
    </w:p>
    <w:p w14:paraId="23BC7B0D" w14:textId="77777777" w:rsidR="00F1561E" w:rsidRPr="003433D8" w:rsidRDefault="00F1561E" w:rsidP="003433D8">
      <w:pPr>
        <w:pStyle w:val="Corpodetexto"/>
        <w:spacing w:line="300" w:lineRule="exact"/>
        <w:jc w:val="both"/>
        <w:rPr>
          <w:rFonts w:ascii="Tahoma" w:hAnsi="Tahoma" w:cs="Tahoma"/>
          <w:bCs/>
          <w:sz w:val="21"/>
          <w:szCs w:val="21"/>
        </w:rPr>
      </w:pPr>
    </w:p>
    <w:p w14:paraId="10C9793E"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Cs/>
          <w:sz w:val="21"/>
          <w:szCs w:val="21"/>
        </w:rPr>
        <w:t>2.1.</w:t>
      </w:r>
      <w:r w:rsidRPr="003433D8">
        <w:rPr>
          <w:rFonts w:ascii="Tahoma" w:hAnsi="Tahoma" w:cs="Tahoma"/>
          <w:bCs/>
          <w:sz w:val="21"/>
          <w:szCs w:val="21"/>
        </w:rPr>
        <w:tab/>
        <w:t>Em razão das deliberações da AGT, descritas no considerando “(iv)” acima, as Partes resolvem alterar o (a) “Quadro II – Garantias”; (b) “Quadro VI – Cronograma de Pagamento” - item “ii” e; (c) Cláusula 05, Parágrafo Oitavo e Parágrafo Nono da CCB, que passaram a viger com a seguinte redação:</w:t>
      </w:r>
    </w:p>
    <w:p w14:paraId="6A290E53" w14:textId="77777777" w:rsidR="00F1561E" w:rsidRPr="003433D8" w:rsidRDefault="00F1561E" w:rsidP="003433D8">
      <w:pPr>
        <w:pStyle w:val="Corpodetexto"/>
        <w:spacing w:line="300" w:lineRule="exact"/>
        <w:jc w:val="both"/>
        <w:rPr>
          <w:rFonts w:ascii="Tahoma" w:hAnsi="Tahoma" w:cs="Tahoma"/>
          <w:b/>
          <w:sz w:val="21"/>
          <w:szCs w:val="21"/>
        </w:rPr>
      </w:pPr>
    </w:p>
    <w:p w14:paraId="44176F21" w14:textId="77777777" w:rsidR="00F1561E" w:rsidRPr="003433D8" w:rsidRDefault="00F1561E" w:rsidP="003433D8">
      <w:pPr>
        <w:pStyle w:val="Corpodetexto"/>
        <w:tabs>
          <w:tab w:val="left" w:pos="9214"/>
        </w:tabs>
        <w:spacing w:line="300" w:lineRule="exact"/>
        <w:ind w:left="720"/>
        <w:jc w:val="both"/>
        <w:rPr>
          <w:rFonts w:ascii="Tahoma" w:hAnsi="Tahoma" w:cs="Tahoma"/>
          <w:b/>
          <w:i/>
          <w:iCs/>
          <w:sz w:val="21"/>
          <w:szCs w:val="21"/>
        </w:rPr>
      </w:pPr>
      <w:r w:rsidRPr="003433D8">
        <w:rPr>
          <w:rFonts w:ascii="Tahoma" w:hAnsi="Tahoma" w:cs="Tahoma"/>
          <w:b/>
          <w:i/>
          <w:iCs/>
          <w:sz w:val="21"/>
          <w:szCs w:val="21"/>
        </w:rPr>
        <w:t>“QUADRO II – GARANTIAS</w:t>
      </w:r>
    </w:p>
    <w:p w14:paraId="279E5566" w14:textId="77777777" w:rsidR="00AC17AA"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 xml:space="preserve">Em garantia de (i) todas as obrigações assumidas pela EMITENTE por ocasião da emissão desta CCB, incluindo, mas não se limitando, ao adimplemento das obrigações, presente ou futuras,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CRI (conforme abaixo definido), à CCB, à CCI (conforme abaixo definido), bem como todo e qualquer custo ou despesa incorrido pela SECURITIZADORA, pelo agente fiduciário dos CRI (“Agente Fiduciário”) e/ou pelos titulares de CRI, inclusive no caso de utilização do Patrimônio Separado, cobrança dos valores dos CRI decorrentes e/ou excussão das garantias, incluindo, mas não se limitando, a penalidades, honorários advocatícios, custas e despesas judiciais ou extrajudiciais entre outras obrigações (“OBRIGAÇÕES GARANTIDAS”), serão constituídas as seguintes garantias (“GARANTIAS”): </w:t>
      </w:r>
    </w:p>
    <w:p w14:paraId="304B1D21" w14:textId="77777777" w:rsidR="00AC17AA" w:rsidRDefault="00AC17AA" w:rsidP="003433D8">
      <w:pPr>
        <w:pStyle w:val="Corpodetexto"/>
        <w:tabs>
          <w:tab w:val="left" w:pos="9214"/>
        </w:tabs>
        <w:spacing w:line="300" w:lineRule="exact"/>
        <w:ind w:left="720"/>
        <w:jc w:val="both"/>
        <w:rPr>
          <w:rFonts w:ascii="Tahoma" w:hAnsi="Tahoma" w:cs="Tahoma"/>
          <w:bCs/>
          <w:i/>
          <w:iCs/>
          <w:sz w:val="21"/>
          <w:szCs w:val="21"/>
        </w:rPr>
      </w:pPr>
    </w:p>
    <w:p w14:paraId="520F0AD2" w14:textId="7C1385C4" w:rsidR="00F1561E"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13FF9EBA" w14:textId="5078F60C" w:rsidR="00F1078A" w:rsidRDefault="00F1078A" w:rsidP="003433D8">
      <w:pPr>
        <w:pStyle w:val="Corpodetexto"/>
        <w:tabs>
          <w:tab w:val="left" w:pos="9214"/>
        </w:tabs>
        <w:spacing w:line="300" w:lineRule="exact"/>
        <w:ind w:left="720"/>
        <w:jc w:val="both"/>
        <w:rPr>
          <w:rFonts w:ascii="Tahoma" w:hAnsi="Tahoma" w:cs="Tahoma"/>
          <w:bCs/>
          <w:i/>
          <w:iCs/>
          <w:sz w:val="21"/>
          <w:szCs w:val="21"/>
        </w:rPr>
      </w:pPr>
    </w:p>
    <w:p w14:paraId="4B841834" w14:textId="73E6A7D3" w:rsidR="00F1078A" w:rsidRPr="003433D8" w:rsidRDefault="00F1078A" w:rsidP="003433D8">
      <w:pPr>
        <w:pStyle w:val="Corpodetexto"/>
        <w:tabs>
          <w:tab w:val="left" w:pos="9214"/>
        </w:tabs>
        <w:spacing w:line="300" w:lineRule="exact"/>
        <w:ind w:left="720"/>
        <w:jc w:val="both"/>
        <w:rPr>
          <w:rFonts w:ascii="Tahoma" w:hAnsi="Tahoma" w:cs="Tahoma"/>
          <w:bCs/>
          <w:i/>
          <w:iCs/>
          <w:sz w:val="21"/>
          <w:szCs w:val="21"/>
        </w:rPr>
      </w:pPr>
      <w:r>
        <w:rPr>
          <w:rFonts w:ascii="Tahoma" w:hAnsi="Tahoma" w:cs="Tahoma"/>
          <w:bCs/>
          <w:i/>
          <w:iCs/>
          <w:sz w:val="21"/>
          <w:szCs w:val="21"/>
        </w:rPr>
        <w:t xml:space="preserve">(ii) </w:t>
      </w:r>
      <w:r w:rsidRPr="00F1078A">
        <w:rPr>
          <w:rFonts w:ascii="Tahoma" w:hAnsi="Tahoma" w:cs="Tahoma"/>
          <w:bCs/>
          <w:i/>
          <w:iCs/>
          <w:sz w:val="21"/>
          <w:szCs w:val="21"/>
        </w:rPr>
        <w:t xml:space="preserve">alienação fiduciária de cotas da (a) EXTO PLANO EMPREENDIMENTOS IMOBILIÁRIOS SPE LTDA. (CNPJ nº 20.383.371/0001-07); (b) EXTO ALPHA EMPREENDIMENTOS IMOBILIÁRIOS SPE LTDA. (CNPJ nº 18.342.684/0001-75); (c) EXTO IRIS EMPREENDIMENTOS IMOBILIÁRIOS SPE LTDA. (CNPJ nº 15.772.438/0001-65); (d) EXTO 38 EMPREENDIMENTOS IMOBILIÁRIOS SPE LTDA. (CNPJ nº 11.305.805/0001-60); (e) EXTO GAMA EMPREENDIMENTOS IMOBILIÁRIOS SPE LTDA. (CPNJ nº 13.618.914/0001-62); (f) EXTO ROMA EMPREENDIMENTOS IMOBILIÁRIOS SPE LTDA. (CNPJ nº 09.520.683/0001-82); e (h) EXTO PARQUE EMPREENDIMENTOS IMOBILIÁRIOS SPE LTDA. (CNPJ nº 13.618.512/0001-68); e (h) EXTO </w:t>
      </w:r>
      <w:r w:rsidRPr="00F1078A">
        <w:rPr>
          <w:rFonts w:ascii="Tahoma" w:hAnsi="Tahoma" w:cs="Tahoma"/>
          <w:bCs/>
          <w:i/>
          <w:iCs/>
          <w:sz w:val="21"/>
          <w:szCs w:val="21"/>
        </w:rPr>
        <w:lastRenderedPageBreak/>
        <w:t>DOMI EMPREENDIMENTOS IMOBILIÁRIOS SPE LTDA. (CNPJ nº 11.303.471/0001-95)</w:t>
      </w:r>
      <w:r>
        <w:rPr>
          <w:rFonts w:ascii="Tahoma" w:hAnsi="Tahoma" w:cs="Tahoma"/>
          <w:bCs/>
          <w:i/>
          <w:iCs/>
          <w:sz w:val="21"/>
          <w:szCs w:val="21"/>
        </w:rPr>
        <w:t xml:space="preserve">; e </w:t>
      </w:r>
      <w:r w:rsidRPr="00F1078A">
        <w:rPr>
          <w:rFonts w:ascii="Tahoma" w:hAnsi="Tahoma" w:cs="Tahoma"/>
          <w:bCs/>
          <w:i/>
          <w:iCs/>
          <w:sz w:val="21"/>
          <w:szCs w:val="21"/>
        </w:rPr>
        <w:t xml:space="preserve"> </w:t>
      </w:r>
      <w:r w:rsidRPr="00D56F7C">
        <w:rPr>
          <w:rFonts w:ascii="Tahoma" w:hAnsi="Tahoma" w:cs="Tahoma"/>
          <w:i/>
          <w:iCs/>
          <w:sz w:val="21"/>
          <w:szCs w:val="21"/>
        </w:rPr>
        <w:t>EXTO ANIS EMPREENDIMENTOS IMOBILIÁRIOS SPE LTDA</w:t>
      </w:r>
      <w:r>
        <w:rPr>
          <w:rFonts w:ascii="Tahoma" w:hAnsi="Tahoma" w:cs="Tahoma"/>
          <w:i/>
          <w:iCs/>
          <w:sz w:val="21"/>
          <w:szCs w:val="21"/>
        </w:rPr>
        <w:t xml:space="preserve"> (CNPJ nº </w:t>
      </w:r>
      <w:r w:rsidRPr="00F1078A">
        <w:rPr>
          <w:rFonts w:ascii="Tahoma" w:hAnsi="Tahoma" w:cs="Tahoma"/>
          <w:i/>
          <w:iCs/>
          <w:sz w:val="21"/>
          <w:szCs w:val="21"/>
        </w:rPr>
        <w:t>15.772.410/0001-28</w:t>
      </w:r>
      <w:r>
        <w:rPr>
          <w:rFonts w:ascii="Tahoma" w:hAnsi="Tahoma" w:cs="Tahoma"/>
          <w:i/>
          <w:iCs/>
          <w:sz w:val="21"/>
          <w:szCs w:val="21"/>
        </w:rPr>
        <w:t xml:space="preserve">) </w:t>
      </w:r>
      <w:r w:rsidRPr="00F1078A">
        <w:rPr>
          <w:rFonts w:ascii="Tahoma" w:hAnsi="Tahoma" w:cs="Tahoma"/>
          <w:bCs/>
          <w:i/>
          <w:iCs/>
          <w:sz w:val="21"/>
          <w:szCs w:val="21"/>
        </w:rPr>
        <w:t>(em conjunto, as “SPEs”), conforme descrita e identificada no “Instrumento Particular de Alienação Fiduciária de Cotas em Garantia com Condição Resolutiva e Outras Avenças” celebrado nesta data entre a EMITENTE e a SECURITIZADORA, com interveniência das SPEs (“CONTRATO DE ALIENAÇÃO FIDUCIÁRIA DE COTAS” e, em conjunto com os CONTRATOS DE ALIENAÇÃO FIDUCIÁRIA DE IMÓVEIS, os “CONTRATOS DE ALIENAÇÃO FIDUCIÁRIA” ou “CONTRATOS DE GARANTIA”), observada a condição resolutiva descrita no CONTRATO DE ALIENAÇÃO FIDUCIÁRIA DE COTAS; e</w:t>
      </w:r>
    </w:p>
    <w:p w14:paraId="0E31D486" w14:textId="77777777" w:rsidR="00F1561E" w:rsidRPr="003433D8" w:rsidRDefault="00F1561E" w:rsidP="003433D8">
      <w:pPr>
        <w:pStyle w:val="Corpodetexto"/>
        <w:tabs>
          <w:tab w:val="left" w:pos="9214"/>
        </w:tabs>
        <w:spacing w:line="300" w:lineRule="exact"/>
        <w:rPr>
          <w:rFonts w:ascii="Tahoma" w:hAnsi="Tahoma" w:cs="Tahoma"/>
          <w:b/>
          <w:i/>
          <w:iCs/>
          <w:sz w:val="21"/>
          <w:szCs w:val="21"/>
        </w:rPr>
      </w:pPr>
    </w:p>
    <w:p w14:paraId="28B2CF9B" w14:textId="4364FDDF" w:rsidR="00F1561E" w:rsidRPr="003433D8" w:rsidRDefault="00F1561E" w:rsidP="00D23704">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A partir do 120º dia contado do desembolso desta Cédula</w:t>
      </w:r>
      <w:r w:rsidR="00D23704">
        <w:rPr>
          <w:rFonts w:ascii="Tahoma" w:hAnsi="Tahoma" w:cs="Tahoma"/>
          <w:bCs/>
          <w:i/>
          <w:iCs/>
          <w:sz w:val="21"/>
          <w:szCs w:val="21"/>
        </w:rPr>
        <w:t xml:space="preserve"> </w:t>
      </w:r>
      <w:r w:rsidR="00D23704">
        <w:rPr>
          <w:rFonts w:ascii="Tahoma" w:hAnsi="Tahoma" w:cs="Tahoma"/>
          <w:i/>
          <w:iCs/>
          <w:sz w:val="21"/>
          <w:szCs w:val="21"/>
        </w:rPr>
        <w:t>até o fechamento de janeiro de 2022</w:t>
      </w:r>
      <w:r w:rsidRPr="003433D8">
        <w:rPr>
          <w:rFonts w:ascii="Tahoma" w:hAnsi="Tahoma" w:cs="Tahoma"/>
          <w:bCs/>
          <w:i/>
          <w:iCs/>
          <w:sz w:val="21"/>
          <w:szCs w:val="21"/>
        </w:rPr>
        <w:t xml:space="preserve">, as GARANTIAS </w:t>
      </w:r>
      <w:r w:rsidR="00D23704" w:rsidRPr="00D23704">
        <w:rPr>
          <w:rFonts w:ascii="Tahoma" w:hAnsi="Tahoma" w:cs="Tahoma"/>
          <w:bCs/>
          <w:i/>
          <w:iCs/>
          <w:sz w:val="21"/>
          <w:szCs w:val="21"/>
        </w:rPr>
        <w:t>deveriam observar a razão mínima de 182%, conforme a fórmula abaixo:</w:t>
      </w:r>
    </w:p>
    <w:p w14:paraId="6ED32640" w14:textId="77777777" w:rsidR="00F1561E" w:rsidRPr="003433D8" w:rsidRDefault="00F1561E" w:rsidP="003433D8">
      <w:pPr>
        <w:pStyle w:val="Corpodetexto"/>
        <w:spacing w:line="300" w:lineRule="exact"/>
        <w:rPr>
          <w:rFonts w:ascii="Tahoma" w:hAnsi="Tahoma" w:cs="Tahoma"/>
          <w:b/>
          <w:i/>
          <w:iCs/>
          <w:sz w:val="21"/>
          <w:szCs w:val="21"/>
        </w:rPr>
      </w:pPr>
    </w:p>
    <w:p w14:paraId="0312564D" w14:textId="755DA4B7" w:rsidR="003433D8" w:rsidRPr="00D23704" w:rsidRDefault="003433D8" w:rsidP="003433D8">
      <w:pPr>
        <w:pStyle w:val="PargrafodaLista"/>
        <w:spacing w:line="276" w:lineRule="auto"/>
        <w:ind w:left="0" w:firstLine="8"/>
        <w:textAlignment w:val="baseline"/>
        <w:rPr>
          <w:rStyle w:val="nfase"/>
          <w:rFonts w:ascii="Tahoma" w:eastAsia="Calibri" w:hAnsi="Tahoma" w:cs="Tahoma"/>
          <w:i w:val="0"/>
          <w:iCs w:val="0"/>
          <w:sz w:val="21"/>
          <w:szCs w:val="21"/>
        </w:rPr>
      </w:pPr>
      <m:oMathPara>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≥182%</m:t>
          </m:r>
        </m:oMath>
      </m:oMathPara>
    </w:p>
    <w:p w14:paraId="1609B680" w14:textId="0DAB15B5" w:rsidR="00D23704" w:rsidRDefault="00D23704" w:rsidP="003433D8">
      <w:pPr>
        <w:pStyle w:val="PargrafodaLista"/>
        <w:spacing w:line="276" w:lineRule="auto"/>
        <w:ind w:left="0" w:firstLine="8"/>
        <w:textAlignment w:val="baseline"/>
        <w:rPr>
          <w:rStyle w:val="nfase"/>
          <w:rFonts w:ascii="Tahoma" w:eastAsia="Calibri" w:hAnsi="Tahoma" w:cs="Tahoma"/>
          <w:i w:val="0"/>
          <w:iCs w:val="0"/>
          <w:sz w:val="21"/>
          <w:szCs w:val="21"/>
        </w:rPr>
      </w:pPr>
    </w:p>
    <w:p w14:paraId="776C85FC" w14:textId="195D0E75" w:rsidR="00D23704" w:rsidRDefault="00D23704" w:rsidP="003433D8">
      <w:pPr>
        <w:pStyle w:val="PargrafodaLista"/>
        <w:spacing w:line="276" w:lineRule="auto"/>
        <w:ind w:left="0" w:firstLine="8"/>
        <w:textAlignment w:val="baseline"/>
        <w:rPr>
          <w:rStyle w:val="nfase"/>
          <w:rFonts w:ascii="Tahoma" w:eastAsia="Calibri" w:hAnsi="Tahoma" w:cs="Tahoma"/>
          <w:i w:val="0"/>
          <w:iCs w:val="0"/>
          <w:sz w:val="21"/>
          <w:szCs w:val="21"/>
        </w:rPr>
      </w:pPr>
    </w:p>
    <w:p w14:paraId="2200665D" w14:textId="3EFF95C0" w:rsidR="00D23704" w:rsidRDefault="00D23704" w:rsidP="00D23704">
      <w:pPr>
        <w:pStyle w:val="PargrafodaLista"/>
        <w:spacing w:line="276" w:lineRule="auto"/>
        <w:ind w:left="709" w:firstLine="0"/>
        <w:textAlignment w:val="baseline"/>
        <w:rPr>
          <w:rFonts w:ascii="Tahoma" w:hAnsi="Tahoma" w:cs="Tahoma"/>
          <w:i/>
          <w:iCs/>
          <w:sz w:val="21"/>
          <w:szCs w:val="21"/>
        </w:rPr>
      </w:pPr>
      <w:r>
        <w:rPr>
          <w:rStyle w:val="nfase"/>
          <w:rFonts w:ascii="Tahoma" w:eastAsia="Calibri" w:hAnsi="Tahoma" w:cs="Tahoma"/>
          <w:i w:val="0"/>
          <w:iCs w:val="0"/>
          <w:sz w:val="21"/>
          <w:szCs w:val="21"/>
        </w:rPr>
        <w:tab/>
      </w:r>
      <w:r w:rsidRPr="00D23704">
        <w:rPr>
          <w:rStyle w:val="nfase"/>
          <w:rFonts w:ascii="Tahoma" w:eastAsia="Calibri" w:hAnsi="Tahoma" w:cs="Tahoma"/>
          <w:sz w:val="21"/>
          <w:szCs w:val="21"/>
        </w:rPr>
        <w:t xml:space="preserve">Contudo, </w:t>
      </w:r>
      <w:r w:rsidRPr="0035070A">
        <w:rPr>
          <w:rFonts w:ascii="Tahoma" w:hAnsi="Tahoma" w:cs="Tahoma"/>
          <w:i/>
          <w:iCs/>
          <w:sz w:val="21"/>
          <w:szCs w:val="21"/>
        </w:rPr>
        <w:t>a partir de fevereiro de 2022,</w:t>
      </w:r>
      <w:r>
        <w:rPr>
          <w:rFonts w:ascii="Tahoma" w:hAnsi="Tahoma" w:cs="Tahoma"/>
          <w:i/>
          <w:iCs/>
          <w:sz w:val="21"/>
          <w:szCs w:val="21"/>
        </w:rPr>
        <w:t xml:space="preserve"> as GARANTIAS passaram a observar a razão mínima de 167%, conforme a fórmula abaixo: </w:t>
      </w:r>
    </w:p>
    <w:p w14:paraId="6E20C695" w14:textId="7A6F282E" w:rsidR="00D23704" w:rsidRDefault="00D23704" w:rsidP="00D23704">
      <w:pPr>
        <w:pStyle w:val="PargrafodaLista"/>
        <w:spacing w:line="276" w:lineRule="auto"/>
        <w:ind w:left="709" w:firstLine="0"/>
        <w:textAlignment w:val="baseline"/>
        <w:rPr>
          <w:rStyle w:val="nfase"/>
          <w:rFonts w:ascii="Tahoma" w:eastAsia="Calibri" w:hAnsi="Tahoma" w:cs="Tahoma"/>
          <w:sz w:val="21"/>
          <w:szCs w:val="21"/>
        </w:rPr>
      </w:pPr>
    </w:p>
    <w:p w14:paraId="6B9AC696" w14:textId="77777777" w:rsidR="00D23704" w:rsidRPr="003433D8" w:rsidRDefault="00D23704" w:rsidP="00D23704">
      <w:pPr>
        <w:pStyle w:val="Corpodetexto"/>
        <w:spacing w:line="300" w:lineRule="exact"/>
        <w:rPr>
          <w:rFonts w:ascii="Tahoma" w:hAnsi="Tahoma" w:cs="Tahoma"/>
          <w:b/>
          <w:i/>
          <w:iCs/>
          <w:sz w:val="21"/>
          <w:szCs w:val="21"/>
        </w:rPr>
      </w:pPr>
    </w:p>
    <w:p w14:paraId="2BC14C26" w14:textId="72D27EE9" w:rsidR="00D23704" w:rsidRPr="00D23704" w:rsidRDefault="00D23704" w:rsidP="00D23704">
      <w:pPr>
        <w:pStyle w:val="PargrafodaLista"/>
        <w:spacing w:line="276" w:lineRule="auto"/>
        <w:ind w:left="0" w:firstLine="8"/>
        <w:textAlignment w:val="baseline"/>
        <w:rPr>
          <w:rStyle w:val="nfase"/>
          <w:rFonts w:ascii="Tahoma" w:eastAsia="Calibri" w:hAnsi="Tahoma" w:cs="Tahoma"/>
          <w:i w:val="0"/>
          <w:iCs w:val="0"/>
          <w:sz w:val="21"/>
          <w:szCs w:val="21"/>
        </w:rPr>
      </w:pPr>
      <m:oMathPara>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≥167%</m:t>
          </m:r>
        </m:oMath>
      </m:oMathPara>
    </w:p>
    <w:p w14:paraId="156555D7" w14:textId="77777777" w:rsidR="00D23704" w:rsidRPr="00D23704" w:rsidRDefault="00D23704" w:rsidP="00D23704">
      <w:pPr>
        <w:pStyle w:val="PargrafodaLista"/>
        <w:spacing w:line="276" w:lineRule="auto"/>
        <w:ind w:left="709" w:firstLine="0"/>
        <w:textAlignment w:val="baseline"/>
        <w:rPr>
          <w:rStyle w:val="nfase"/>
          <w:rFonts w:ascii="Tahoma" w:eastAsia="Calibri" w:hAnsi="Tahoma" w:cs="Tahoma"/>
          <w:sz w:val="21"/>
          <w:szCs w:val="21"/>
        </w:rPr>
      </w:pPr>
    </w:p>
    <w:p w14:paraId="356F6740" w14:textId="396633B7" w:rsidR="00F1561E"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 xml:space="preserve"> </w:t>
      </w:r>
    </w:p>
    <w:p w14:paraId="32222422" w14:textId="77777777" w:rsidR="00D23704" w:rsidRPr="003433D8" w:rsidRDefault="00D23704" w:rsidP="00D23704">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20DAC05C" w14:textId="4CA9561A" w:rsidR="003433D8" w:rsidRDefault="003433D8" w:rsidP="003433D8">
      <w:pPr>
        <w:pStyle w:val="Corpodetexto"/>
        <w:spacing w:line="300" w:lineRule="exact"/>
        <w:rPr>
          <w:rFonts w:ascii="Tahoma" w:hAnsi="Tahoma" w:cs="Tahoma"/>
          <w:b/>
          <w:sz w:val="21"/>
          <w:szCs w:val="21"/>
        </w:rPr>
      </w:pPr>
    </w:p>
    <w:p w14:paraId="1758F87E" w14:textId="77777777" w:rsidR="00AC17AA" w:rsidRPr="003433D8" w:rsidRDefault="00AC17AA" w:rsidP="003433D8">
      <w:pPr>
        <w:pStyle w:val="Corpodetexto"/>
        <w:spacing w:line="300" w:lineRule="exact"/>
        <w:rPr>
          <w:rFonts w:ascii="Tahoma" w:hAnsi="Tahoma" w:cs="Tahoma"/>
          <w:b/>
          <w:sz w:val="21"/>
          <w:szCs w:val="21"/>
        </w:rPr>
      </w:pPr>
    </w:p>
    <w:p w14:paraId="29001FCE" w14:textId="77777777" w:rsidR="00F1561E" w:rsidRPr="003433D8" w:rsidRDefault="00F1561E" w:rsidP="003433D8">
      <w:pPr>
        <w:pStyle w:val="Default"/>
        <w:widowControl w:val="0"/>
        <w:spacing w:line="300" w:lineRule="exact"/>
        <w:ind w:left="720"/>
        <w:jc w:val="both"/>
        <w:rPr>
          <w:rFonts w:ascii="Tahoma" w:eastAsiaTheme="minorHAnsi" w:hAnsi="Tahoma" w:cs="Tahoma"/>
          <w:b/>
          <w:bCs/>
          <w:i/>
          <w:iCs/>
          <w:sz w:val="21"/>
          <w:szCs w:val="21"/>
          <w:lang w:eastAsia="en-US"/>
        </w:rPr>
      </w:pPr>
      <w:r w:rsidRPr="003433D8">
        <w:rPr>
          <w:rFonts w:ascii="Tahoma" w:hAnsi="Tahoma" w:cs="Tahoma"/>
          <w:b/>
          <w:bCs/>
          <w:i/>
          <w:iCs/>
          <w:sz w:val="21"/>
          <w:szCs w:val="21"/>
        </w:rPr>
        <w:t>“</w:t>
      </w:r>
      <w:r w:rsidRPr="003433D8">
        <w:rPr>
          <w:rFonts w:ascii="Tahoma" w:eastAsiaTheme="minorHAnsi" w:hAnsi="Tahoma" w:cs="Tahoma"/>
          <w:b/>
          <w:bCs/>
          <w:i/>
          <w:iCs/>
          <w:sz w:val="21"/>
          <w:szCs w:val="21"/>
          <w:lang w:eastAsia="en-US"/>
        </w:rPr>
        <w:t xml:space="preserve">QUADRO VI – CRONOGRAMA DE PAGAMENTO </w:t>
      </w:r>
    </w:p>
    <w:p w14:paraId="04D0DF4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5C127E8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(ii)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da venda do referido IMÓVEL ALIENADO FIDUCIARIAMENTE, será obrigatoriamente utilizado para realizar a amortização antecipada desta CÉDULA, observados os termos e condições do CONTRATO DE ALIENAÇÃO FIDUCIÁRIA DE IMÓVEIS e o disposto nesta CÉDULA (“AMORTIZAÇÃO EXTRAORDINÁRIA OBRIGATÓRIA”).”</w:t>
      </w:r>
    </w:p>
    <w:p w14:paraId="5C7D9121" w14:textId="77777777" w:rsidR="00F1561E" w:rsidRPr="003433D8" w:rsidRDefault="00F1561E" w:rsidP="003433D8">
      <w:pPr>
        <w:pStyle w:val="Corpodetexto"/>
        <w:spacing w:line="300" w:lineRule="exact"/>
        <w:jc w:val="both"/>
        <w:rPr>
          <w:rFonts w:ascii="Tahoma" w:hAnsi="Tahoma" w:cs="Tahoma"/>
          <w:b/>
          <w:sz w:val="21"/>
          <w:szCs w:val="21"/>
        </w:rPr>
      </w:pPr>
    </w:p>
    <w:p w14:paraId="58358916"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sz w:val="21"/>
          <w:szCs w:val="21"/>
        </w:rPr>
        <w:t>“</w:t>
      </w:r>
      <w:r w:rsidRPr="003433D8">
        <w:rPr>
          <w:rFonts w:ascii="Tahoma" w:hAnsi="Tahoma" w:cs="Tahoma"/>
          <w:b/>
          <w:sz w:val="21"/>
          <w:szCs w:val="21"/>
        </w:rPr>
        <w:t>CLÁUSULA 05. DA FORMA DE PAGAMENTO</w:t>
      </w:r>
      <w:r w:rsidRPr="003433D8">
        <w:rPr>
          <w:rFonts w:ascii="Tahoma" w:hAnsi="Tahoma" w:cs="Tahoma"/>
          <w:bCs/>
          <w:sz w:val="21"/>
          <w:szCs w:val="21"/>
        </w:rPr>
        <w:t xml:space="preserve"> – A EMITENTE pagará toda a IMPORTÂNCIA devida </w:t>
      </w:r>
      <w:r w:rsidRPr="003433D8">
        <w:rPr>
          <w:rFonts w:ascii="Tahoma" w:hAnsi="Tahoma" w:cs="Tahoma"/>
          <w:bCs/>
          <w:i/>
          <w:iCs/>
          <w:sz w:val="21"/>
          <w:szCs w:val="21"/>
        </w:rPr>
        <w:t>nos respectivos VENCIMENTOS, conforme estabelecido no Quadro VI à presente CÉDULA, mediante crédito dos recursos respectivos em conta bancária de titularidade do CREDOR até às 16 horas do dia do respectivo vencimento. Em caso de endosso da presente CÉDULA para a SECURITIZADORA, o crédito aqui referido deverá ser realizado na CONTA CENTRALIZADORA.</w:t>
      </w:r>
    </w:p>
    <w:p w14:paraId="18D8F2A0" w14:textId="77777777" w:rsidR="00F1561E" w:rsidRPr="003433D8" w:rsidRDefault="00F1561E" w:rsidP="003433D8">
      <w:pPr>
        <w:pStyle w:val="Corpodetexto"/>
        <w:spacing w:line="300" w:lineRule="exact"/>
        <w:jc w:val="both"/>
        <w:rPr>
          <w:rFonts w:ascii="Tahoma" w:hAnsi="Tahoma" w:cs="Tahoma"/>
          <w:b/>
          <w:i/>
          <w:iCs/>
          <w:sz w:val="21"/>
          <w:szCs w:val="21"/>
        </w:rPr>
      </w:pPr>
    </w:p>
    <w:p w14:paraId="55E0B19A" w14:textId="77777777" w:rsidR="00F1561E" w:rsidRPr="003433D8" w:rsidRDefault="00F1561E" w:rsidP="003433D8">
      <w:pPr>
        <w:pStyle w:val="Corpodetexto"/>
        <w:spacing w:line="300" w:lineRule="exact"/>
        <w:ind w:firstLine="720"/>
        <w:jc w:val="both"/>
        <w:rPr>
          <w:rFonts w:ascii="Tahoma" w:hAnsi="Tahoma" w:cs="Tahoma"/>
          <w:bCs/>
          <w:i/>
          <w:iCs/>
          <w:sz w:val="21"/>
          <w:szCs w:val="21"/>
        </w:rPr>
      </w:pPr>
      <w:r w:rsidRPr="003433D8">
        <w:rPr>
          <w:rFonts w:ascii="Tahoma" w:hAnsi="Tahoma" w:cs="Tahoma"/>
          <w:bCs/>
          <w:i/>
          <w:iCs/>
          <w:sz w:val="21"/>
          <w:szCs w:val="21"/>
        </w:rPr>
        <w:t>(...)</w:t>
      </w:r>
    </w:p>
    <w:p w14:paraId="280A33BE" w14:textId="77777777" w:rsidR="00F1561E" w:rsidRPr="003433D8" w:rsidRDefault="00F1561E" w:rsidP="003433D8">
      <w:pPr>
        <w:pStyle w:val="Corpodetexto"/>
        <w:spacing w:line="300" w:lineRule="exact"/>
        <w:jc w:val="both"/>
        <w:rPr>
          <w:rFonts w:ascii="Tahoma" w:hAnsi="Tahoma" w:cs="Tahoma"/>
          <w:b/>
          <w:i/>
          <w:iCs/>
          <w:sz w:val="21"/>
          <w:szCs w:val="21"/>
        </w:rPr>
      </w:pPr>
    </w:p>
    <w:p w14:paraId="2A6FCEDA"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r w:rsidRPr="003433D8">
        <w:rPr>
          <w:rFonts w:ascii="Tahoma" w:eastAsiaTheme="minorHAnsi" w:hAnsi="Tahoma" w:cs="Tahoma"/>
          <w:b/>
          <w:bCs/>
          <w:i/>
          <w:iCs/>
          <w:color w:val="000000"/>
          <w:sz w:val="21"/>
          <w:szCs w:val="21"/>
          <w:lang w:val="pt-BR"/>
        </w:rPr>
        <w:t>Parágrafo Oitavo</w:t>
      </w:r>
      <w:r w:rsidRPr="003433D8">
        <w:rPr>
          <w:rFonts w:ascii="Tahoma" w:eastAsiaTheme="minorHAnsi" w:hAnsi="Tahoma" w:cs="Tahoma"/>
          <w:i/>
          <w:iCs/>
          <w:color w:val="000000"/>
          <w:sz w:val="21"/>
          <w:szCs w:val="21"/>
          <w:lang w:val="pt-BR"/>
        </w:rPr>
        <w:t xml:space="preserve"> –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de venda do referido IMÓVEL ALIENADO FIDUCIARIAMENTE), será obrigatoriamente utilizado para realizar a AMORTIZAÇÃO EXTRAORDINÁRIA OBRIGATÓRIA, observados os termos e condições do CONTRATO DE ALIENAÇÃO FIDUCIÁRIA DE IMÓVEIS e o disposto nesta CÉDULA.</w:t>
      </w:r>
    </w:p>
    <w:p w14:paraId="1E5F37F8"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p>
    <w:p w14:paraId="45F2F677" w14:textId="3347D48D" w:rsidR="00F1561E" w:rsidRPr="003433D8" w:rsidRDefault="00F1561E" w:rsidP="003433D8">
      <w:pPr>
        <w:pStyle w:val="Corpodetexto"/>
        <w:spacing w:line="300" w:lineRule="exact"/>
        <w:ind w:left="720"/>
        <w:jc w:val="both"/>
        <w:rPr>
          <w:rFonts w:ascii="Tahoma" w:hAnsi="Tahoma" w:cs="Tahoma"/>
          <w:i/>
          <w:iCs/>
          <w:sz w:val="21"/>
          <w:szCs w:val="21"/>
        </w:rPr>
      </w:pPr>
      <w:r w:rsidRPr="003433D8">
        <w:rPr>
          <w:rFonts w:ascii="Tahoma" w:hAnsi="Tahoma" w:cs="Tahoma"/>
          <w:b/>
          <w:bCs/>
          <w:i/>
          <w:iCs/>
          <w:sz w:val="21"/>
          <w:szCs w:val="21"/>
        </w:rPr>
        <w:t>Parágrafo Nono</w:t>
      </w:r>
      <w:r w:rsidRPr="003433D8">
        <w:rPr>
          <w:rFonts w:ascii="Tahoma" w:hAnsi="Tahoma" w:cs="Tahoma"/>
          <w:i/>
          <w:iCs/>
          <w:sz w:val="21"/>
          <w:szCs w:val="21"/>
        </w:rPr>
        <w:t xml:space="preserve"> – A AMORTIZAÇÃO ANTECIPADA CASH SWEEP, deverá ser precedida de comunicação ao CREDOR contendo, no mínimo, as seguintes informações: (i) os IMÓVEIS ALIENADOS FIDUCIARIAMENTE que foram objeto de comercialização; (ii) o valor correspondente a 60% </w:t>
      </w:r>
      <w:r w:rsidR="006B1E22" w:rsidRPr="003433D8">
        <w:rPr>
          <w:rFonts w:ascii="Tahoma" w:hAnsi="Tahoma" w:cs="Tahoma"/>
          <w:i/>
          <w:iCs/>
          <w:sz w:val="21"/>
          <w:szCs w:val="21"/>
        </w:rPr>
        <w:t>(</w:t>
      </w:r>
      <w:r w:rsidRPr="003433D8">
        <w:rPr>
          <w:rFonts w:ascii="Tahoma" w:hAnsi="Tahoma" w:cs="Tahoma"/>
          <w:i/>
          <w:iCs/>
          <w:sz w:val="21"/>
          <w:szCs w:val="21"/>
        </w:rPr>
        <w:t>sessenta por cento) do valor de avaliação do imóvel, no caso de AMORTIZAÇÃO ANTECIPADA OBRIGATÓRIA; (iii) o valor que será destinado à AMORTIZAÇÃO FACULTATIVA CASH SWEEP, correspondente a até 55% (cinquenta e cinco por cento) do valor de avaliação do imóvel comercializado, conforme indicado nos respectivos CONTRATOS DE ALIENAÇÃO FIDUCIÁRIA DOS IMÓVEIS; (iv) a data esperada para o recebimento na Conta Centralizadora de recursos decorrentes do preço de comercialização; e (v) quaisquer outras informações que a EMITENTE e/ou as SPE entendam que sejam necessárias à operacionalização da AMORTIZAÇÃO ANTECIPADA CASH SWEEP”.</w:t>
      </w:r>
    </w:p>
    <w:p w14:paraId="14E6171D" w14:textId="77777777" w:rsidR="00F1561E" w:rsidRPr="003433D8" w:rsidRDefault="00F1561E" w:rsidP="00870527">
      <w:pPr>
        <w:pStyle w:val="Corpodetexto"/>
        <w:spacing w:line="300" w:lineRule="exact"/>
        <w:jc w:val="both"/>
        <w:rPr>
          <w:rFonts w:ascii="Tahoma" w:hAnsi="Tahoma" w:cs="Tahoma"/>
          <w:bCs/>
          <w:sz w:val="21"/>
          <w:szCs w:val="21"/>
        </w:rPr>
      </w:pPr>
    </w:p>
    <w:p w14:paraId="2F7C1700" w14:textId="6242961B" w:rsidR="00870527" w:rsidRDefault="00870527" w:rsidP="00870527">
      <w:pPr>
        <w:pStyle w:val="Corpodetexto"/>
        <w:spacing w:line="300" w:lineRule="exact"/>
        <w:jc w:val="both"/>
        <w:rPr>
          <w:rFonts w:ascii="Tahoma" w:hAnsi="Tahoma" w:cs="Tahoma"/>
          <w:bCs/>
          <w:sz w:val="21"/>
          <w:szCs w:val="21"/>
        </w:rPr>
      </w:pPr>
      <w:r>
        <w:rPr>
          <w:rFonts w:ascii="Tahoma" w:hAnsi="Tahoma" w:cs="Tahoma"/>
          <w:bCs/>
          <w:sz w:val="21"/>
          <w:szCs w:val="21"/>
        </w:rPr>
        <w:t>2.2.</w:t>
      </w:r>
      <w:r>
        <w:rPr>
          <w:rFonts w:ascii="Tahoma" w:hAnsi="Tahoma" w:cs="Tahoma"/>
          <w:bCs/>
          <w:sz w:val="21"/>
          <w:szCs w:val="21"/>
        </w:rPr>
        <w:tab/>
        <w:t xml:space="preserve"> </w:t>
      </w:r>
      <w:r w:rsidRPr="00870527">
        <w:rPr>
          <w:rFonts w:ascii="Tahoma" w:hAnsi="Tahoma" w:cs="Tahoma"/>
          <w:bCs/>
          <w:sz w:val="21"/>
          <w:szCs w:val="21"/>
        </w:rPr>
        <w:t xml:space="preserve">Ainda, </w:t>
      </w:r>
      <w:r>
        <w:rPr>
          <w:rFonts w:ascii="Tahoma" w:hAnsi="Tahoma" w:cs="Tahoma"/>
          <w:bCs/>
          <w:sz w:val="21"/>
          <w:szCs w:val="21"/>
        </w:rPr>
        <w:t xml:space="preserve">considerando o Primeiro Aditamento ao Instrumento Particular de Alienação Fiduciária celebrado entre a Exto Iris Empreendimentos Imobiliários SPE Ltda e Exto Anis Emprendimento Imobiliários SPE Ltda, para acréscimo das </w:t>
      </w:r>
      <w:r w:rsidRPr="00870527">
        <w:rPr>
          <w:rFonts w:ascii="Tahoma" w:hAnsi="Tahoma" w:cs="Tahoma"/>
          <w:bCs/>
          <w:sz w:val="21"/>
          <w:szCs w:val="21"/>
        </w:rPr>
        <w:t>unidades as nº 192, 193, 194 e 202</w:t>
      </w:r>
      <w:r>
        <w:rPr>
          <w:rFonts w:ascii="Tahoma" w:hAnsi="Tahoma" w:cs="Tahoma"/>
          <w:bCs/>
          <w:sz w:val="21"/>
          <w:szCs w:val="21"/>
        </w:rPr>
        <w:t xml:space="preserve"> aos imóveis alienados fiduciariamente, </w:t>
      </w:r>
      <w:r w:rsidR="001663FF">
        <w:rPr>
          <w:rFonts w:ascii="Tahoma" w:hAnsi="Tahoma" w:cs="Tahoma"/>
          <w:bCs/>
          <w:sz w:val="21"/>
          <w:szCs w:val="21"/>
        </w:rPr>
        <w:t>passa</w:t>
      </w:r>
      <w:r w:rsidR="00DF4354">
        <w:rPr>
          <w:rFonts w:ascii="Tahoma" w:hAnsi="Tahoma" w:cs="Tahoma"/>
          <w:bCs/>
          <w:sz w:val="21"/>
          <w:szCs w:val="21"/>
        </w:rPr>
        <w:t>rá</w:t>
      </w:r>
      <w:r w:rsidR="001663FF">
        <w:rPr>
          <w:rFonts w:ascii="Tahoma" w:hAnsi="Tahoma" w:cs="Tahoma"/>
          <w:bCs/>
          <w:sz w:val="21"/>
          <w:szCs w:val="21"/>
        </w:rPr>
        <w:t xml:space="preserve"> o valor da venda forçada total dos Imóveis, em conjuto, a equival</w:t>
      </w:r>
      <w:r w:rsidR="008520D6">
        <w:rPr>
          <w:rFonts w:ascii="Tahoma" w:hAnsi="Tahoma" w:cs="Tahoma"/>
          <w:bCs/>
          <w:sz w:val="21"/>
          <w:szCs w:val="21"/>
        </w:rPr>
        <w:t>e</w:t>
      </w:r>
      <w:r w:rsidR="001663FF">
        <w:rPr>
          <w:rFonts w:ascii="Tahoma" w:hAnsi="Tahoma" w:cs="Tahoma"/>
          <w:bCs/>
          <w:sz w:val="21"/>
          <w:szCs w:val="21"/>
        </w:rPr>
        <w:t xml:space="preserve">r a </w:t>
      </w:r>
      <w:r w:rsidR="001663FF" w:rsidRPr="001663FF">
        <w:rPr>
          <w:rFonts w:ascii="Tahoma" w:hAnsi="Tahoma" w:cs="Tahoma"/>
          <w:sz w:val="21"/>
          <w:szCs w:val="21"/>
        </w:rPr>
        <w:t>R$ 121.610.005,76 (cento e vinte e um milhões, seiscentos e dez mil, cinco reais e setenta seis centavos).</w:t>
      </w:r>
    </w:p>
    <w:p w14:paraId="6451BAF7" w14:textId="77777777" w:rsidR="00870527" w:rsidRDefault="00870527" w:rsidP="003433D8">
      <w:pPr>
        <w:pStyle w:val="Corpodetexto"/>
        <w:spacing w:line="300" w:lineRule="exact"/>
        <w:rPr>
          <w:rFonts w:ascii="Tahoma" w:hAnsi="Tahoma" w:cs="Tahoma"/>
          <w:bCs/>
          <w:sz w:val="21"/>
          <w:szCs w:val="21"/>
        </w:rPr>
      </w:pPr>
    </w:p>
    <w:p w14:paraId="5A116BE1" w14:textId="187083C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2.</w:t>
      </w:r>
      <w:r w:rsidR="00870527">
        <w:rPr>
          <w:rFonts w:ascii="Tahoma" w:hAnsi="Tahoma" w:cs="Tahoma"/>
          <w:bCs/>
          <w:sz w:val="21"/>
          <w:szCs w:val="21"/>
        </w:rPr>
        <w:t>3</w:t>
      </w:r>
      <w:r w:rsidRPr="003433D8">
        <w:rPr>
          <w:rFonts w:ascii="Tahoma" w:hAnsi="Tahoma" w:cs="Tahoma"/>
          <w:bCs/>
          <w:sz w:val="21"/>
          <w:szCs w:val="21"/>
        </w:rPr>
        <w:t>.</w:t>
      </w:r>
      <w:r w:rsidRPr="003433D8">
        <w:rPr>
          <w:rFonts w:ascii="Tahoma" w:hAnsi="Tahoma" w:cs="Tahoma"/>
          <w:bCs/>
          <w:sz w:val="21"/>
          <w:szCs w:val="21"/>
        </w:rPr>
        <w:tab/>
        <w:t>Por fim, as Partes desejam prever que onde se lê “Isec Securitizadora S.A.” na CCB, passará a ler “Virgo Companhia de Securitização (atual denominação da Isec Securitizadora S.A.).</w:t>
      </w:r>
    </w:p>
    <w:p w14:paraId="50A9881F" w14:textId="42F6413E" w:rsidR="00F1561E" w:rsidRDefault="00F1561E" w:rsidP="003433D8">
      <w:pPr>
        <w:pStyle w:val="Corpodetexto"/>
        <w:spacing w:line="300" w:lineRule="exact"/>
        <w:rPr>
          <w:rFonts w:ascii="Tahoma" w:hAnsi="Tahoma" w:cs="Tahoma"/>
          <w:b/>
          <w:sz w:val="21"/>
          <w:szCs w:val="21"/>
        </w:rPr>
      </w:pPr>
    </w:p>
    <w:p w14:paraId="7C31C1F5" w14:textId="1BEADD6D" w:rsidR="00AC17AA" w:rsidRDefault="00AC17AA" w:rsidP="003433D8">
      <w:pPr>
        <w:pStyle w:val="Corpodetexto"/>
        <w:spacing w:line="300" w:lineRule="exact"/>
        <w:rPr>
          <w:rFonts w:ascii="Tahoma" w:hAnsi="Tahoma" w:cs="Tahoma"/>
          <w:b/>
          <w:sz w:val="21"/>
          <w:szCs w:val="21"/>
        </w:rPr>
      </w:pPr>
    </w:p>
    <w:p w14:paraId="1C3D572C" w14:textId="77777777" w:rsidR="00AC17AA" w:rsidRPr="003433D8" w:rsidRDefault="00AC17AA" w:rsidP="003433D8">
      <w:pPr>
        <w:pStyle w:val="Corpodetexto"/>
        <w:spacing w:line="300" w:lineRule="exact"/>
        <w:rPr>
          <w:rFonts w:ascii="Tahoma" w:hAnsi="Tahoma" w:cs="Tahoma"/>
          <w:b/>
          <w:sz w:val="21"/>
          <w:szCs w:val="21"/>
        </w:rPr>
      </w:pPr>
    </w:p>
    <w:p w14:paraId="12D7F3D7"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TERCEIRA – DISPOSIÇÕES GERAIS </w:t>
      </w:r>
    </w:p>
    <w:p w14:paraId="01B24C23"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301F83B4" w14:textId="0182CF3E"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Ficam ratificadas todas as demais disposições constantes da CCB que não foram expressamente alteradas pelo presente Aditamento. </w:t>
      </w:r>
    </w:p>
    <w:p w14:paraId="440C5195" w14:textId="77777777" w:rsidR="00F1561E" w:rsidRPr="003433D8" w:rsidRDefault="00F1561E" w:rsidP="003433D8">
      <w:pPr>
        <w:pStyle w:val="Default"/>
        <w:widowControl w:val="0"/>
        <w:tabs>
          <w:tab w:val="left" w:pos="0"/>
          <w:tab w:val="left" w:pos="709"/>
        </w:tabs>
        <w:spacing w:line="300" w:lineRule="exact"/>
        <w:jc w:val="both"/>
        <w:rPr>
          <w:rFonts w:ascii="Tahoma" w:hAnsi="Tahoma" w:cs="Tahoma"/>
          <w:color w:val="auto"/>
          <w:sz w:val="21"/>
          <w:szCs w:val="21"/>
        </w:rPr>
      </w:pPr>
    </w:p>
    <w:p w14:paraId="27A28CA9" w14:textId="77777777"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Para todos os fins e efeitos de direito, as Partes reconhecem e concordam que suas assinaturas no presente instrumento poderão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w:t>
      </w:r>
    </w:p>
    <w:p w14:paraId="21FAE678"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3168507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QUARTA – LEGISLAÇÃO APLICÁVEL E FORO </w:t>
      </w:r>
    </w:p>
    <w:p w14:paraId="09E42BB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116DEBB1"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Legislação Aplicável</w:t>
      </w:r>
      <w:r w:rsidRPr="003433D8">
        <w:rPr>
          <w:rFonts w:ascii="Tahoma" w:hAnsi="Tahoma" w:cs="Tahoma"/>
          <w:color w:val="auto"/>
          <w:sz w:val="21"/>
          <w:szCs w:val="21"/>
        </w:rPr>
        <w:t xml:space="preserve">: Este Aditamento será regido e interpretado de acordo com as leis da República Federativa do Brasil. </w:t>
      </w:r>
    </w:p>
    <w:p w14:paraId="40F7A17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6FA4CF6"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Foro</w:t>
      </w:r>
      <w:r w:rsidRPr="003433D8">
        <w:rPr>
          <w:rFonts w:ascii="Tahoma" w:hAnsi="Tahoma" w:cs="Tahoma"/>
          <w:color w:val="auto"/>
          <w:sz w:val="21"/>
          <w:szCs w:val="21"/>
        </w:rPr>
        <w:t xml:space="preserve">: As Partes elegem o Foro da Comarca de São Paulo, Estado de São Paulo, como o único competente para dirimir quaisquer questões ou litígios originários deste Aditamento, renunciando expressamente a qualquer outro, por mais privilegiado que seja ou venha a ser. </w:t>
      </w:r>
    </w:p>
    <w:p w14:paraId="7B67676F"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8F80715"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color w:val="auto"/>
          <w:sz w:val="21"/>
          <w:szCs w:val="21"/>
        </w:rPr>
        <w:t xml:space="preserve">Este Aditamento é celebrado eletronicamente pelas Partes na presença de 02 (duas) testemunhas. </w:t>
      </w:r>
    </w:p>
    <w:p w14:paraId="6E3490E9"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1A82424" w14:textId="3628C906" w:rsidR="00F1561E" w:rsidRPr="003433D8" w:rsidRDefault="00F1561E" w:rsidP="003433D8">
      <w:pPr>
        <w:pStyle w:val="Default"/>
        <w:widowControl w:val="0"/>
        <w:spacing w:line="300" w:lineRule="exact"/>
        <w:jc w:val="center"/>
        <w:rPr>
          <w:rFonts w:ascii="Tahoma" w:hAnsi="Tahoma" w:cs="Tahoma"/>
          <w:color w:val="auto"/>
          <w:sz w:val="21"/>
          <w:szCs w:val="21"/>
        </w:rPr>
      </w:pPr>
      <w:r w:rsidRPr="003433D8">
        <w:rPr>
          <w:rFonts w:ascii="Tahoma" w:hAnsi="Tahoma" w:cs="Tahoma"/>
          <w:color w:val="auto"/>
          <w:sz w:val="21"/>
          <w:szCs w:val="21"/>
        </w:rPr>
        <w:t>São Paulo</w:t>
      </w:r>
      <w:r w:rsidR="00AC17AA">
        <w:rPr>
          <w:rFonts w:ascii="Tahoma" w:hAnsi="Tahoma" w:cs="Tahoma"/>
          <w:color w:val="auto"/>
          <w:sz w:val="21"/>
          <w:szCs w:val="21"/>
        </w:rPr>
        <w:t>/SP</w:t>
      </w:r>
      <w:r w:rsidRPr="003433D8">
        <w:rPr>
          <w:rFonts w:ascii="Tahoma" w:hAnsi="Tahoma" w:cs="Tahoma"/>
          <w:color w:val="auto"/>
          <w:sz w:val="21"/>
          <w:szCs w:val="21"/>
        </w:rPr>
        <w:t>,</w:t>
      </w:r>
      <w:r w:rsidR="003B09EC">
        <w:rPr>
          <w:rFonts w:ascii="Tahoma" w:hAnsi="Tahoma" w:cs="Tahoma"/>
          <w:color w:val="auto"/>
          <w:sz w:val="21"/>
          <w:szCs w:val="21"/>
        </w:rPr>
        <w:t xml:space="preserve"> 0</w:t>
      </w:r>
      <w:r w:rsidR="001663FF">
        <w:rPr>
          <w:rFonts w:ascii="Tahoma" w:hAnsi="Tahoma" w:cs="Tahoma"/>
          <w:color w:val="auto"/>
          <w:sz w:val="21"/>
          <w:szCs w:val="21"/>
        </w:rPr>
        <w:t>7</w:t>
      </w:r>
      <w:r w:rsidRPr="003433D8">
        <w:rPr>
          <w:rFonts w:ascii="Tahoma" w:hAnsi="Tahoma" w:cs="Tahoma"/>
          <w:color w:val="auto"/>
          <w:sz w:val="21"/>
          <w:szCs w:val="21"/>
        </w:rPr>
        <w:t xml:space="preserve"> de </w:t>
      </w:r>
      <w:r w:rsidR="003B09EC">
        <w:rPr>
          <w:rFonts w:ascii="Tahoma" w:hAnsi="Tahoma" w:cs="Tahoma"/>
          <w:color w:val="auto"/>
          <w:sz w:val="21"/>
          <w:szCs w:val="21"/>
        </w:rPr>
        <w:t>abril</w:t>
      </w:r>
      <w:r w:rsidRPr="003433D8">
        <w:rPr>
          <w:rFonts w:ascii="Tahoma" w:hAnsi="Tahoma" w:cs="Tahoma"/>
          <w:color w:val="auto"/>
          <w:sz w:val="21"/>
          <w:szCs w:val="21"/>
        </w:rPr>
        <w:t xml:space="preserve"> de 2022.</w:t>
      </w:r>
    </w:p>
    <w:p w14:paraId="5A7F6FB0" w14:textId="77777777" w:rsidR="00F1561E" w:rsidRPr="003433D8" w:rsidRDefault="00F1561E" w:rsidP="003433D8">
      <w:pPr>
        <w:pStyle w:val="Default"/>
        <w:widowControl w:val="0"/>
        <w:spacing w:line="300" w:lineRule="exact"/>
        <w:jc w:val="both"/>
        <w:rPr>
          <w:rFonts w:ascii="Tahoma" w:hAnsi="Tahoma" w:cs="Tahoma"/>
          <w:i/>
          <w:iCs/>
          <w:color w:val="auto"/>
          <w:sz w:val="21"/>
          <w:szCs w:val="21"/>
        </w:rPr>
      </w:pPr>
    </w:p>
    <w:p w14:paraId="4CDF8001" w14:textId="6AC6E343" w:rsidR="00F1561E" w:rsidRDefault="00F1561E" w:rsidP="003433D8">
      <w:pPr>
        <w:pStyle w:val="Default"/>
        <w:widowControl w:val="0"/>
        <w:spacing w:line="300" w:lineRule="exact"/>
        <w:jc w:val="both"/>
        <w:rPr>
          <w:rFonts w:ascii="Tahoma" w:hAnsi="Tahoma" w:cs="Tahoma"/>
          <w:i/>
          <w:iCs/>
          <w:color w:val="auto"/>
          <w:sz w:val="21"/>
          <w:szCs w:val="21"/>
        </w:rPr>
      </w:pPr>
    </w:p>
    <w:p w14:paraId="53150589" w14:textId="68823BAC" w:rsidR="00AC17AA" w:rsidRDefault="00AC17AA" w:rsidP="003433D8">
      <w:pPr>
        <w:pStyle w:val="Default"/>
        <w:widowControl w:val="0"/>
        <w:spacing w:line="300" w:lineRule="exact"/>
        <w:jc w:val="both"/>
        <w:rPr>
          <w:rFonts w:ascii="Tahoma" w:hAnsi="Tahoma" w:cs="Tahoma"/>
          <w:i/>
          <w:iCs/>
          <w:color w:val="auto"/>
          <w:sz w:val="21"/>
          <w:szCs w:val="21"/>
        </w:rPr>
      </w:pPr>
    </w:p>
    <w:p w14:paraId="3B02803D" w14:textId="77777777" w:rsidR="00AC17AA" w:rsidRPr="003433D8" w:rsidRDefault="00AC17AA"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FFAAD0E"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color w:val="auto"/>
          <w:sz w:val="21"/>
          <w:szCs w:val="21"/>
        </w:rPr>
      </w:pPr>
      <w:r w:rsidRPr="003433D8">
        <w:rPr>
          <w:rFonts w:ascii="Tahoma" w:hAnsi="Tahoma" w:cs="Tahoma"/>
          <w:b/>
          <w:bCs/>
          <w:sz w:val="21"/>
          <w:szCs w:val="21"/>
        </w:rPr>
        <w:t xml:space="preserve"> </w:t>
      </w:r>
      <w:r w:rsidRPr="003433D8">
        <w:rPr>
          <w:rFonts w:ascii="Tahoma" w:hAnsi="Tahoma" w:cs="Tahoma"/>
          <w:b/>
          <w:bCs/>
          <w:color w:val="auto"/>
          <w:sz w:val="21"/>
          <w:szCs w:val="21"/>
        </w:rPr>
        <w:t>VIRGO COMPANHIA DE SECURITIZAÇÃO</w:t>
      </w:r>
    </w:p>
    <w:p w14:paraId="4ECDE34D"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i/>
          <w:iCs/>
          <w:color w:val="auto"/>
          <w:sz w:val="21"/>
          <w:szCs w:val="21"/>
        </w:rPr>
      </w:pPr>
      <w:r w:rsidRPr="003433D8">
        <w:rPr>
          <w:rFonts w:ascii="Tahoma" w:hAnsi="Tahoma" w:cs="Tahoma"/>
          <w:b/>
          <w:bCs/>
          <w:i/>
          <w:iCs/>
          <w:color w:val="auto"/>
          <w:sz w:val="21"/>
          <w:szCs w:val="21"/>
        </w:rPr>
        <w:t>(atual denominação de Isec SECURITIZADORA S.A.)</w:t>
      </w:r>
    </w:p>
    <w:p w14:paraId="06D6F185" w14:textId="67638941" w:rsidR="00F1561E" w:rsidRPr="003B09EC" w:rsidRDefault="00F1561E" w:rsidP="003433D8">
      <w:pPr>
        <w:pStyle w:val="Default"/>
        <w:widowControl w:val="0"/>
        <w:spacing w:line="300" w:lineRule="exact"/>
        <w:ind w:right="824" w:firstLine="708"/>
        <w:rPr>
          <w:rFonts w:ascii="Tahoma" w:hAnsi="Tahoma" w:cs="Tahoma"/>
          <w:sz w:val="21"/>
          <w:szCs w:val="21"/>
        </w:rPr>
      </w:pPr>
      <w:r w:rsidRPr="003B09EC">
        <w:rPr>
          <w:rFonts w:ascii="Tahoma" w:hAnsi="Tahoma" w:cs="Tahoma"/>
          <w:sz w:val="21"/>
          <w:szCs w:val="21"/>
        </w:rPr>
        <w:t xml:space="preserve">Pedro Paulo Oliveira de Moraes          </w:t>
      </w:r>
      <w:r w:rsidRPr="003B09EC">
        <w:rPr>
          <w:rFonts w:ascii="Tahoma" w:hAnsi="Tahoma" w:cs="Tahoma"/>
          <w:sz w:val="21"/>
          <w:szCs w:val="21"/>
        </w:rPr>
        <w:tab/>
      </w:r>
      <w:r w:rsidRPr="003B09EC">
        <w:rPr>
          <w:rFonts w:ascii="Tahoma" w:hAnsi="Tahoma" w:cs="Tahoma"/>
          <w:sz w:val="21"/>
          <w:szCs w:val="21"/>
        </w:rPr>
        <w:tab/>
        <w:t>Henrique Carvalho Silva</w:t>
      </w:r>
    </w:p>
    <w:p w14:paraId="7EFC2D97" w14:textId="18922287" w:rsidR="00F1561E" w:rsidRPr="003433D8" w:rsidRDefault="00F1561E" w:rsidP="003433D8">
      <w:pPr>
        <w:pStyle w:val="Default"/>
        <w:widowControl w:val="0"/>
        <w:spacing w:line="300" w:lineRule="exact"/>
        <w:ind w:right="824" w:firstLine="708"/>
        <w:rPr>
          <w:rFonts w:ascii="Tahoma" w:hAnsi="Tahoma" w:cs="Tahoma"/>
          <w:b/>
          <w:bCs/>
          <w:i/>
          <w:iCs/>
          <w:sz w:val="21"/>
          <w:szCs w:val="21"/>
        </w:rPr>
      </w:pPr>
      <w:r w:rsidRPr="003B09EC">
        <w:rPr>
          <w:rFonts w:ascii="Tahoma" w:hAnsi="Tahoma" w:cs="Tahoma"/>
          <w:sz w:val="21"/>
          <w:szCs w:val="21"/>
        </w:rPr>
        <w:t xml:space="preserve">CPF/ME: 222.043.388-93 </w:t>
      </w:r>
      <w:r w:rsidRPr="003B09EC">
        <w:rPr>
          <w:rFonts w:ascii="Tahoma" w:hAnsi="Tahoma" w:cs="Tahoma"/>
          <w:sz w:val="21"/>
          <w:szCs w:val="21"/>
        </w:rPr>
        <w:tab/>
      </w:r>
      <w:r w:rsidRPr="003B09EC">
        <w:rPr>
          <w:rFonts w:ascii="Tahoma" w:hAnsi="Tahoma" w:cs="Tahoma"/>
          <w:sz w:val="21"/>
          <w:szCs w:val="21"/>
        </w:rPr>
        <w:tab/>
        <w:t xml:space="preserve">           CPF/ME: 354.873.988-10</w:t>
      </w:r>
    </w:p>
    <w:p w14:paraId="2B6DF57D"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363A7A10"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5C107D81" w14:textId="77777777" w:rsidR="00F1561E" w:rsidRPr="003433D8" w:rsidRDefault="00F1561E" w:rsidP="003433D8">
      <w:pPr>
        <w:pStyle w:val="Default"/>
        <w:widowControl w:val="0"/>
        <w:spacing w:line="300" w:lineRule="exact"/>
        <w:ind w:right="680"/>
        <w:jc w:val="both"/>
        <w:rPr>
          <w:rFonts w:ascii="Tahoma" w:hAnsi="Tahoma" w:cs="Tahoma"/>
          <w:b/>
          <w:sz w:val="21"/>
          <w:szCs w:val="21"/>
        </w:rPr>
      </w:pPr>
    </w:p>
    <w:p w14:paraId="7FABB1EC" w14:textId="1A1FD5B1" w:rsidR="00F1561E" w:rsidRPr="003433D8" w:rsidRDefault="00F1561E"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8D5B8CC" w14:textId="77777777" w:rsidR="00F1561E" w:rsidRPr="003433D8" w:rsidRDefault="00F1561E" w:rsidP="003433D8">
      <w:pPr>
        <w:pStyle w:val="Default"/>
        <w:widowControl w:val="0"/>
        <w:spacing w:line="300" w:lineRule="exact"/>
        <w:jc w:val="center"/>
        <w:rPr>
          <w:rFonts w:ascii="Tahoma" w:hAnsi="Tahoma" w:cs="Tahoma"/>
          <w:b/>
          <w:sz w:val="21"/>
          <w:szCs w:val="21"/>
        </w:rPr>
      </w:pPr>
      <w:r w:rsidRPr="003433D8">
        <w:rPr>
          <w:rFonts w:ascii="Tahoma" w:hAnsi="Tahoma" w:cs="Tahoma"/>
          <w:b/>
          <w:sz w:val="21"/>
          <w:szCs w:val="21"/>
        </w:rPr>
        <w:t>EXTO INCORPORAÇÕES E EMPREENDIMENTOS IMOBILIÁRIOS LTDA</w:t>
      </w:r>
    </w:p>
    <w:p w14:paraId="5EBD7928" w14:textId="076B1228" w:rsidR="00F1561E" w:rsidRPr="003B09EC" w:rsidRDefault="00AC17AA" w:rsidP="003433D8">
      <w:pPr>
        <w:pStyle w:val="Default"/>
        <w:widowControl w:val="0"/>
        <w:spacing w:line="300" w:lineRule="exact"/>
        <w:ind w:left="1701"/>
        <w:rPr>
          <w:rFonts w:ascii="Tahoma" w:hAnsi="Tahoma" w:cs="Tahoma"/>
          <w:bCs/>
          <w:sz w:val="21"/>
          <w:szCs w:val="21"/>
        </w:rPr>
      </w:pPr>
      <w:r w:rsidRPr="003B09EC">
        <w:rPr>
          <w:rFonts w:ascii="Tahoma" w:hAnsi="Tahoma" w:cs="Tahoma"/>
          <w:bCs/>
          <w:sz w:val="21"/>
          <w:szCs w:val="21"/>
        </w:rPr>
        <w:t>[</w:t>
      </w:r>
      <w:r w:rsidR="00F1561E" w:rsidRPr="003B09EC">
        <w:rPr>
          <w:rFonts w:ascii="Tahoma" w:hAnsi="Tahoma" w:cs="Tahoma"/>
          <w:bCs/>
          <w:sz w:val="21"/>
          <w:szCs w:val="21"/>
        </w:rPr>
        <w:t>Representante</w:t>
      </w:r>
      <w:r w:rsidRPr="003B09EC">
        <w:rPr>
          <w:rFonts w:ascii="Tahoma" w:hAnsi="Tahoma" w:cs="Tahoma"/>
          <w:bCs/>
          <w:sz w:val="21"/>
          <w:szCs w:val="21"/>
        </w:rPr>
        <w:t>]</w:t>
      </w:r>
      <w:r w:rsidR="00F1561E" w:rsidRPr="003B09EC">
        <w:rPr>
          <w:rFonts w:ascii="Tahoma" w:hAnsi="Tahoma" w:cs="Tahoma"/>
          <w:bCs/>
          <w:sz w:val="21"/>
          <w:szCs w:val="21"/>
        </w:rPr>
        <w:t xml:space="preserve"> </w:t>
      </w:r>
    </w:p>
    <w:p w14:paraId="25DDE7AC" w14:textId="0A82C3D1" w:rsidR="00F1561E" w:rsidRPr="003433D8" w:rsidRDefault="00AC17AA" w:rsidP="003433D8">
      <w:pPr>
        <w:pStyle w:val="Default"/>
        <w:widowControl w:val="0"/>
        <w:spacing w:line="300" w:lineRule="exact"/>
        <w:ind w:left="1701"/>
        <w:rPr>
          <w:rFonts w:ascii="Tahoma" w:hAnsi="Tahoma" w:cs="Tahoma"/>
          <w:bCs/>
          <w:sz w:val="21"/>
          <w:szCs w:val="21"/>
        </w:rPr>
      </w:pPr>
      <w:r w:rsidRPr="003B09EC">
        <w:rPr>
          <w:rFonts w:ascii="Tahoma" w:hAnsi="Tahoma" w:cs="Tahoma"/>
          <w:bCs/>
          <w:sz w:val="21"/>
          <w:szCs w:val="21"/>
        </w:rPr>
        <w:t>[</w:t>
      </w:r>
      <w:r w:rsidR="00F1561E" w:rsidRPr="003B09EC">
        <w:rPr>
          <w:rFonts w:ascii="Tahoma" w:hAnsi="Tahoma" w:cs="Tahoma"/>
          <w:bCs/>
          <w:sz w:val="21"/>
          <w:szCs w:val="21"/>
        </w:rPr>
        <w:t>CPF</w:t>
      </w:r>
      <w:r w:rsidRPr="003B09EC">
        <w:rPr>
          <w:rFonts w:ascii="Tahoma" w:hAnsi="Tahoma" w:cs="Tahoma"/>
          <w:bCs/>
          <w:sz w:val="21"/>
          <w:szCs w:val="21"/>
        </w:rPr>
        <w:t>]</w:t>
      </w:r>
      <w:r w:rsidR="00F1561E" w:rsidRPr="003433D8">
        <w:rPr>
          <w:rFonts w:ascii="Tahoma" w:hAnsi="Tahoma" w:cs="Tahoma"/>
          <w:bCs/>
          <w:sz w:val="21"/>
          <w:szCs w:val="21"/>
        </w:rPr>
        <w:t xml:space="preserve"> </w:t>
      </w:r>
    </w:p>
    <w:p w14:paraId="4D0D79CA" w14:textId="77777777" w:rsidR="00F1561E" w:rsidRPr="003433D8" w:rsidRDefault="00F1561E" w:rsidP="003433D8">
      <w:pPr>
        <w:pStyle w:val="Default"/>
        <w:widowControl w:val="0"/>
        <w:spacing w:line="300" w:lineRule="exact"/>
        <w:rPr>
          <w:rFonts w:ascii="Tahoma" w:hAnsi="Tahoma" w:cs="Tahoma"/>
          <w:bCs/>
          <w:sz w:val="21"/>
          <w:szCs w:val="21"/>
        </w:rPr>
      </w:pPr>
    </w:p>
    <w:p w14:paraId="1AE36DA1" w14:textId="77777777" w:rsidR="00F1561E" w:rsidRPr="003433D8" w:rsidRDefault="00F1561E" w:rsidP="003433D8">
      <w:pPr>
        <w:pStyle w:val="Default"/>
        <w:widowControl w:val="0"/>
        <w:spacing w:line="300" w:lineRule="exact"/>
        <w:rPr>
          <w:rFonts w:ascii="Tahoma" w:hAnsi="Tahoma" w:cs="Tahoma"/>
          <w:b/>
          <w:sz w:val="21"/>
          <w:szCs w:val="21"/>
        </w:rPr>
      </w:pPr>
      <w:r w:rsidRPr="003433D8">
        <w:rPr>
          <w:rFonts w:ascii="Tahoma" w:hAnsi="Tahoma" w:cs="Tahoma"/>
          <w:b/>
          <w:sz w:val="21"/>
          <w:szCs w:val="21"/>
        </w:rPr>
        <w:t>TESTEMUNHAS:</w:t>
      </w:r>
    </w:p>
    <w:p w14:paraId="46880223" w14:textId="77777777" w:rsidR="00AC17AA" w:rsidRPr="003433D8" w:rsidRDefault="00AC17AA" w:rsidP="003433D8">
      <w:pPr>
        <w:pStyle w:val="Default"/>
        <w:widowControl w:val="0"/>
        <w:spacing w:line="300" w:lineRule="exact"/>
        <w:rPr>
          <w:rFonts w:ascii="Tahoma" w:hAnsi="Tahoma" w:cs="Tahoma"/>
          <w:b/>
          <w:sz w:val="21"/>
          <w:szCs w:val="21"/>
        </w:rPr>
      </w:pPr>
    </w:p>
    <w:p w14:paraId="3D27BCBD" w14:textId="1F9A8AA8" w:rsidR="00F1561E" w:rsidRPr="003433D8" w:rsidRDefault="00F1561E" w:rsidP="003433D8">
      <w:pPr>
        <w:pStyle w:val="Default"/>
        <w:widowControl w:val="0"/>
        <w:spacing w:line="300" w:lineRule="exact"/>
        <w:rPr>
          <w:rFonts w:ascii="Tahoma" w:hAnsi="Tahoma" w:cs="Tahoma"/>
          <w:bCs/>
          <w:sz w:val="21"/>
          <w:szCs w:val="21"/>
        </w:rPr>
      </w:pPr>
      <w:r w:rsidRPr="003433D8">
        <w:rPr>
          <w:rFonts w:ascii="Tahoma" w:hAnsi="Tahoma" w:cs="Tahoma"/>
          <w:bCs/>
          <w:sz w:val="21"/>
          <w:szCs w:val="21"/>
        </w:rPr>
        <w:t xml:space="preserve">_____________________________     </w:t>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__________________________________</w:t>
      </w:r>
    </w:p>
    <w:p w14:paraId="38806F35" w14:textId="69565375" w:rsidR="00F1561E" w:rsidRPr="003433D8" w:rsidRDefault="00F1561E" w:rsidP="00AC17AA">
      <w:pPr>
        <w:pStyle w:val="Default"/>
        <w:widowControl w:val="0"/>
        <w:spacing w:line="300" w:lineRule="exact"/>
        <w:ind w:right="680"/>
        <w:rPr>
          <w:rFonts w:ascii="Tahoma" w:hAnsi="Tahoma" w:cs="Tahoma"/>
          <w:bCs/>
          <w:sz w:val="21"/>
          <w:szCs w:val="21"/>
        </w:rPr>
      </w:pPr>
      <w:r w:rsidRPr="003433D8">
        <w:rPr>
          <w:rFonts w:ascii="Tahoma" w:hAnsi="Tahoma" w:cs="Tahoma"/>
          <w:bCs/>
          <w:sz w:val="21"/>
          <w:szCs w:val="21"/>
        </w:rPr>
        <w:t xml:space="preserve">Nome:    </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Nome:</w:t>
      </w:r>
      <w:r w:rsidRPr="003433D8">
        <w:rPr>
          <w:rFonts w:ascii="Tahoma" w:hAnsi="Tahoma" w:cs="Tahoma"/>
          <w:bCs/>
          <w:sz w:val="21"/>
          <w:szCs w:val="21"/>
        </w:rPr>
        <w:tab/>
        <w:t xml:space="preserve">           </w:t>
      </w:r>
    </w:p>
    <w:p w14:paraId="32372836" w14:textId="7C267127" w:rsidR="00F1561E" w:rsidRDefault="00F1561E" w:rsidP="00AC17AA">
      <w:pPr>
        <w:pStyle w:val="Default"/>
        <w:widowControl w:val="0"/>
        <w:spacing w:line="300" w:lineRule="exact"/>
        <w:rPr>
          <w:rFonts w:ascii="Tahoma" w:hAnsi="Tahoma" w:cs="Tahoma"/>
          <w:bCs/>
          <w:sz w:val="21"/>
          <w:szCs w:val="21"/>
        </w:rPr>
      </w:pPr>
      <w:r w:rsidRPr="003433D8">
        <w:rPr>
          <w:rFonts w:ascii="Tahoma" w:hAnsi="Tahoma" w:cs="Tahoma"/>
          <w:bCs/>
          <w:sz w:val="21"/>
          <w:szCs w:val="21"/>
        </w:rPr>
        <w:t>CPF:</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CPF:</w:t>
      </w:r>
      <w:r w:rsidRPr="003433D8">
        <w:rPr>
          <w:rFonts w:ascii="Tahoma" w:hAnsi="Tahoma" w:cs="Tahoma"/>
          <w:bCs/>
          <w:sz w:val="21"/>
          <w:szCs w:val="21"/>
        </w:rPr>
        <w:tab/>
      </w:r>
    </w:p>
    <w:p w14:paraId="69CFE0B9" w14:textId="66ED0746" w:rsidR="001A7007" w:rsidRDefault="001A7007" w:rsidP="00AC17AA">
      <w:pPr>
        <w:pStyle w:val="Default"/>
        <w:widowControl w:val="0"/>
        <w:spacing w:line="300" w:lineRule="exact"/>
        <w:rPr>
          <w:rFonts w:ascii="Tahoma" w:hAnsi="Tahoma" w:cs="Tahoma"/>
          <w:bCs/>
          <w:sz w:val="21"/>
          <w:szCs w:val="21"/>
        </w:rPr>
      </w:pPr>
    </w:p>
    <w:p w14:paraId="2E3D021D" w14:textId="7586EBC6" w:rsidR="001A7007" w:rsidRDefault="001A7007" w:rsidP="00AC17AA">
      <w:pPr>
        <w:pStyle w:val="Default"/>
        <w:widowControl w:val="0"/>
        <w:spacing w:line="300" w:lineRule="exact"/>
        <w:rPr>
          <w:rFonts w:ascii="Tahoma" w:hAnsi="Tahoma" w:cs="Tahoma"/>
          <w:bCs/>
          <w:sz w:val="21"/>
          <w:szCs w:val="21"/>
        </w:rPr>
      </w:pPr>
    </w:p>
    <w:p w14:paraId="540FF195" w14:textId="02B3B547" w:rsidR="001A7007" w:rsidRDefault="001A7007" w:rsidP="00AC17AA">
      <w:pPr>
        <w:pStyle w:val="Default"/>
        <w:widowControl w:val="0"/>
        <w:spacing w:line="300" w:lineRule="exact"/>
        <w:rPr>
          <w:rFonts w:ascii="Tahoma" w:hAnsi="Tahoma" w:cs="Tahoma"/>
          <w:bCs/>
          <w:sz w:val="21"/>
          <w:szCs w:val="21"/>
        </w:rPr>
      </w:pPr>
    </w:p>
    <w:p w14:paraId="433E1798" w14:textId="401C01E8" w:rsidR="001A7007" w:rsidRDefault="001A7007" w:rsidP="00AC17AA">
      <w:pPr>
        <w:pStyle w:val="Default"/>
        <w:widowControl w:val="0"/>
        <w:spacing w:line="300" w:lineRule="exact"/>
        <w:rPr>
          <w:rFonts w:ascii="Tahoma" w:hAnsi="Tahoma" w:cs="Tahoma"/>
          <w:bCs/>
          <w:sz w:val="21"/>
          <w:szCs w:val="21"/>
        </w:rPr>
      </w:pPr>
    </w:p>
    <w:p w14:paraId="0D81EA0A" w14:textId="4BFC436B" w:rsidR="001A7007" w:rsidRDefault="001A7007" w:rsidP="00AC17AA">
      <w:pPr>
        <w:pStyle w:val="Default"/>
        <w:widowControl w:val="0"/>
        <w:spacing w:line="300" w:lineRule="exact"/>
        <w:rPr>
          <w:rFonts w:ascii="Tahoma" w:hAnsi="Tahoma" w:cs="Tahoma"/>
          <w:bCs/>
          <w:sz w:val="21"/>
          <w:szCs w:val="21"/>
        </w:rPr>
      </w:pPr>
    </w:p>
    <w:p w14:paraId="27B34C25" w14:textId="247CECFA" w:rsidR="001A7007" w:rsidRDefault="001A7007" w:rsidP="00AC17AA">
      <w:pPr>
        <w:pStyle w:val="Default"/>
        <w:widowControl w:val="0"/>
        <w:spacing w:line="300" w:lineRule="exact"/>
        <w:rPr>
          <w:rFonts w:ascii="Tahoma" w:hAnsi="Tahoma" w:cs="Tahoma"/>
          <w:bCs/>
          <w:sz w:val="21"/>
          <w:szCs w:val="21"/>
        </w:rPr>
      </w:pPr>
    </w:p>
    <w:p w14:paraId="679BFBE0" w14:textId="661A9E09" w:rsidR="001A7007" w:rsidRDefault="001A7007" w:rsidP="00AC17AA">
      <w:pPr>
        <w:pStyle w:val="Default"/>
        <w:widowControl w:val="0"/>
        <w:spacing w:line="300" w:lineRule="exact"/>
        <w:rPr>
          <w:rFonts w:ascii="Tahoma" w:hAnsi="Tahoma" w:cs="Tahoma"/>
          <w:bCs/>
          <w:sz w:val="21"/>
          <w:szCs w:val="21"/>
        </w:rPr>
      </w:pPr>
    </w:p>
    <w:p w14:paraId="262D9B0F" w14:textId="3EA2557B" w:rsidR="001A7007" w:rsidRDefault="001A7007" w:rsidP="00AC17AA">
      <w:pPr>
        <w:pStyle w:val="Default"/>
        <w:widowControl w:val="0"/>
        <w:spacing w:line="300" w:lineRule="exact"/>
        <w:rPr>
          <w:rFonts w:ascii="Tahoma" w:hAnsi="Tahoma" w:cs="Tahoma"/>
          <w:bCs/>
          <w:sz w:val="21"/>
          <w:szCs w:val="21"/>
        </w:rPr>
      </w:pPr>
    </w:p>
    <w:p w14:paraId="74B63103" w14:textId="0C833E6C" w:rsidR="001A7007" w:rsidRDefault="001A7007" w:rsidP="00AC17AA">
      <w:pPr>
        <w:pStyle w:val="Default"/>
        <w:widowControl w:val="0"/>
        <w:spacing w:line="300" w:lineRule="exact"/>
        <w:rPr>
          <w:rFonts w:ascii="Tahoma" w:hAnsi="Tahoma" w:cs="Tahoma"/>
          <w:bCs/>
          <w:sz w:val="21"/>
          <w:szCs w:val="21"/>
        </w:rPr>
      </w:pPr>
    </w:p>
    <w:p w14:paraId="21FE724E" w14:textId="3973CF3C" w:rsidR="001A7007" w:rsidRDefault="001A7007" w:rsidP="00AC17AA">
      <w:pPr>
        <w:pStyle w:val="Default"/>
        <w:widowControl w:val="0"/>
        <w:spacing w:line="300" w:lineRule="exact"/>
        <w:rPr>
          <w:rFonts w:ascii="Tahoma" w:hAnsi="Tahoma" w:cs="Tahoma"/>
          <w:bCs/>
          <w:sz w:val="21"/>
          <w:szCs w:val="21"/>
        </w:rPr>
      </w:pPr>
    </w:p>
    <w:p w14:paraId="2AE213C7" w14:textId="3E1D911C" w:rsidR="001A7007" w:rsidRDefault="001A7007" w:rsidP="00AC17AA">
      <w:pPr>
        <w:pStyle w:val="Default"/>
        <w:widowControl w:val="0"/>
        <w:spacing w:line="300" w:lineRule="exact"/>
        <w:rPr>
          <w:rFonts w:ascii="Tahoma" w:hAnsi="Tahoma" w:cs="Tahoma"/>
          <w:bCs/>
          <w:sz w:val="21"/>
          <w:szCs w:val="21"/>
        </w:rPr>
      </w:pPr>
    </w:p>
    <w:p w14:paraId="0F54B485" w14:textId="3F9E0186" w:rsidR="001A7007" w:rsidRDefault="001A7007" w:rsidP="00AC17AA">
      <w:pPr>
        <w:pStyle w:val="Default"/>
        <w:widowControl w:val="0"/>
        <w:spacing w:line="300" w:lineRule="exact"/>
        <w:rPr>
          <w:rFonts w:ascii="Tahoma" w:hAnsi="Tahoma" w:cs="Tahoma"/>
          <w:bCs/>
          <w:sz w:val="21"/>
          <w:szCs w:val="21"/>
        </w:rPr>
      </w:pPr>
    </w:p>
    <w:p w14:paraId="73A87C7D" w14:textId="1739457F" w:rsidR="001A7007" w:rsidRPr="003433D8" w:rsidRDefault="001A7007" w:rsidP="00AC17AA">
      <w:pPr>
        <w:pStyle w:val="Default"/>
        <w:widowControl w:val="0"/>
        <w:spacing w:line="300" w:lineRule="exact"/>
        <w:rPr>
          <w:rFonts w:ascii="Tahoma" w:hAnsi="Tahoma" w:cs="Tahoma"/>
          <w:bCs/>
          <w:sz w:val="21"/>
          <w:szCs w:val="21"/>
        </w:rPr>
      </w:pPr>
    </w:p>
    <w:sectPr w:rsidR="001A7007" w:rsidRPr="003433D8" w:rsidSect="00AC17AA">
      <w:footerReference w:type="default" r:id="rId11"/>
      <w:type w:val="continuous"/>
      <w:pgSz w:w="11910" w:h="16850"/>
      <w:pgMar w:top="1418" w:right="1137" w:bottom="1134" w:left="1276" w:header="176" w:footer="2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48EC" w14:textId="77777777" w:rsidR="00E51A0D" w:rsidRDefault="00E51A0D">
      <w:r>
        <w:separator/>
      </w:r>
    </w:p>
  </w:endnote>
  <w:endnote w:type="continuationSeparator" w:id="0">
    <w:p w14:paraId="32794037" w14:textId="77777777" w:rsidR="00E51A0D" w:rsidRDefault="00E5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62257506"/>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08A7E7E7" w14:textId="1ECB1CAC" w:rsidR="00AC17AA" w:rsidRPr="00AC17AA" w:rsidRDefault="00AC17AA">
            <w:pPr>
              <w:pStyle w:val="Rodap"/>
              <w:jc w:val="center"/>
              <w:rPr>
                <w:rFonts w:ascii="Tahoma" w:hAnsi="Tahoma" w:cs="Tahoma"/>
                <w:sz w:val="18"/>
                <w:szCs w:val="18"/>
              </w:rPr>
            </w:pPr>
            <w:r w:rsidRPr="00AC17AA">
              <w:rPr>
                <w:rFonts w:ascii="Tahoma" w:hAnsi="Tahoma" w:cs="Tahoma"/>
                <w:sz w:val="18"/>
                <w:szCs w:val="18"/>
                <w:lang w:val="pt-BR"/>
              </w:rPr>
              <w:t xml:space="preserve">Página </w:t>
            </w:r>
            <w:r w:rsidRPr="00AC17AA">
              <w:rPr>
                <w:rFonts w:ascii="Tahoma" w:hAnsi="Tahoma" w:cs="Tahoma"/>
                <w:b/>
                <w:bCs/>
                <w:sz w:val="18"/>
                <w:szCs w:val="18"/>
              </w:rPr>
              <w:fldChar w:fldCharType="begin"/>
            </w:r>
            <w:r w:rsidRPr="00AC17AA">
              <w:rPr>
                <w:rFonts w:ascii="Tahoma" w:hAnsi="Tahoma" w:cs="Tahoma"/>
                <w:b/>
                <w:bCs/>
                <w:sz w:val="18"/>
                <w:szCs w:val="18"/>
              </w:rPr>
              <w:instrText>PAGE</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r w:rsidRPr="00AC17AA">
              <w:rPr>
                <w:rFonts w:ascii="Tahoma" w:hAnsi="Tahoma" w:cs="Tahoma"/>
                <w:sz w:val="18"/>
                <w:szCs w:val="18"/>
                <w:lang w:val="pt-BR"/>
              </w:rPr>
              <w:t xml:space="preserve"> de </w:t>
            </w:r>
            <w:r w:rsidRPr="00AC17AA">
              <w:rPr>
                <w:rFonts w:ascii="Tahoma" w:hAnsi="Tahoma" w:cs="Tahoma"/>
                <w:b/>
                <w:bCs/>
                <w:sz w:val="18"/>
                <w:szCs w:val="18"/>
              </w:rPr>
              <w:fldChar w:fldCharType="begin"/>
            </w:r>
            <w:r w:rsidRPr="00AC17AA">
              <w:rPr>
                <w:rFonts w:ascii="Tahoma" w:hAnsi="Tahoma" w:cs="Tahoma"/>
                <w:b/>
                <w:bCs/>
                <w:sz w:val="18"/>
                <w:szCs w:val="18"/>
              </w:rPr>
              <w:instrText>NUMPAGES</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p>
        </w:sdtContent>
      </w:sdt>
    </w:sdtContent>
  </w:sdt>
  <w:p w14:paraId="70DF9C4C" w14:textId="77777777" w:rsidR="00AC17AA" w:rsidRDefault="00AC1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0701" w14:textId="77777777" w:rsidR="00E51A0D" w:rsidRDefault="00E51A0D">
      <w:r>
        <w:separator/>
      </w:r>
    </w:p>
  </w:footnote>
  <w:footnote w:type="continuationSeparator" w:id="0">
    <w:p w14:paraId="386FF406" w14:textId="77777777" w:rsidR="00E51A0D" w:rsidRDefault="00E51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488"/>
    <w:multiLevelType w:val="hybridMultilevel"/>
    <w:tmpl w:val="7A58F9B0"/>
    <w:lvl w:ilvl="0" w:tplc="91EA4FB6">
      <w:start w:val="1"/>
      <w:numFmt w:val="upperRoman"/>
      <w:lvlText w:val="%1"/>
      <w:lvlJc w:val="left"/>
      <w:pPr>
        <w:ind w:left="280" w:hanging="154"/>
      </w:pPr>
      <w:rPr>
        <w:rFonts w:ascii="Times New Roman" w:eastAsia="Times New Roman" w:hAnsi="Times New Roman" w:cs="Times New Roman" w:hint="default"/>
        <w:b/>
        <w:bCs/>
        <w:w w:val="99"/>
        <w:sz w:val="24"/>
        <w:szCs w:val="24"/>
        <w:lang w:val="pt-PT" w:eastAsia="en-US" w:bidi="ar-SA"/>
      </w:rPr>
    </w:lvl>
    <w:lvl w:ilvl="1" w:tplc="6FF8F540">
      <w:numFmt w:val="bullet"/>
      <w:lvlText w:val="•"/>
      <w:lvlJc w:val="left"/>
      <w:pPr>
        <w:ind w:left="1290" w:hanging="154"/>
      </w:pPr>
      <w:rPr>
        <w:rFonts w:hint="default"/>
        <w:lang w:val="pt-PT" w:eastAsia="en-US" w:bidi="ar-SA"/>
      </w:rPr>
    </w:lvl>
    <w:lvl w:ilvl="2" w:tplc="50F8C732">
      <w:numFmt w:val="bullet"/>
      <w:lvlText w:val="•"/>
      <w:lvlJc w:val="left"/>
      <w:pPr>
        <w:ind w:left="2301" w:hanging="154"/>
      </w:pPr>
      <w:rPr>
        <w:rFonts w:hint="default"/>
        <w:lang w:val="pt-PT" w:eastAsia="en-US" w:bidi="ar-SA"/>
      </w:rPr>
    </w:lvl>
    <w:lvl w:ilvl="3" w:tplc="54CEBFA8">
      <w:numFmt w:val="bullet"/>
      <w:lvlText w:val="•"/>
      <w:lvlJc w:val="left"/>
      <w:pPr>
        <w:ind w:left="3311" w:hanging="154"/>
      </w:pPr>
      <w:rPr>
        <w:rFonts w:hint="default"/>
        <w:lang w:val="pt-PT" w:eastAsia="en-US" w:bidi="ar-SA"/>
      </w:rPr>
    </w:lvl>
    <w:lvl w:ilvl="4" w:tplc="0E90EFCE">
      <w:numFmt w:val="bullet"/>
      <w:lvlText w:val="•"/>
      <w:lvlJc w:val="left"/>
      <w:pPr>
        <w:ind w:left="4322" w:hanging="154"/>
      </w:pPr>
      <w:rPr>
        <w:rFonts w:hint="default"/>
        <w:lang w:val="pt-PT" w:eastAsia="en-US" w:bidi="ar-SA"/>
      </w:rPr>
    </w:lvl>
    <w:lvl w:ilvl="5" w:tplc="5654511A">
      <w:numFmt w:val="bullet"/>
      <w:lvlText w:val="•"/>
      <w:lvlJc w:val="left"/>
      <w:pPr>
        <w:ind w:left="5333" w:hanging="154"/>
      </w:pPr>
      <w:rPr>
        <w:rFonts w:hint="default"/>
        <w:lang w:val="pt-PT" w:eastAsia="en-US" w:bidi="ar-SA"/>
      </w:rPr>
    </w:lvl>
    <w:lvl w:ilvl="6" w:tplc="A28C8590">
      <w:numFmt w:val="bullet"/>
      <w:lvlText w:val="•"/>
      <w:lvlJc w:val="left"/>
      <w:pPr>
        <w:ind w:left="6343" w:hanging="154"/>
      </w:pPr>
      <w:rPr>
        <w:rFonts w:hint="default"/>
        <w:lang w:val="pt-PT" w:eastAsia="en-US" w:bidi="ar-SA"/>
      </w:rPr>
    </w:lvl>
    <w:lvl w:ilvl="7" w:tplc="5DF4F51C">
      <w:numFmt w:val="bullet"/>
      <w:lvlText w:val="•"/>
      <w:lvlJc w:val="left"/>
      <w:pPr>
        <w:ind w:left="7354" w:hanging="154"/>
      </w:pPr>
      <w:rPr>
        <w:rFonts w:hint="default"/>
        <w:lang w:val="pt-PT" w:eastAsia="en-US" w:bidi="ar-SA"/>
      </w:rPr>
    </w:lvl>
    <w:lvl w:ilvl="8" w:tplc="FB70A396">
      <w:numFmt w:val="bullet"/>
      <w:lvlText w:val="•"/>
      <w:lvlJc w:val="left"/>
      <w:pPr>
        <w:ind w:left="8365" w:hanging="154"/>
      </w:pPr>
      <w:rPr>
        <w:rFonts w:hint="default"/>
        <w:lang w:val="pt-PT" w:eastAsia="en-US" w:bidi="ar-SA"/>
      </w:rPr>
    </w:lvl>
  </w:abstractNum>
  <w:abstractNum w:abstractNumId="1" w15:restartNumberingAfterBreak="0">
    <w:nsid w:val="0E1576E9"/>
    <w:multiLevelType w:val="hybridMultilevel"/>
    <w:tmpl w:val="5FF6EDBC"/>
    <w:lvl w:ilvl="0" w:tplc="F3021D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D83058"/>
    <w:multiLevelType w:val="hybridMultilevel"/>
    <w:tmpl w:val="C11A759C"/>
    <w:lvl w:ilvl="0" w:tplc="77C2AFA0">
      <w:start w:val="1"/>
      <w:numFmt w:val="lowerRoman"/>
      <w:lvlText w:val="(%1)"/>
      <w:lvlJc w:val="left"/>
      <w:pPr>
        <w:ind w:left="1149" w:hanging="720"/>
      </w:pPr>
      <w:rPr>
        <w:rFonts w:ascii="Times New Roman" w:eastAsia="Times New Roman" w:hAnsi="Times New Roman" w:cs="Times New Roman" w:hint="default"/>
        <w:w w:val="99"/>
        <w:sz w:val="24"/>
        <w:szCs w:val="24"/>
        <w:lang w:val="pt-PT" w:eastAsia="en-US" w:bidi="ar-SA"/>
      </w:rPr>
    </w:lvl>
    <w:lvl w:ilvl="1" w:tplc="1CDEDB46">
      <w:numFmt w:val="bullet"/>
      <w:lvlText w:val="•"/>
      <w:lvlJc w:val="left"/>
      <w:pPr>
        <w:ind w:left="2033" w:hanging="720"/>
      </w:pPr>
      <w:rPr>
        <w:rFonts w:hint="default"/>
        <w:lang w:val="pt-PT" w:eastAsia="en-US" w:bidi="ar-SA"/>
      </w:rPr>
    </w:lvl>
    <w:lvl w:ilvl="2" w:tplc="A1585ED8">
      <w:numFmt w:val="bullet"/>
      <w:lvlText w:val="•"/>
      <w:lvlJc w:val="left"/>
      <w:pPr>
        <w:ind w:left="2927" w:hanging="720"/>
      </w:pPr>
      <w:rPr>
        <w:rFonts w:hint="default"/>
        <w:lang w:val="pt-PT" w:eastAsia="en-US" w:bidi="ar-SA"/>
      </w:rPr>
    </w:lvl>
    <w:lvl w:ilvl="3" w:tplc="F6026D5C">
      <w:numFmt w:val="bullet"/>
      <w:lvlText w:val="•"/>
      <w:lvlJc w:val="left"/>
      <w:pPr>
        <w:ind w:left="3820" w:hanging="720"/>
      </w:pPr>
      <w:rPr>
        <w:rFonts w:hint="default"/>
        <w:lang w:val="pt-PT" w:eastAsia="en-US" w:bidi="ar-SA"/>
      </w:rPr>
    </w:lvl>
    <w:lvl w:ilvl="4" w:tplc="F4E47E40">
      <w:numFmt w:val="bullet"/>
      <w:lvlText w:val="•"/>
      <w:lvlJc w:val="left"/>
      <w:pPr>
        <w:ind w:left="4714" w:hanging="720"/>
      </w:pPr>
      <w:rPr>
        <w:rFonts w:hint="default"/>
        <w:lang w:val="pt-PT" w:eastAsia="en-US" w:bidi="ar-SA"/>
      </w:rPr>
    </w:lvl>
    <w:lvl w:ilvl="5" w:tplc="EEB887EA">
      <w:numFmt w:val="bullet"/>
      <w:lvlText w:val="•"/>
      <w:lvlJc w:val="left"/>
      <w:pPr>
        <w:ind w:left="5608" w:hanging="720"/>
      </w:pPr>
      <w:rPr>
        <w:rFonts w:hint="default"/>
        <w:lang w:val="pt-PT" w:eastAsia="en-US" w:bidi="ar-SA"/>
      </w:rPr>
    </w:lvl>
    <w:lvl w:ilvl="6" w:tplc="9B744A60">
      <w:numFmt w:val="bullet"/>
      <w:lvlText w:val="•"/>
      <w:lvlJc w:val="left"/>
      <w:pPr>
        <w:ind w:left="6501" w:hanging="720"/>
      </w:pPr>
      <w:rPr>
        <w:rFonts w:hint="default"/>
        <w:lang w:val="pt-PT" w:eastAsia="en-US" w:bidi="ar-SA"/>
      </w:rPr>
    </w:lvl>
    <w:lvl w:ilvl="7" w:tplc="B3A65B6C">
      <w:numFmt w:val="bullet"/>
      <w:lvlText w:val="•"/>
      <w:lvlJc w:val="left"/>
      <w:pPr>
        <w:ind w:left="7395" w:hanging="720"/>
      </w:pPr>
      <w:rPr>
        <w:rFonts w:hint="default"/>
        <w:lang w:val="pt-PT" w:eastAsia="en-US" w:bidi="ar-SA"/>
      </w:rPr>
    </w:lvl>
    <w:lvl w:ilvl="8" w:tplc="A2308EAC">
      <w:numFmt w:val="bullet"/>
      <w:lvlText w:val="•"/>
      <w:lvlJc w:val="left"/>
      <w:pPr>
        <w:ind w:left="8288" w:hanging="720"/>
      </w:pPr>
      <w:rPr>
        <w:rFonts w:hint="default"/>
        <w:lang w:val="pt-PT" w:eastAsia="en-US" w:bidi="ar-SA"/>
      </w:rPr>
    </w:lvl>
  </w:abstractNum>
  <w:abstractNum w:abstractNumId="3" w15:restartNumberingAfterBreak="0">
    <w:nsid w:val="2C730124"/>
    <w:multiLevelType w:val="multilevel"/>
    <w:tmpl w:val="BF7A5BC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836249D"/>
    <w:multiLevelType w:val="hybridMultilevel"/>
    <w:tmpl w:val="C77A1F92"/>
    <w:lvl w:ilvl="0" w:tplc="91307088">
      <w:start w:val="1"/>
      <w:numFmt w:val="lowerRoman"/>
      <w:lvlText w:val="(%1)"/>
      <w:lvlJc w:val="left"/>
      <w:pPr>
        <w:ind w:left="835" w:hanging="721"/>
      </w:pPr>
      <w:rPr>
        <w:rFonts w:ascii="Times New Roman" w:eastAsia="Times New Roman" w:hAnsi="Times New Roman" w:cs="Times New Roman" w:hint="default"/>
        <w:w w:val="99"/>
        <w:sz w:val="24"/>
        <w:szCs w:val="24"/>
        <w:lang w:val="pt-PT" w:eastAsia="en-US" w:bidi="ar-SA"/>
      </w:rPr>
    </w:lvl>
    <w:lvl w:ilvl="1" w:tplc="7BB428D0">
      <w:numFmt w:val="bullet"/>
      <w:lvlText w:val="•"/>
      <w:lvlJc w:val="left"/>
      <w:pPr>
        <w:ind w:left="1794" w:hanging="721"/>
      </w:pPr>
      <w:rPr>
        <w:rFonts w:hint="default"/>
        <w:lang w:val="pt-PT" w:eastAsia="en-US" w:bidi="ar-SA"/>
      </w:rPr>
    </w:lvl>
    <w:lvl w:ilvl="2" w:tplc="2848BCDC">
      <w:numFmt w:val="bullet"/>
      <w:lvlText w:val="•"/>
      <w:lvlJc w:val="left"/>
      <w:pPr>
        <w:ind w:left="2749" w:hanging="721"/>
      </w:pPr>
      <w:rPr>
        <w:rFonts w:hint="default"/>
        <w:lang w:val="pt-PT" w:eastAsia="en-US" w:bidi="ar-SA"/>
      </w:rPr>
    </w:lvl>
    <w:lvl w:ilvl="3" w:tplc="F300E7BA">
      <w:numFmt w:val="bullet"/>
      <w:lvlText w:val="•"/>
      <w:lvlJc w:val="left"/>
      <w:pPr>
        <w:ind w:left="3703" w:hanging="721"/>
      </w:pPr>
      <w:rPr>
        <w:rFonts w:hint="default"/>
        <w:lang w:val="pt-PT" w:eastAsia="en-US" w:bidi="ar-SA"/>
      </w:rPr>
    </w:lvl>
    <w:lvl w:ilvl="4" w:tplc="47C4AD5C">
      <w:numFmt w:val="bullet"/>
      <w:lvlText w:val="•"/>
      <w:lvlJc w:val="left"/>
      <w:pPr>
        <w:ind w:left="4658" w:hanging="721"/>
      </w:pPr>
      <w:rPr>
        <w:rFonts w:hint="default"/>
        <w:lang w:val="pt-PT" w:eastAsia="en-US" w:bidi="ar-SA"/>
      </w:rPr>
    </w:lvl>
    <w:lvl w:ilvl="5" w:tplc="179C279E">
      <w:numFmt w:val="bullet"/>
      <w:lvlText w:val="•"/>
      <w:lvlJc w:val="left"/>
      <w:pPr>
        <w:ind w:left="5613" w:hanging="721"/>
      </w:pPr>
      <w:rPr>
        <w:rFonts w:hint="default"/>
        <w:lang w:val="pt-PT" w:eastAsia="en-US" w:bidi="ar-SA"/>
      </w:rPr>
    </w:lvl>
    <w:lvl w:ilvl="6" w:tplc="3DA2DEEE">
      <w:numFmt w:val="bullet"/>
      <w:lvlText w:val="•"/>
      <w:lvlJc w:val="left"/>
      <w:pPr>
        <w:ind w:left="6567" w:hanging="721"/>
      </w:pPr>
      <w:rPr>
        <w:rFonts w:hint="default"/>
        <w:lang w:val="pt-PT" w:eastAsia="en-US" w:bidi="ar-SA"/>
      </w:rPr>
    </w:lvl>
    <w:lvl w:ilvl="7" w:tplc="0ED679BA">
      <w:numFmt w:val="bullet"/>
      <w:lvlText w:val="•"/>
      <w:lvlJc w:val="left"/>
      <w:pPr>
        <w:ind w:left="7522" w:hanging="721"/>
      </w:pPr>
      <w:rPr>
        <w:rFonts w:hint="default"/>
        <w:lang w:val="pt-PT" w:eastAsia="en-US" w:bidi="ar-SA"/>
      </w:rPr>
    </w:lvl>
    <w:lvl w:ilvl="8" w:tplc="36C6A9B8">
      <w:numFmt w:val="bullet"/>
      <w:lvlText w:val="•"/>
      <w:lvlJc w:val="left"/>
      <w:pPr>
        <w:ind w:left="8477" w:hanging="721"/>
      </w:pPr>
      <w:rPr>
        <w:rFonts w:hint="default"/>
        <w:lang w:val="pt-PT" w:eastAsia="en-US" w:bidi="ar-SA"/>
      </w:rPr>
    </w:lvl>
  </w:abstractNum>
  <w:abstractNum w:abstractNumId="5" w15:restartNumberingAfterBreak="0">
    <w:nsid w:val="3F7F1E4D"/>
    <w:multiLevelType w:val="hybridMultilevel"/>
    <w:tmpl w:val="36D87066"/>
    <w:lvl w:ilvl="0" w:tplc="5E9C1E14">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49A8FF22">
      <w:numFmt w:val="bullet"/>
      <w:lvlText w:val="•"/>
      <w:lvlJc w:val="left"/>
      <w:pPr>
        <w:ind w:left="1794" w:hanging="709"/>
      </w:pPr>
      <w:rPr>
        <w:rFonts w:hint="default"/>
        <w:lang w:val="pt-PT" w:eastAsia="en-US" w:bidi="ar-SA"/>
      </w:rPr>
    </w:lvl>
    <w:lvl w:ilvl="2" w:tplc="4D5E8F46">
      <w:numFmt w:val="bullet"/>
      <w:lvlText w:val="•"/>
      <w:lvlJc w:val="left"/>
      <w:pPr>
        <w:ind w:left="2749" w:hanging="709"/>
      </w:pPr>
      <w:rPr>
        <w:rFonts w:hint="default"/>
        <w:lang w:val="pt-PT" w:eastAsia="en-US" w:bidi="ar-SA"/>
      </w:rPr>
    </w:lvl>
    <w:lvl w:ilvl="3" w:tplc="F24CFEAA">
      <w:numFmt w:val="bullet"/>
      <w:lvlText w:val="•"/>
      <w:lvlJc w:val="left"/>
      <w:pPr>
        <w:ind w:left="3703" w:hanging="709"/>
      </w:pPr>
      <w:rPr>
        <w:rFonts w:hint="default"/>
        <w:lang w:val="pt-PT" w:eastAsia="en-US" w:bidi="ar-SA"/>
      </w:rPr>
    </w:lvl>
    <w:lvl w:ilvl="4" w:tplc="573C186A">
      <w:numFmt w:val="bullet"/>
      <w:lvlText w:val="•"/>
      <w:lvlJc w:val="left"/>
      <w:pPr>
        <w:ind w:left="4658" w:hanging="709"/>
      </w:pPr>
      <w:rPr>
        <w:rFonts w:hint="default"/>
        <w:lang w:val="pt-PT" w:eastAsia="en-US" w:bidi="ar-SA"/>
      </w:rPr>
    </w:lvl>
    <w:lvl w:ilvl="5" w:tplc="15F00304">
      <w:numFmt w:val="bullet"/>
      <w:lvlText w:val="•"/>
      <w:lvlJc w:val="left"/>
      <w:pPr>
        <w:ind w:left="5613" w:hanging="709"/>
      </w:pPr>
      <w:rPr>
        <w:rFonts w:hint="default"/>
        <w:lang w:val="pt-PT" w:eastAsia="en-US" w:bidi="ar-SA"/>
      </w:rPr>
    </w:lvl>
    <w:lvl w:ilvl="6" w:tplc="25685FE8">
      <w:numFmt w:val="bullet"/>
      <w:lvlText w:val="•"/>
      <w:lvlJc w:val="left"/>
      <w:pPr>
        <w:ind w:left="6567" w:hanging="709"/>
      </w:pPr>
      <w:rPr>
        <w:rFonts w:hint="default"/>
        <w:lang w:val="pt-PT" w:eastAsia="en-US" w:bidi="ar-SA"/>
      </w:rPr>
    </w:lvl>
    <w:lvl w:ilvl="7" w:tplc="BC1ACFDC">
      <w:numFmt w:val="bullet"/>
      <w:lvlText w:val="•"/>
      <w:lvlJc w:val="left"/>
      <w:pPr>
        <w:ind w:left="7522" w:hanging="709"/>
      </w:pPr>
      <w:rPr>
        <w:rFonts w:hint="default"/>
        <w:lang w:val="pt-PT" w:eastAsia="en-US" w:bidi="ar-SA"/>
      </w:rPr>
    </w:lvl>
    <w:lvl w:ilvl="8" w:tplc="E09ECECA">
      <w:numFmt w:val="bullet"/>
      <w:lvlText w:val="•"/>
      <w:lvlJc w:val="left"/>
      <w:pPr>
        <w:ind w:left="8477" w:hanging="709"/>
      </w:pPr>
      <w:rPr>
        <w:rFonts w:hint="default"/>
        <w:lang w:val="pt-PT" w:eastAsia="en-US" w:bidi="ar-SA"/>
      </w:rPr>
    </w:lvl>
  </w:abstractNum>
  <w:abstractNum w:abstractNumId="6" w15:restartNumberingAfterBreak="0">
    <w:nsid w:val="432A7055"/>
    <w:multiLevelType w:val="hybridMultilevel"/>
    <w:tmpl w:val="6C8812FA"/>
    <w:lvl w:ilvl="0" w:tplc="4E36F854">
      <w:start w:val="1"/>
      <w:numFmt w:val="lowerRoman"/>
      <w:lvlText w:val="(%1)"/>
      <w:lvlJc w:val="left"/>
      <w:pPr>
        <w:ind w:left="1687" w:hanging="709"/>
      </w:pPr>
      <w:rPr>
        <w:rFonts w:ascii="Times New Roman" w:eastAsia="Times New Roman" w:hAnsi="Times New Roman" w:cs="Times New Roman" w:hint="default"/>
        <w:w w:val="99"/>
        <w:sz w:val="24"/>
        <w:szCs w:val="24"/>
        <w:lang w:val="pt-PT" w:eastAsia="en-US" w:bidi="ar-SA"/>
      </w:rPr>
    </w:lvl>
    <w:lvl w:ilvl="1" w:tplc="3C422836">
      <w:numFmt w:val="bullet"/>
      <w:lvlText w:val="•"/>
      <w:lvlJc w:val="left"/>
      <w:pPr>
        <w:ind w:left="3138" w:hanging="709"/>
      </w:pPr>
      <w:rPr>
        <w:rFonts w:hint="default"/>
        <w:lang w:val="pt-PT" w:eastAsia="en-US" w:bidi="ar-SA"/>
      </w:rPr>
    </w:lvl>
    <w:lvl w:ilvl="2" w:tplc="EB8E2EDE">
      <w:numFmt w:val="bullet"/>
      <w:lvlText w:val="•"/>
      <w:lvlJc w:val="left"/>
      <w:pPr>
        <w:ind w:left="4596" w:hanging="709"/>
      </w:pPr>
      <w:rPr>
        <w:rFonts w:hint="default"/>
        <w:lang w:val="pt-PT" w:eastAsia="en-US" w:bidi="ar-SA"/>
      </w:rPr>
    </w:lvl>
    <w:lvl w:ilvl="3" w:tplc="68EC9D68">
      <w:numFmt w:val="bullet"/>
      <w:lvlText w:val="•"/>
      <w:lvlJc w:val="left"/>
      <w:pPr>
        <w:ind w:left="6054" w:hanging="709"/>
      </w:pPr>
      <w:rPr>
        <w:rFonts w:hint="default"/>
        <w:lang w:val="pt-PT" w:eastAsia="en-US" w:bidi="ar-SA"/>
      </w:rPr>
    </w:lvl>
    <w:lvl w:ilvl="4" w:tplc="202CBBFC">
      <w:numFmt w:val="bullet"/>
      <w:lvlText w:val="•"/>
      <w:lvlJc w:val="left"/>
      <w:pPr>
        <w:ind w:left="7512" w:hanging="709"/>
      </w:pPr>
      <w:rPr>
        <w:rFonts w:hint="default"/>
        <w:lang w:val="pt-PT" w:eastAsia="en-US" w:bidi="ar-SA"/>
      </w:rPr>
    </w:lvl>
    <w:lvl w:ilvl="5" w:tplc="310A92D8">
      <w:numFmt w:val="bullet"/>
      <w:lvlText w:val="•"/>
      <w:lvlJc w:val="left"/>
      <w:pPr>
        <w:ind w:left="8970" w:hanging="709"/>
      </w:pPr>
      <w:rPr>
        <w:rFonts w:hint="default"/>
        <w:lang w:val="pt-PT" w:eastAsia="en-US" w:bidi="ar-SA"/>
      </w:rPr>
    </w:lvl>
    <w:lvl w:ilvl="6" w:tplc="0C1AC5E8">
      <w:numFmt w:val="bullet"/>
      <w:lvlText w:val="•"/>
      <w:lvlJc w:val="left"/>
      <w:pPr>
        <w:ind w:left="10428" w:hanging="709"/>
      </w:pPr>
      <w:rPr>
        <w:rFonts w:hint="default"/>
        <w:lang w:val="pt-PT" w:eastAsia="en-US" w:bidi="ar-SA"/>
      </w:rPr>
    </w:lvl>
    <w:lvl w:ilvl="7" w:tplc="F6744A56">
      <w:numFmt w:val="bullet"/>
      <w:lvlText w:val="•"/>
      <w:lvlJc w:val="left"/>
      <w:pPr>
        <w:ind w:left="11886" w:hanging="709"/>
      </w:pPr>
      <w:rPr>
        <w:rFonts w:hint="default"/>
        <w:lang w:val="pt-PT" w:eastAsia="en-US" w:bidi="ar-SA"/>
      </w:rPr>
    </w:lvl>
    <w:lvl w:ilvl="8" w:tplc="3172714A">
      <w:numFmt w:val="bullet"/>
      <w:lvlText w:val="•"/>
      <w:lvlJc w:val="left"/>
      <w:pPr>
        <w:ind w:left="13344" w:hanging="709"/>
      </w:pPr>
      <w:rPr>
        <w:rFonts w:hint="default"/>
        <w:lang w:val="pt-PT" w:eastAsia="en-US" w:bidi="ar-SA"/>
      </w:rPr>
    </w:lvl>
  </w:abstractNum>
  <w:abstractNum w:abstractNumId="7" w15:restartNumberingAfterBreak="0">
    <w:nsid w:val="43F01810"/>
    <w:multiLevelType w:val="hybridMultilevel"/>
    <w:tmpl w:val="85A6905A"/>
    <w:lvl w:ilvl="0" w:tplc="6E7AB778">
      <w:start w:val="1"/>
      <w:numFmt w:val="lowerRoman"/>
      <w:lvlText w:val="(%1)"/>
      <w:lvlJc w:val="left"/>
      <w:pPr>
        <w:ind w:left="127" w:hanging="287"/>
      </w:pPr>
      <w:rPr>
        <w:rFonts w:ascii="Times New Roman" w:eastAsia="Times New Roman" w:hAnsi="Times New Roman" w:cs="Times New Roman" w:hint="default"/>
        <w:w w:val="99"/>
        <w:sz w:val="24"/>
        <w:szCs w:val="24"/>
        <w:lang w:val="pt-PT" w:eastAsia="en-US" w:bidi="ar-SA"/>
      </w:rPr>
    </w:lvl>
    <w:lvl w:ilvl="1" w:tplc="1CC8A584">
      <w:start w:val="1"/>
      <w:numFmt w:val="lowerRoman"/>
      <w:lvlText w:val="(%2)"/>
      <w:lvlJc w:val="left"/>
      <w:pPr>
        <w:ind w:left="1687" w:hanging="709"/>
      </w:pPr>
      <w:rPr>
        <w:rFonts w:ascii="Times New Roman" w:eastAsia="Times New Roman" w:hAnsi="Times New Roman" w:cs="Times New Roman" w:hint="default"/>
        <w:w w:val="99"/>
        <w:sz w:val="24"/>
        <w:szCs w:val="24"/>
        <w:lang w:val="pt-PT" w:eastAsia="en-US" w:bidi="ar-SA"/>
      </w:rPr>
    </w:lvl>
    <w:lvl w:ilvl="2" w:tplc="67FA6236">
      <w:numFmt w:val="bullet"/>
      <w:lvlText w:val="•"/>
      <w:lvlJc w:val="left"/>
      <w:pPr>
        <w:ind w:left="2647" w:hanging="709"/>
      </w:pPr>
      <w:rPr>
        <w:rFonts w:hint="default"/>
        <w:lang w:val="pt-PT" w:eastAsia="en-US" w:bidi="ar-SA"/>
      </w:rPr>
    </w:lvl>
    <w:lvl w:ilvl="3" w:tplc="468CE154">
      <w:numFmt w:val="bullet"/>
      <w:lvlText w:val="•"/>
      <w:lvlJc w:val="left"/>
      <w:pPr>
        <w:ind w:left="3614" w:hanging="709"/>
      </w:pPr>
      <w:rPr>
        <w:rFonts w:hint="default"/>
        <w:lang w:val="pt-PT" w:eastAsia="en-US" w:bidi="ar-SA"/>
      </w:rPr>
    </w:lvl>
    <w:lvl w:ilvl="4" w:tplc="D576A222">
      <w:numFmt w:val="bullet"/>
      <w:lvlText w:val="•"/>
      <w:lvlJc w:val="left"/>
      <w:pPr>
        <w:ind w:left="4582" w:hanging="709"/>
      </w:pPr>
      <w:rPr>
        <w:rFonts w:hint="default"/>
        <w:lang w:val="pt-PT" w:eastAsia="en-US" w:bidi="ar-SA"/>
      </w:rPr>
    </w:lvl>
    <w:lvl w:ilvl="5" w:tplc="8E4696AC">
      <w:numFmt w:val="bullet"/>
      <w:lvlText w:val="•"/>
      <w:lvlJc w:val="left"/>
      <w:pPr>
        <w:ind w:left="5549" w:hanging="709"/>
      </w:pPr>
      <w:rPr>
        <w:rFonts w:hint="default"/>
        <w:lang w:val="pt-PT" w:eastAsia="en-US" w:bidi="ar-SA"/>
      </w:rPr>
    </w:lvl>
    <w:lvl w:ilvl="6" w:tplc="BC3618F8">
      <w:numFmt w:val="bullet"/>
      <w:lvlText w:val="•"/>
      <w:lvlJc w:val="left"/>
      <w:pPr>
        <w:ind w:left="6516" w:hanging="709"/>
      </w:pPr>
      <w:rPr>
        <w:rFonts w:hint="default"/>
        <w:lang w:val="pt-PT" w:eastAsia="en-US" w:bidi="ar-SA"/>
      </w:rPr>
    </w:lvl>
    <w:lvl w:ilvl="7" w:tplc="6608A50C">
      <w:numFmt w:val="bullet"/>
      <w:lvlText w:val="•"/>
      <w:lvlJc w:val="left"/>
      <w:pPr>
        <w:ind w:left="7484" w:hanging="709"/>
      </w:pPr>
      <w:rPr>
        <w:rFonts w:hint="default"/>
        <w:lang w:val="pt-PT" w:eastAsia="en-US" w:bidi="ar-SA"/>
      </w:rPr>
    </w:lvl>
    <w:lvl w:ilvl="8" w:tplc="3580BF70">
      <w:numFmt w:val="bullet"/>
      <w:lvlText w:val="•"/>
      <w:lvlJc w:val="left"/>
      <w:pPr>
        <w:ind w:left="8451" w:hanging="709"/>
      </w:pPr>
      <w:rPr>
        <w:rFonts w:hint="default"/>
        <w:lang w:val="pt-PT" w:eastAsia="en-US" w:bidi="ar-SA"/>
      </w:rPr>
    </w:lvl>
  </w:abstractNum>
  <w:abstractNum w:abstractNumId="8" w15:restartNumberingAfterBreak="0">
    <w:nsid w:val="48273E22"/>
    <w:multiLevelType w:val="multilevel"/>
    <w:tmpl w:val="BBD0BDC0"/>
    <w:lvl w:ilvl="0">
      <w:start w:val="4"/>
      <w:numFmt w:val="decimal"/>
      <w:lvlText w:val="%1."/>
      <w:lvlJc w:val="left"/>
      <w:pPr>
        <w:ind w:left="360" w:hanging="36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9" w15:restartNumberingAfterBreak="0">
    <w:nsid w:val="4B39031C"/>
    <w:multiLevelType w:val="hybridMultilevel"/>
    <w:tmpl w:val="0C767886"/>
    <w:lvl w:ilvl="0" w:tplc="10A60C3E">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ECA2863C">
      <w:numFmt w:val="bullet"/>
      <w:lvlText w:val="•"/>
      <w:lvlJc w:val="left"/>
      <w:pPr>
        <w:ind w:left="1668" w:hanging="567"/>
      </w:pPr>
      <w:rPr>
        <w:rFonts w:hint="default"/>
        <w:lang w:val="pt-PT" w:eastAsia="en-US" w:bidi="ar-SA"/>
      </w:rPr>
    </w:lvl>
    <w:lvl w:ilvl="2" w:tplc="16726714">
      <w:numFmt w:val="bullet"/>
      <w:lvlText w:val="•"/>
      <w:lvlJc w:val="left"/>
      <w:pPr>
        <w:ind w:left="2637" w:hanging="567"/>
      </w:pPr>
      <w:rPr>
        <w:rFonts w:hint="default"/>
        <w:lang w:val="pt-PT" w:eastAsia="en-US" w:bidi="ar-SA"/>
      </w:rPr>
    </w:lvl>
    <w:lvl w:ilvl="3" w:tplc="E5A80830">
      <w:numFmt w:val="bullet"/>
      <w:lvlText w:val="•"/>
      <w:lvlJc w:val="left"/>
      <w:pPr>
        <w:ind w:left="3605" w:hanging="567"/>
      </w:pPr>
      <w:rPr>
        <w:rFonts w:hint="default"/>
        <w:lang w:val="pt-PT" w:eastAsia="en-US" w:bidi="ar-SA"/>
      </w:rPr>
    </w:lvl>
    <w:lvl w:ilvl="4" w:tplc="948E7D20">
      <w:numFmt w:val="bullet"/>
      <w:lvlText w:val="•"/>
      <w:lvlJc w:val="left"/>
      <w:pPr>
        <w:ind w:left="4574" w:hanging="567"/>
      </w:pPr>
      <w:rPr>
        <w:rFonts w:hint="default"/>
        <w:lang w:val="pt-PT" w:eastAsia="en-US" w:bidi="ar-SA"/>
      </w:rPr>
    </w:lvl>
    <w:lvl w:ilvl="5" w:tplc="D0FE2812">
      <w:numFmt w:val="bullet"/>
      <w:lvlText w:val="•"/>
      <w:lvlJc w:val="left"/>
      <w:pPr>
        <w:ind w:left="5543" w:hanging="567"/>
      </w:pPr>
      <w:rPr>
        <w:rFonts w:hint="default"/>
        <w:lang w:val="pt-PT" w:eastAsia="en-US" w:bidi="ar-SA"/>
      </w:rPr>
    </w:lvl>
    <w:lvl w:ilvl="6" w:tplc="A9E43676">
      <w:numFmt w:val="bullet"/>
      <w:lvlText w:val="•"/>
      <w:lvlJc w:val="left"/>
      <w:pPr>
        <w:ind w:left="6511" w:hanging="567"/>
      </w:pPr>
      <w:rPr>
        <w:rFonts w:hint="default"/>
        <w:lang w:val="pt-PT" w:eastAsia="en-US" w:bidi="ar-SA"/>
      </w:rPr>
    </w:lvl>
    <w:lvl w:ilvl="7" w:tplc="CEBC9BE2">
      <w:numFmt w:val="bullet"/>
      <w:lvlText w:val="•"/>
      <w:lvlJc w:val="left"/>
      <w:pPr>
        <w:ind w:left="7480" w:hanging="567"/>
      </w:pPr>
      <w:rPr>
        <w:rFonts w:hint="default"/>
        <w:lang w:val="pt-PT" w:eastAsia="en-US" w:bidi="ar-SA"/>
      </w:rPr>
    </w:lvl>
    <w:lvl w:ilvl="8" w:tplc="D04EF98C">
      <w:numFmt w:val="bullet"/>
      <w:lvlText w:val="•"/>
      <w:lvlJc w:val="left"/>
      <w:pPr>
        <w:ind w:left="8449" w:hanging="567"/>
      </w:pPr>
      <w:rPr>
        <w:rFonts w:hint="default"/>
        <w:lang w:val="pt-PT" w:eastAsia="en-US" w:bidi="ar-SA"/>
      </w:rPr>
    </w:lvl>
  </w:abstractNum>
  <w:abstractNum w:abstractNumId="10" w15:restartNumberingAfterBreak="0">
    <w:nsid w:val="4DCF3A22"/>
    <w:multiLevelType w:val="hybridMultilevel"/>
    <w:tmpl w:val="E6E228B6"/>
    <w:lvl w:ilvl="0" w:tplc="5B006796">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A082046">
      <w:numFmt w:val="bullet"/>
      <w:lvlText w:val="•"/>
      <w:lvlJc w:val="left"/>
      <w:pPr>
        <w:ind w:left="1668" w:hanging="567"/>
      </w:pPr>
      <w:rPr>
        <w:rFonts w:hint="default"/>
        <w:lang w:val="pt-PT" w:eastAsia="en-US" w:bidi="ar-SA"/>
      </w:rPr>
    </w:lvl>
    <w:lvl w:ilvl="2" w:tplc="A0820392">
      <w:numFmt w:val="bullet"/>
      <w:lvlText w:val="•"/>
      <w:lvlJc w:val="left"/>
      <w:pPr>
        <w:ind w:left="2637" w:hanging="567"/>
      </w:pPr>
      <w:rPr>
        <w:rFonts w:hint="default"/>
        <w:lang w:val="pt-PT" w:eastAsia="en-US" w:bidi="ar-SA"/>
      </w:rPr>
    </w:lvl>
    <w:lvl w:ilvl="3" w:tplc="548E3B0E">
      <w:numFmt w:val="bullet"/>
      <w:lvlText w:val="•"/>
      <w:lvlJc w:val="left"/>
      <w:pPr>
        <w:ind w:left="3605" w:hanging="567"/>
      </w:pPr>
      <w:rPr>
        <w:rFonts w:hint="default"/>
        <w:lang w:val="pt-PT" w:eastAsia="en-US" w:bidi="ar-SA"/>
      </w:rPr>
    </w:lvl>
    <w:lvl w:ilvl="4" w:tplc="EC7851A6">
      <w:numFmt w:val="bullet"/>
      <w:lvlText w:val="•"/>
      <w:lvlJc w:val="left"/>
      <w:pPr>
        <w:ind w:left="4574" w:hanging="567"/>
      </w:pPr>
      <w:rPr>
        <w:rFonts w:hint="default"/>
        <w:lang w:val="pt-PT" w:eastAsia="en-US" w:bidi="ar-SA"/>
      </w:rPr>
    </w:lvl>
    <w:lvl w:ilvl="5" w:tplc="CBC00F5C">
      <w:numFmt w:val="bullet"/>
      <w:lvlText w:val="•"/>
      <w:lvlJc w:val="left"/>
      <w:pPr>
        <w:ind w:left="5543" w:hanging="567"/>
      </w:pPr>
      <w:rPr>
        <w:rFonts w:hint="default"/>
        <w:lang w:val="pt-PT" w:eastAsia="en-US" w:bidi="ar-SA"/>
      </w:rPr>
    </w:lvl>
    <w:lvl w:ilvl="6" w:tplc="BEDCA1AA">
      <w:numFmt w:val="bullet"/>
      <w:lvlText w:val="•"/>
      <w:lvlJc w:val="left"/>
      <w:pPr>
        <w:ind w:left="6511" w:hanging="567"/>
      </w:pPr>
      <w:rPr>
        <w:rFonts w:hint="default"/>
        <w:lang w:val="pt-PT" w:eastAsia="en-US" w:bidi="ar-SA"/>
      </w:rPr>
    </w:lvl>
    <w:lvl w:ilvl="7" w:tplc="889EAFA4">
      <w:numFmt w:val="bullet"/>
      <w:lvlText w:val="•"/>
      <w:lvlJc w:val="left"/>
      <w:pPr>
        <w:ind w:left="7480" w:hanging="567"/>
      </w:pPr>
      <w:rPr>
        <w:rFonts w:hint="default"/>
        <w:lang w:val="pt-PT" w:eastAsia="en-US" w:bidi="ar-SA"/>
      </w:rPr>
    </w:lvl>
    <w:lvl w:ilvl="8" w:tplc="ACDAB3B4">
      <w:numFmt w:val="bullet"/>
      <w:lvlText w:val="•"/>
      <w:lvlJc w:val="left"/>
      <w:pPr>
        <w:ind w:left="8449" w:hanging="567"/>
      </w:pPr>
      <w:rPr>
        <w:rFonts w:hint="default"/>
        <w:lang w:val="pt-PT" w:eastAsia="en-US" w:bidi="ar-SA"/>
      </w:rPr>
    </w:lvl>
  </w:abstractNum>
  <w:abstractNum w:abstractNumId="11" w15:restartNumberingAfterBreak="0">
    <w:nsid w:val="606378FE"/>
    <w:multiLevelType w:val="multilevel"/>
    <w:tmpl w:val="DC0406D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0CE08BA"/>
    <w:multiLevelType w:val="hybridMultilevel"/>
    <w:tmpl w:val="16B0BD82"/>
    <w:lvl w:ilvl="0" w:tplc="BE58BB10">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FF6C77D2">
      <w:numFmt w:val="bullet"/>
      <w:lvlText w:val="•"/>
      <w:lvlJc w:val="left"/>
      <w:pPr>
        <w:ind w:left="1794" w:hanging="709"/>
      </w:pPr>
      <w:rPr>
        <w:rFonts w:hint="default"/>
        <w:lang w:val="pt-PT" w:eastAsia="en-US" w:bidi="ar-SA"/>
      </w:rPr>
    </w:lvl>
    <w:lvl w:ilvl="2" w:tplc="332C8EA2">
      <w:numFmt w:val="bullet"/>
      <w:lvlText w:val="•"/>
      <w:lvlJc w:val="left"/>
      <w:pPr>
        <w:ind w:left="2749" w:hanging="709"/>
      </w:pPr>
      <w:rPr>
        <w:rFonts w:hint="default"/>
        <w:lang w:val="pt-PT" w:eastAsia="en-US" w:bidi="ar-SA"/>
      </w:rPr>
    </w:lvl>
    <w:lvl w:ilvl="3" w:tplc="7444BA26">
      <w:numFmt w:val="bullet"/>
      <w:lvlText w:val="•"/>
      <w:lvlJc w:val="left"/>
      <w:pPr>
        <w:ind w:left="3703" w:hanging="709"/>
      </w:pPr>
      <w:rPr>
        <w:rFonts w:hint="default"/>
        <w:lang w:val="pt-PT" w:eastAsia="en-US" w:bidi="ar-SA"/>
      </w:rPr>
    </w:lvl>
    <w:lvl w:ilvl="4" w:tplc="F0D22D80">
      <w:numFmt w:val="bullet"/>
      <w:lvlText w:val="•"/>
      <w:lvlJc w:val="left"/>
      <w:pPr>
        <w:ind w:left="4658" w:hanging="709"/>
      </w:pPr>
      <w:rPr>
        <w:rFonts w:hint="default"/>
        <w:lang w:val="pt-PT" w:eastAsia="en-US" w:bidi="ar-SA"/>
      </w:rPr>
    </w:lvl>
    <w:lvl w:ilvl="5" w:tplc="CD98D256">
      <w:numFmt w:val="bullet"/>
      <w:lvlText w:val="•"/>
      <w:lvlJc w:val="left"/>
      <w:pPr>
        <w:ind w:left="5613" w:hanging="709"/>
      </w:pPr>
      <w:rPr>
        <w:rFonts w:hint="default"/>
        <w:lang w:val="pt-PT" w:eastAsia="en-US" w:bidi="ar-SA"/>
      </w:rPr>
    </w:lvl>
    <w:lvl w:ilvl="6" w:tplc="AAB8F338">
      <w:numFmt w:val="bullet"/>
      <w:lvlText w:val="•"/>
      <w:lvlJc w:val="left"/>
      <w:pPr>
        <w:ind w:left="6567" w:hanging="709"/>
      </w:pPr>
      <w:rPr>
        <w:rFonts w:hint="default"/>
        <w:lang w:val="pt-PT" w:eastAsia="en-US" w:bidi="ar-SA"/>
      </w:rPr>
    </w:lvl>
    <w:lvl w:ilvl="7" w:tplc="6D5E0A22">
      <w:numFmt w:val="bullet"/>
      <w:lvlText w:val="•"/>
      <w:lvlJc w:val="left"/>
      <w:pPr>
        <w:ind w:left="7522" w:hanging="709"/>
      </w:pPr>
      <w:rPr>
        <w:rFonts w:hint="default"/>
        <w:lang w:val="pt-PT" w:eastAsia="en-US" w:bidi="ar-SA"/>
      </w:rPr>
    </w:lvl>
    <w:lvl w:ilvl="8" w:tplc="005C18EC">
      <w:numFmt w:val="bullet"/>
      <w:lvlText w:val="•"/>
      <w:lvlJc w:val="left"/>
      <w:pPr>
        <w:ind w:left="8477" w:hanging="709"/>
      </w:pPr>
      <w:rPr>
        <w:rFonts w:hint="default"/>
        <w:lang w:val="pt-PT" w:eastAsia="en-US" w:bidi="ar-SA"/>
      </w:rPr>
    </w:lvl>
  </w:abstractNum>
  <w:abstractNum w:abstractNumId="13" w15:restartNumberingAfterBreak="0">
    <w:nsid w:val="6374363A"/>
    <w:multiLevelType w:val="hybridMultilevel"/>
    <w:tmpl w:val="1DD86AC4"/>
    <w:lvl w:ilvl="0" w:tplc="5C4C65B0">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250FFE2">
      <w:numFmt w:val="bullet"/>
      <w:lvlText w:val="•"/>
      <w:lvlJc w:val="left"/>
      <w:pPr>
        <w:ind w:left="1668" w:hanging="567"/>
      </w:pPr>
      <w:rPr>
        <w:rFonts w:hint="default"/>
        <w:lang w:val="pt-PT" w:eastAsia="en-US" w:bidi="ar-SA"/>
      </w:rPr>
    </w:lvl>
    <w:lvl w:ilvl="2" w:tplc="157CBDDA">
      <w:numFmt w:val="bullet"/>
      <w:lvlText w:val="•"/>
      <w:lvlJc w:val="left"/>
      <w:pPr>
        <w:ind w:left="2637" w:hanging="567"/>
      </w:pPr>
      <w:rPr>
        <w:rFonts w:hint="default"/>
        <w:lang w:val="pt-PT" w:eastAsia="en-US" w:bidi="ar-SA"/>
      </w:rPr>
    </w:lvl>
    <w:lvl w:ilvl="3" w:tplc="F0F6D0F2">
      <w:numFmt w:val="bullet"/>
      <w:lvlText w:val="•"/>
      <w:lvlJc w:val="left"/>
      <w:pPr>
        <w:ind w:left="3605" w:hanging="567"/>
      </w:pPr>
      <w:rPr>
        <w:rFonts w:hint="default"/>
        <w:lang w:val="pt-PT" w:eastAsia="en-US" w:bidi="ar-SA"/>
      </w:rPr>
    </w:lvl>
    <w:lvl w:ilvl="4" w:tplc="9052330E">
      <w:numFmt w:val="bullet"/>
      <w:lvlText w:val="•"/>
      <w:lvlJc w:val="left"/>
      <w:pPr>
        <w:ind w:left="4574" w:hanging="567"/>
      </w:pPr>
      <w:rPr>
        <w:rFonts w:hint="default"/>
        <w:lang w:val="pt-PT" w:eastAsia="en-US" w:bidi="ar-SA"/>
      </w:rPr>
    </w:lvl>
    <w:lvl w:ilvl="5" w:tplc="267A7C38">
      <w:numFmt w:val="bullet"/>
      <w:lvlText w:val="•"/>
      <w:lvlJc w:val="left"/>
      <w:pPr>
        <w:ind w:left="5543" w:hanging="567"/>
      </w:pPr>
      <w:rPr>
        <w:rFonts w:hint="default"/>
        <w:lang w:val="pt-PT" w:eastAsia="en-US" w:bidi="ar-SA"/>
      </w:rPr>
    </w:lvl>
    <w:lvl w:ilvl="6" w:tplc="18446E70">
      <w:numFmt w:val="bullet"/>
      <w:lvlText w:val="•"/>
      <w:lvlJc w:val="left"/>
      <w:pPr>
        <w:ind w:left="6511" w:hanging="567"/>
      </w:pPr>
      <w:rPr>
        <w:rFonts w:hint="default"/>
        <w:lang w:val="pt-PT" w:eastAsia="en-US" w:bidi="ar-SA"/>
      </w:rPr>
    </w:lvl>
    <w:lvl w:ilvl="7" w:tplc="1EA64746">
      <w:numFmt w:val="bullet"/>
      <w:lvlText w:val="•"/>
      <w:lvlJc w:val="left"/>
      <w:pPr>
        <w:ind w:left="7480" w:hanging="567"/>
      </w:pPr>
      <w:rPr>
        <w:rFonts w:hint="default"/>
        <w:lang w:val="pt-PT" w:eastAsia="en-US" w:bidi="ar-SA"/>
      </w:rPr>
    </w:lvl>
    <w:lvl w:ilvl="8" w:tplc="A864B3DE">
      <w:numFmt w:val="bullet"/>
      <w:lvlText w:val="•"/>
      <w:lvlJc w:val="left"/>
      <w:pPr>
        <w:ind w:left="8449" w:hanging="567"/>
      </w:pPr>
      <w:rPr>
        <w:rFonts w:hint="default"/>
        <w:lang w:val="pt-PT" w:eastAsia="en-US" w:bidi="ar-SA"/>
      </w:rPr>
    </w:lvl>
  </w:abstractNum>
  <w:abstractNum w:abstractNumId="14" w15:restartNumberingAfterBreak="0">
    <w:nsid w:val="70BF228C"/>
    <w:multiLevelType w:val="hybridMultilevel"/>
    <w:tmpl w:val="2DC06AFE"/>
    <w:lvl w:ilvl="0" w:tplc="06A0A0B8">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19C4CC52">
      <w:numFmt w:val="bullet"/>
      <w:lvlText w:val="•"/>
      <w:lvlJc w:val="left"/>
      <w:pPr>
        <w:ind w:left="1794" w:hanging="709"/>
      </w:pPr>
      <w:rPr>
        <w:rFonts w:hint="default"/>
        <w:lang w:val="pt-PT" w:eastAsia="en-US" w:bidi="ar-SA"/>
      </w:rPr>
    </w:lvl>
    <w:lvl w:ilvl="2" w:tplc="F7622C68">
      <w:numFmt w:val="bullet"/>
      <w:lvlText w:val="•"/>
      <w:lvlJc w:val="left"/>
      <w:pPr>
        <w:ind w:left="2749" w:hanging="709"/>
      </w:pPr>
      <w:rPr>
        <w:rFonts w:hint="default"/>
        <w:lang w:val="pt-PT" w:eastAsia="en-US" w:bidi="ar-SA"/>
      </w:rPr>
    </w:lvl>
    <w:lvl w:ilvl="3" w:tplc="D84C5E16">
      <w:numFmt w:val="bullet"/>
      <w:lvlText w:val="•"/>
      <w:lvlJc w:val="left"/>
      <w:pPr>
        <w:ind w:left="3703" w:hanging="709"/>
      </w:pPr>
      <w:rPr>
        <w:rFonts w:hint="default"/>
        <w:lang w:val="pt-PT" w:eastAsia="en-US" w:bidi="ar-SA"/>
      </w:rPr>
    </w:lvl>
    <w:lvl w:ilvl="4" w:tplc="FAD443CC">
      <w:numFmt w:val="bullet"/>
      <w:lvlText w:val="•"/>
      <w:lvlJc w:val="left"/>
      <w:pPr>
        <w:ind w:left="4658" w:hanging="709"/>
      </w:pPr>
      <w:rPr>
        <w:rFonts w:hint="default"/>
        <w:lang w:val="pt-PT" w:eastAsia="en-US" w:bidi="ar-SA"/>
      </w:rPr>
    </w:lvl>
    <w:lvl w:ilvl="5" w:tplc="514894EE">
      <w:numFmt w:val="bullet"/>
      <w:lvlText w:val="•"/>
      <w:lvlJc w:val="left"/>
      <w:pPr>
        <w:ind w:left="5613" w:hanging="709"/>
      </w:pPr>
      <w:rPr>
        <w:rFonts w:hint="default"/>
        <w:lang w:val="pt-PT" w:eastAsia="en-US" w:bidi="ar-SA"/>
      </w:rPr>
    </w:lvl>
    <w:lvl w:ilvl="6" w:tplc="098CB814">
      <w:numFmt w:val="bullet"/>
      <w:lvlText w:val="•"/>
      <w:lvlJc w:val="left"/>
      <w:pPr>
        <w:ind w:left="6567" w:hanging="709"/>
      </w:pPr>
      <w:rPr>
        <w:rFonts w:hint="default"/>
        <w:lang w:val="pt-PT" w:eastAsia="en-US" w:bidi="ar-SA"/>
      </w:rPr>
    </w:lvl>
    <w:lvl w:ilvl="7" w:tplc="665A2B40">
      <w:numFmt w:val="bullet"/>
      <w:lvlText w:val="•"/>
      <w:lvlJc w:val="left"/>
      <w:pPr>
        <w:ind w:left="7522" w:hanging="709"/>
      </w:pPr>
      <w:rPr>
        <w:rFonts w:hint="default"/>
        <w:lang w:val="pt-PT" w:eastAsia="en-US" w:bidi="ar-SA"/>
      </w:rPr>
    </w:lvl>
    <w:lvl w:ilvl="8" w:tplc="C32601E4">
      <w:numFmt w:val="bullet"/>
      <w:lvlText w:val="•"/>
      <w:lvlJc w:val="left"/>
      <w:pPr>
        <w:ind w:left="8477" w:hanging="709"/>
      </w:pPr>
      <w:rPr>
        <w:rFonts w:hint="default"/>
        <w:lang w:val="pt-PT" w:eastAsia="en-US" w:bidi="ar-SA"/>
      </w:rPr>
    </w:lvl>
  </w:abstractNum>
  <w:num w:numId="1" w16cid:durableId="233441286">
    <w:abstractNumId w:val="6"/>
  </w:num>
  <w:num w:numId="2" w16cid:durableId="1368682678">
    <w:abstractNumId w:val="7"/>
  </w:num>
  <w:num w:numId="3" w16cid:durableId="1023819878">
    <w:abstractNumId w:val="13"/>
  </w:num>
  <w:num w:numId="4" w16cid:durableId="1684358467">
    <w:abstractNumId w:val="14"/>
  </w:num>
  <w:num w:numId="5" w16cid:durableId="1158156306">
    <w:abstractNumId w:val="12"/>
  </w:num>
  <w:num w:numId="6" w16cid:durableId="1708679174">
    <w:abstractNumId w:val="10"/>
  </w:num>
  <w:num w:numId="7" w16cid:durableId="105275015">
    <w:abstractNumId w:val="4"/>
  </w:num>
  <w:num w:numId="8" w16cid:durableId="875242899">
    <w:abstractNumId w:val="5"/>
  </w:num>
  <w:num w:numId="9" w16cid:durableId="1381441747">
    <w:abstractNumId w:val="9"/>
  </w:num>
  <w:num w:numId="10" w16cid:durableId="1234316234">
    <w:abstractNumId w:val="2"/>
  </w:num>
  <w:num w:numId="11" w16cid:durableId="1511143250">
    <w:abstractNumId w:val="0"/>
  </w:num>
  <w:num w:numId="12" w16cid:durableId="376709336">
    <w:abstractNumId w:val="1"/>
  </w:num>
  <w:num w:numId="13" w16cid:durableId="20414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05293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060469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A"/>
    <w:rsid w:val="00126701"/>
    <w:rsid w:val="001663FF"/>
    <w:rsid w:val="001A7007"/>
    <w:rsid w:val="0022696B"/>
    <w:rsid w:val="003433D8"/>
    <w:rsid w:val="003853E8"/>
    <w:rsid w:val="003B09EC"/>
    <w:rsid w:val="004A3A7E"/>
    <w:rsid w:val="006B1E22"/>
    <w:rsid w:val="00753FD9"/>
    <w:rsid w:val="008520D6"/>
    <w:rsid w:val="00870527"/>
    <w:rsid w:val="00956D47"/>
    <w:rsid w:val="00AC17AA"/>
    <w:rsid w:val="00C2452F"/>
    <w:rsid w:val="00C2474B"/>
    <w:rsid w:val="00CF3CBE"/>
    <w:rsid w:val="00CF589D"/>
    <w:rsid w:val="00D23704"/>
    <w:rsid w:val="00DF4354"/>
    <w:rsid w:val="00E51A0D"/>
    <w:rsid w:val="00EF6A8A"/>
    <w:rsid w:val="00F1078A"/>
    <w:rsid w:val="00F1561E"/>
    <w:rsid w:val="00F54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8894"/>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0"/>
      <w:ind w:left="12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694" w:hanging="567"/>
      <w:jc w:val="both"/>
    </w:pPr>
  </w:style>
  <w:style w:type="paragraph" w:customStyle="1" w:styleId="TableParagraph">
    <w:name w:val="Table Paragraph"/>
    <w:basedOn w:val="Normal"/>
    <w:uiPriority w:val="1"/>
    <w:qFormat/>
    <w:pPr>
      <w:spacing w:before="56" w:line="223" w:lineRule="exact"/>
      <w:jc w:val="center"/>
    </w:pPr>
    <w:rPr>
      <w:rFonts w:ascii="Calibri" w:eastAsia="Calibri" w:hAnsi="Calibri" w:cs="Calibri"/>
    </w:rPr>
  </w:style>
  <w:style w:type="paragraph" w:customStyle="1" w:styleId="Default">
    <w:name w:val="Default"/>
    <w:rsid w:val="00F1561E"/>
    <w:pPr>
      <w:widowControl/>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F1561E"/>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F1561E"/>
    <w:pPr>
      <w:tabs>
        <w:tab w:val="center" w:pos="4252"/>
        <w:tab w:val="right" w:pos="8504"/>
      </w:tabs>
    </w:pPr>
  </w:style>
  <w:style w:type="character" w:customStyle="1" w:styleId="CabealhoChar">
    <w:name w:val="Cabeçalho Char"/>
    <w:basedOn w:val="Fontepargpadro"/>
    <w:link w:val="Cabealho"/>
    <w:uiPriority w:val="99"/>
    <w:rsid w:val="00F1561E"/>
    <w:rPr>
      <w:rFonts w:ascii="Times New Roman" w:eastAsia="Times New Roman" w:hAnsi="Times New Roman" w:cs="Times New Roman"/>
      <w:lang w:val="pt-PT"/>
    </w:rPr>
  </w:style>
  <w:style w:type="paragraph" w:styleId="Rodap">
    <w:name w:val="footer"/>
    <w:basedOn w:val="Normal"/>
    <w:link w:val="RodapChar"/>
    <w:uiPriority w:val="99"/>
    <w:unhideWhenUsed/>
    <w:rsid w:val="00F1561E"/>
    <w:pPr>
      <w:tabs>
        <w:tab w:val="center" w:pos="4252"/>
        <w:tab w:val="right" w:pos="8504"/>
      </w:tabs>
    </w:pPr>
  </w:style>
  <w:style w:type="character" w:customStyle="1" w:styleId="RodapChar">
    <w:name w:val="Rodapé Char"/>
    <w:basedOn w:val="Fontepargpadro"/>
    <w:link w:val="Rodap"/>
    <w:uiPriority w:val="99"/>
    <w:rsid w:val="00F1561E"/>
    <w:rPr>
      <w:rFonts w:ascii="Times New Roman" w:eastAsia="Times New Roman" w:hAnsi="Times New Roman" w:cs="Times New Roman"/>
      <w:lang w:val="pt-PT"/>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3433D8"/>
    <w:rPr>
      <w:rFonts w:ascii="Times New Roman" w:eastAsia="Times New Roman" w:hAnsi="Times New Roman" w:cs="Times New Roman"/>
      <w:lang w:val="pt-PT"/>
    </w:rPr>
  </w:style>
  <w:style w:type="character" w:styleId="nfase">
    <w:name w:val="Emphasis"/>
    <w:uiPriority w:val="20"/>
    <w:qFormat/>
    <w:rsid w:val="00343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0A832-C7CC-4164-8C38-F9C7B3387DD5}">
  <ds:schemaRefs>
    <ds:schemaRef ds:uri="http://schemas.openxmlformats.org/officeDocument/2006/bibliography"/>
  </ds:schemaRefs>
</ds:datastoreItem>
</file>

<file path=customXml/itemProps2.xml><?xml version="1.0" encoding="utf-8"?>
<ds:datastoreItem xmlns:ds="http://schemas.openxmlformats.org/officeDocument/2006/customXml" ds:itemID="{30DC5827-A12C-4DB1-8DA9-E9A7316FF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B5735F-3692-4481-9245-E0583B4BF6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870AD2-9653-47CA-A00E-F3B5195C9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10609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C╔DULA DE CR╔DITO BANC┴RIO</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Amanda Marques</cp:lastModifiedBy>
  <cp:revision>2</cp:revision>
  <dcterms:created xsi:type="dcterms:W3CDTF">2022-04-07T15:17:00Z</dcterms:created>
  <dcterms:modified xsi:type="dcterms:W3CDTF">2022-04-07T15:17:00Z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2022-03-03T00:00:00Z</vt:filetime>
  </property>
  <property fmtid="{D5CDD505-2E9C-101B-9397-08002B2CF9AE}" pid="4" name="ContentTypeId">
    <vt:lpwstr>0x01010041F5C11A4B982C42BBD1CECEC9725F9B</vt:lpwstr>
  </property>
</Properties>
</file>