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bookmarkStart w:id="0" w:name="_GoBack"/>
      <w:bookmarkEnd w:id="0"/>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1"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1"/>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6A7ECF"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2" w:name="_Hlk59275303"/>
            <w:r w:rsidR="004B61DF" w:rsidRPr="004B61DF">
              <w:rPr>
                <w:rFonts w:ascii="Times New Roman" w:hAnsi="Times New Roman" w:cs="Times New Roman"/>
                <w:sz w:val="24"/>
                <w:szCs w:val="24"/>
                <w:lang w:val="pt-BR"/>
              </w:rPr>
              <w:t>eliana@exto.com.br</w:t>
            </w:r>
            <w:bookmarkEnd w:id="2"/>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3"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3"/>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6A7ECF"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4" w:name="_Hlk59573089"/>
            <w:bookmarkStart w:id="5"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4"/>
            <w:r w:rsidR="001D14C1" w:rsidRPr="004516BE">
              <w:rPr>
                <w:rFonts w:ascii="Times New Roman" w:hAnsi="Times New Roman" w:cs="Times New Roman"/>
                <w:sz w:val="24"/>
                <w:szCs w:val="24"/>
                <w:lang w:val="pt-BR"/>
              </w:rPr>
              <w:t xml:space="preserve"> </w:t>
            </w:r>
          </w:p>
          <w:bookmarkEnd w:id="5"/>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6"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6"/>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7"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7"/>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8"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9"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9"/>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8"/>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6A7ECF"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1F171FC5" w14:textId="77777777" w:rsidR="00742ACA" w:rsidRPr="002852F1" w:rsidRDefault="00742ACA" w:rsidP="006A7ECF">
            <w:pPr>
              <w:spacing w:line="312" w:lineRule="auto"/>
              <w:jc w:val="both"/>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w:t>
            </w:r>
            <w:r w:rsidR="00DD7FE5" w:rsidRPr="00B77BCE">
              <w:rPr>
                <w:rFonts w:ascii="Times New Roman" w:hAnsi="Times New Roman" w:cs="Times New Roman"/>
                <w:color w:val="000000" w:themeColor="text1"/>
                <w:sz w:val="24"/>
                <w:szCs w:val="24"/>
                <w:lang w:val="pt-BR"/>
              </w:rPr>
              <w:lastRenderedPageBreak/>
              <w:t xml:space="preserve">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0C827DC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01</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2021</w:t>
            </w:r>
            <w:r w:rsidR="0000067C"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122550"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2399E403" w14:textId="77777777" w:rsidR="0000067C" w:rsidRPr="002852F1" w:rsidRDefault="0000067C" w:rsidP="0000067C">
            <w:pPr>
              <w:spacing w:line="312" w:lineRule="auto"/>
              <w:jc w:val="center"/>
              <w:rPr>
                <w:rFonts w:ascii="Times New Roman" w:hAnsi="Times New Roman" w:cs="Times New Roman"/>
                <w:noProof/>
                <w:sz w:val="24"/>
                <w:szCs w:val="24"/>
                <w:lang w:val="pt-BR"/>
              </w:rPr>
            </w:pPr>
            <w:bookmarkStart w:id="10" w:name="Texto1103"/>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]/01/2021</w:t>
            </w:r>
            <w:r w:rsidRPr="002852F1">
              <w:rPr>
                <w:rFonts w:ascii="Times New Roman" w:hAnsi="Times New Roman" w:cs="Times New Roman"/>
                <w:noProof/>
                <w:sz w:val="24"/>
                <w:szCs w:val="24"/>
                <w:lang w:val="pt-BR"/>
              </w:rPr>
              <w:t xml:space="preserve"> </w:t>
            </w:r>
          </w:p>
          <w:bookmarkEnd w:id="10"/>
          <w:p w14:paraId="142E3579" w14:textId="051FFF68"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t xml:space="preserve"> </w:t>
            </w:r>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11"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6A7ECF">
              <w:rPr>
                <w:rFonts w:ascii="Times New Roman" w:hAnsi="Times New Roman" w:cs="Times New Roman"/>
                <w:bCs/>
                <w:smallCaps/>
                <w:sz w:val="24"/>
                <w:szCs w:val="24"/>
                <w:lang w:val="pt-BR"/>
              </w:rPr>
            </w:r>
            <w:r w:rsidRPr="006A7ECF">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11"/>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6A7ECF"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2"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3"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3"/>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4" w:name="Selecionar1"/>
            <w:r>
              <w:rPr>
                <w:rFonts w:ascii="Times New Roman" w:eastAsia="MS Mincho" w:hAnsi="Times New Roman" w:cs="Times New Roman"/>
                <w:sz w:val="24"/>
                <w:szCs w:val="24"/>
                <w:lang w:val="pt-BR" w:eastAsia="ja-JP"/>
              </w:rPr>
              <w:instrText xml:space="preserve">FORMCHECKBOX </w:instrText>
            </w:r>
            <w:r w:rsidR="006A7ECF">
              <w:rPr>
                <w:rFonts w:ascii="Times New Roman" w:eastAsia="MS Mincho" w:hAnsi="Times New Roman" w:cs="Times New Roman"/>
                <w:sz w:val="24"/>
                <w:szCs w:val="24"/>
                <w:lang w:val="pt-BR" w:eastAsia="ja-JP"/>
              </w:rPr>
            </w:r>
            <w:r w:rsidR="006A7ECF">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4"/>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5"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5"/>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6"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6A7ECF">
              <w:rPr>
                <w:rFonts w:ascii="Times New Roman" w:hAnsi="Times New Roman" w:cs="Times New Roman"/>
                <w:sz w:val="24"/>
                <w:lang w:val="pt-BR"/>
              </w:rPr>
            </w:r>
            <w:r w:rsidRPr="006A7ECF">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6"/>
            <w:r w:rsidR="00742ACA" w:rsidRPr="0000067C">
              <w:rPr>
                <w:rFonts w:ascii="Times New Roman" w:hAnsi="Times New Roman" w:cs="Times New Roman"/>
                <w:sz w:val="24"/>
                <w:szCs w:val="24"/>
                <w:lang w:val="pt-BR"/>
              </w:rPr>
              <w:t>.</w:t>
            </w:r>
          </w:p>
        </w:tc>
      </w:tr>
      <w:tr w:rsidR="00C77A02" w:rsidRPr="006A7ECF"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FF99BF" w14:textId="2D6CCD7D"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7"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183414">
              <w:rPr>
                <w:sz w:val="24"/>
                <w:szCs w:val="24"/>
                <w:lang w:val="pt-BR"/>
              </w:rPr>
              <w:t xml:space="preserve">prêmio equivalente à diferença positiva (se houver) entre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83414">
              <w:rPr>
                <w:sz w:val="24"/>
                <w:szCs w:val="24"/>
                <w:lang w:val="pt-BR"/>
              </w:rPr>
              <w:t xml:space="preserve">e o montante correspondente ao </w:t>
            </w:r>
            <w:r w:rsidR="004516BE" w:rsidRPr="004516BE">
              <w:rPr>
                <w:b/>
                <w:sz w:val="24"/>
                <w:szCs w:val="24"/>
                <w:lang w:val="pt-BR"/>
              </w:rPr>
              <w:t>RETORNO MÍNIMO</w:t>
            </w:r>
            <w:r w:rsidR="00183414">
              <w:rPr>
                <w:sz w:val="24"/>
                <w:szCs w:val="24"/>
                <w:lang w:val="pt-BR"/>
              </w:rPr>
              <w:t>, ambos calculados com base no mesmo Período de Capitalização (conforme abaixo definido) (“</w:t>
            </w:r>
            <w:r w:rsidR="00183414" w:rsidRPr="00A66F4D">
              <w:rPr>
                <w:b/>
                <w:bCs/>
                <w:sz w:val="24"/>
                <w:szCs w:val="24"/>
                <w:u w:val="single"/>
                <w:lang w:val="pt-BR"/>
              </w:rPr>
              <w:t>PRÊMIO</w:t>
            </w:r>
            <w:r w:rsidR="00183414">
              <w:rPr>
                <w:sz w:val="24"/>
                <w:szCs w:val="24"/>
                <w:lang w:val="pt-BR"/>
              </w:rPr>
              <w:t>”). Para fins do cálculo do Prêmio, “</w:t>
            </w:r>
            <w:r w:rsidR="00183414" w:rsidRPr="00932C13">
              <w:rPr>
                <w:sz w:val="24"/>
                <w:szCs w:val="24"/>
                <w:u w:val="single"/>
                <w:lang w:val="pt-BR"/>
              </w:rPr>
              <w:t>Retorno Mínimo</w:t>
            </w:r>
            <w:r w:rsidR="00183414">
              <w:rPr>
                <w:sz w:val="24"/>
                <w:szCs w:val="24"/>
                <w:lang w:val="pt-BR"/>
              </w:rPr>
              <w:t>” signific</w:t>
            </w:r>
            <w:r w:rsidR="004516BE">
              <w:rPr>
                <w:sz w:val="24"/>
                <w:szCs w:val="24"/>
                <w:lang w:val="pt-BR"/>
              </w:rPr>
              <w:t>a</w:t>
            </w:r>
            <w:r w:rsidR="00183414">
              <w:rPr>
                <w:sz w:val="24"/>
                <w:szCs w:val="24"/>
                <w:lang w:val="pt-BR"/>
              </w:rPr>
              <w:t xml:space="preserve"> </w:t>
            </w:r>
            <w:r w:rsidR="00E311FC">
              <w:rPr>
                <w:sz w:val="24"/>
                <w:szCs w:val="24"/>
                <w:lang w:val="pt-BR"/>
              </w:rPr>
              <w:t xml:space="preserve">7,00% (sete </w:t>
            </w:r>
            <w:r w:rsidR="00400E30">
              <w:rPr>
                <w:sz w:val="24"/>
                <w:szCs w:val="24"/>
                <w:lang w:val="pt-BR"/>
              </w:rPr>
              <w:t xml:space="preserve">inteiros </w:t>
            </w:r>
            <w:r w:rsidR="00E311FC">
              <w:rPr>
                <w:sz w:val="24"/>
                <w:szCs w:val="24"/>
                <w:lang w:val="pt-BR"/>
              </w:rPr>
              <w:t>por cento) ao ano</w:t>
            </w:r>
            <w:r w:rsidR="002D5320">
              <w:rPr>
                <w:sz w:val="24"/>
                <w:szCs w:val="24"/>
                <w:lang w:val="pt-BR"/>
              </w:rPr>
              <w:t xml:space="preserve">, calculado de forma exponencial e cumulativa </w:t>
            </w:r>
            <w:r w:rsidR="002D5320">
              <w:rPr>
                <w:i/>
                <w:iCs/>
                <w:sz w:val="24"/>
                <w:szCs w:val="24"/>
                <w:lang w:val="pt-BR"/>
              </w:rPr>
              <w:t xml:space="preserve">pro rata temporis </w:t>
            </w:r>
            <w:r w:rsidR="002D5320">
              <w:rPr>
                <w:sz w:val="24"/>
                <w:szCs w:val="24"/>
                <w:lang w:val="pt-BR"/>
              </w:rPr>
              <w:t>por Dias Úteis decorridos, com base em um ano de 252 (duzentos e cinquenta e dois) Dias Úteis</w:t>
            </w:r>
            <w:bookmarkEnd w:id="17"/>
            <w:r w:rsidR="00E311FC">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6A7ECF"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4706B2"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3464758F" w:rsidR="00742ACA" w:rsidRPr="006A7ECF" w:rsidRDefault="0000067C" w:rsidP="000D1556">
            <w:pPr>
              <w:spacing w:line="312" w:lineRule="auto"/>
              <w:jc w:val="both"/>
              <w:rPr>
                <w:rFonts w:ascii="Times New Roman" w:hAnsi="Times New Roman"/>
                <w:sz w:val="24"/>
                <w:lang w:val="pt-BR"/>
              </w:rPr>
            </w:pPr>
            <w:bookmarkStart w:id="18" w:name="Texto47"/>
            <w:r w:rsidRPr="00496C63">
              <w:rPr>
                <w:rFonts w:ascii="Times New Roman" w:hAnsi="Times New Roman" w:cs="Times New Roman"/>
                <w:sz w:val="24"/>
                <w:szCs w:val="24"/>
                <w:lang w:val="pt-BR"/>
              </w:rPr>
              <w:t>[</w:t>
            </w:r>
            <w:r w:rsidRPr="00496C63">
              <w:rPr>
                <w:rFonts w:ascii="Times New Roman" w:hAnsi="Times New Roman"/>
                <w:sz w:val="24"/>
                <w:lang w:val="pt-BR"/>
              </w:rPr>
              <w:fldChar w:fldCharType="begin">
                <w:ffData>
                  <w:name w:val="Texto48"/>
                  <w:enabled/>
                  <w:calcOnExit w:val="0"/>
                  <w:textInput/>
                </w:ffData>
              </w:fldChar>
            </w:r>
            <w:r w:rsidRPr="00496C63">
              <w:rPr>
                <w:rFonts w:ascii="Times New Roman" w:hAnsi="Times New Roman" w:cs="Times New Roman"/>
                <w:sz w:val="24"/>
                <w:szCs w:val="24"/>
                <w:lang w:val="pt-BR"/>
              </w:rPr>
              <w:instrText xml:space="preserve"> FORMTEXT </w:instrText>
            </w:r>
            <w:r w:rsidRPr="00496C63">
              <w:rPr>
                <w:rFonts w:ascii="Times New Roman" w:hAnsi="Times New Roman"/>
                <w:sz w:val="24"/>
                <w:lang w:val="pt-BR"/>
              </w:rPr>
            </w:r>
            <w:r w:rsidRPr="00496C63">
              <w:rPr>
                <w:rFonts w:ascii="Times New Roman" w:hAnsi="Times New Roman"/>
                <w:sz w:val="24"/>
                <w:lang w:val="pt-BR"/>
              </w:rPr>
              <w:fldChar w:fldCharType="separate"/>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fldChar w:fldCharType="end"/>
            </w:r>
            <w:r w:rsidRPr="00496C63">
              <w:rPr>
                <w:rFonts w:ascii="Times New Roman" w:hAnsi="Times New Roman" w:cs="Times New Roman"/>
                <w:sz w:val="24"/>
                <w:szCs w:val="24"/>
                <w:lang w:val="pt-BR"/>
              </w:rPr>
              <w:t>]</w:t>
            </w:r>
            <w:bookmarkEnd w:id="18"/>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77777777" w:rsidR="00742ACA" w:rsidRPr="006A7ECF" w:rsidRDefault="00E35A07" w:rsidP="000D1556">
            <w:pPr>
              <w:pStyle w:val="BodyText21"/>
              <w:overflowPunct/>
              <w:autoSpaceDE/>
              <w:adjustRightInd/>
              <w:spacing w:line="312" w:lineRule="auto"/>
              <w:rPr>
                <w:rFonts w:ascii="Times New Roman" w:hAnsi="Times New Roman"/>
                <w:sz w:val="24"/>
                <w:lang w:val="pt-BR"/>
              </w:rPr>
            </w:pPr>
            <w:bookmarkStart w:id="19" w:name="Texto48"/>
            <w:r w:rsidRPr="006A7ECF">
              <w:rPr>
                <w:rFonts w:ascii="Times New Roman" w:hAnsi="Times New Roman" w:cs="Times New Roman"/>
                <w:sz w:val="24"/>
                <w:szCs w:val="24"/>
                <w:lang w:val="pt-BR"/>
              </w:rPr>
              <w:t>[</w:t>
            </w:r>
            <w:r w:rsidR="00742ACA" w:rsidRPr="006A7ECF">
              <w:rPr>
                <w:rFonts w:ascii="Times New Roman" w:hAnsi="Times New Roman"/>
                <w:sz w:val="24"/>
                <w:lang w:val="pt-BR"/>
              </w:rPr>
              <w:fldChar w:fldCharType="begin">
                <w:ffData>
                  <w:name w:val="Texto48"/>
                  <w:enabled/>
                  <w:calcOnExit w:val="0"/>
                  <w:textInput/>
                </w:ffData>
              </w:fldChar>
            </w:r>
            <w:r w:rsidR="00742ACA" w:rsidRPr="006A7ECF">
              <w:rPr>
                <w:rFonts w:ascii="Times New Roman" w:hAnsi="Times New Roman" w:cs="Times New Roman"/>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19"/>
            <w:r w:rsidRPr="006A7ECF">
              <w:rPr>
                <w:rFonts w:ascii="Times New Roman" w:hAnsi="Times New Roman" w:cs="Times New Roman"/>
                <w:sz w:val="24"/>
                <w:szCs w:val="24"/>
                <w:lang w:val="pt-BR"/>
              </w:rPr>
              <w:t>]</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77777777" w:rsidR="00742ACA" w:rsidRPr="006A7ECF" w:rsidRDefault="00E35A07" w:rsidP="000D1556">
            <w:pPr>
              <w:spacing w:line="312" w:lineRule="auto"/>
              <w:jc w:val="both"/>
              <w:rPr>
                <w:rFonts w:ascii="Times New Roman" w:hAnsi="Times New Roman"/>
                <w:sz w:val="24"/>
                <w:lang w:val="pt-BR"/>
              </w:rPr>
            </w:pPr>
            <w:bookmarkStart w:id="20" w:name="Texto49"/>
            <w:r w:rsidRPr="006A7ECF">
              <w:rPr>
                <w:rFonts w:ascii="Times New Roman" w:hAnsi="Times New Roman" w:cs="Times New Roman"/>
                <w:bCs/>
                <w:sz w:val="24"/>
                <w:szCs w:val="24"/>
                <w:lang w:val="pt-BR"/>
              </w:rPr>
              <w:t>[</w:t>
            </w:r>
            <w:r w:rsidR="00742ACA" w:rsidRPr="006A7ECF">
              <w:rPr>
                <w:rFonts w:ascii="Times New Roman" w:hAnsi="Times New Roman"/>
                <w:sz w:val="24"/>
                <w:lang w:val="pt-BR"/>
              </w:rPr>
              <w:fldChar w:fldCharType="begin">
                <w:ffData>
                  <w:name w:val="Texto49"/>
                  <w:enabled/>
                  <w:calcOnExit w:val="0"/>
                  <w:textInput/>
                </w:ffData>
              </w:fldChar>
            </w:r>
            <w:r w:rsidR="00742ACA" w:rsidRPr="006A7ECF">
              <w:rPr>
                <w:rFonts w:ascii="Times New Roman" w:hAnsi="Times New Roman" w:cs="Times New Roman"/>
                <w:bCs/>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20"/>
            <w:r w:rsidRPr="006A7ECF">
              <w:rPr>
                <w:rFonts w:ascii="Times New Roman" w:hAnsi="Times New Roman" w:cs="Times New Roman"/>
                <w:bCs/>
                <w:sz w:val="24"/>
                <w:szCs w:val="24"/>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6A7ECF"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1"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1"/>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lastRenderedPageBreak/>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4D110E6C"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t>[</w:t>
            </w:r>
            <w:r w:rsidRPr="00BF5064">
              <w:rPr>
                <w:rFonts w:ascii="Times New Roman" w:hAnsi="Times New Roman" w:cs="Times New Roman"/>
                <w:b/>
                <w:bCs/>
                <w:smallCaps/>
                <w:sz w:val="24"/>
                <w:szCs w:val="24"/>
                <w:highlight w:val="yellow"/>
                <w:lang w:val="pt-BR"/>
              </w:rPr>
              <w:t>nota: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22"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52D3A93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lastRenderedPageBreak/>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3666C80" w:rsidR="00462AF6" w:rsidRPr="00932C13" w:rsidRDefault="00462AF6" w:rsidP="000D1556">
            <w:pPr>
              <w:spacing w:line="312" w:lineRule="auto"/>
              <w:jc w:val="both"/>
              <w:rPr>
                <w:rFonts w:ascii="Times New Roman" w:hAnsi="Times New Roman" w:cs="Times New Roman"/>
                <w:bCs/>
                <w:i/>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3"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552ACD06"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sidR="0000067C">
                    <w:rPr>
                      <w:rFonts w:ascii="Times New Roman" w:hAnsi="Times New Roman" w:cs="Times New Roman"/>
                      <w:bCs/>
                      <w:sz w:val="24"/>
                      <w:szCs w:val="24"/>
                      <w:highlight w:val="yellow"/>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3B5D665B"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3"/>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2"/>
      <w:tr w:rsidR="006F1CC2" w:rsidRPr="006A7ECF"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6A7ECF"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 xml:space="preserve">encargos moratórios, multas, </w:t>
      </w:r>
      <w:r w:rsidR="00DE1217" w:rsidRPr="002852F1">
        <w:rPr>
          <w:rFonts w:ascii="Times New Roman" w:hAnsi="Times New Roman" w:cs="Times New Roman"/>
          <w:sz w:val="24"/>
          <w:szCs w:val="24"/>
          <w:lang w:val="pt-BR"/>
        </w:rPr>
        <w:lastRenderedPageBreak/>
        <w:t>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0BB52F40"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a R$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xml:space="preserve">]) reais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4"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5"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6"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7"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7"/>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lastRenderedPageBreak/>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(i) (com relação a si própria e as SPEs),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6"/>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8" w:name="_Ref328665579"/>
      <w:bookmarkStart w:id="29" w:name="_Ref279828381"/>
      <w:bookmarkStart w:id="30"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1"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1"/>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lastRenderedPageBreak/>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8E370E" w:rsidRDefault="008E370E"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8E370E" w:rsidRDefault="008E370E"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8E370E" w:rsidRDefault="008E370E"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8E370E" w:rsidRDefault="008E370E"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8E370E" w:rsidRDefault="008E370E"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8E370E" w:rsidRDefault="008E370E"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8E370E" w:rsidRDefault="008E370E"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8E370E" w:rsidRDefault="008E370E"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8E370E" w:rsidRDefault="008E370E"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8E370E" w:rsidRDefault="008E370E"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8E370E" w:rsidRDefault="008E370E"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8E370E" w:rsidRDefault="008E370E"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8E370E" w:rsidRDefault="008E370E"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8E370E" w:rsidRDefault="008E370E"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8E370E" w:rsidRDefault="008E370E"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8E370E" w:rsidRDefault="008E370E"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8E370E" w:rsidRDefault="008E370E"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8E370E" w:rsidRDefault="008E370E"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8E370E" w:rsidRDefault="008E370E"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8E370E" w:rsidRDefault="008E370E"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8E370E" w:rsidRDefault="008E370E"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8E370E" w:rsidRDefault="008E370E"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8E370E" w:rsidRDefault="008E370E"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8E370E" w:rsidRDefault="008E370E"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8E370E" w:rsidRDefault="008E370E"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8E370E" w:rsidRDefault="008E370E"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8E370E" w:rsidRDefault="008E370E"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8E370E" w:rsidRDefault="008E370E"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lastRenderedPageBreak/>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8"/>
    <w:bookmarkEnd w:id="29"/>
    <w:bookmarkEnd w:id="30"/>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7777777"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para efeito do cálculo de DIk será sempre considerado de utilização da Taxa DI, será sempre considerado a taxa divulgada com 4 (quatro) Dias Úteis em relação à data efetiva de cálculo.</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2" w:name="_Hlk57783653"/>
      <w:bookmarkStart w:id="33"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2"/>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4" w:name="_DV_M179"/>
      <w:bookmarkEnd w:id="34"/>
      <w:r w:rsidRPr="000D1556">
        <w:rPr>
          <w:rFonts w:ascii="Times New Roman" w:hAnsi="Times New Roman"/>
          <w:color w:val="000000"/>
          <w:sz w:val="24"/>
          <w:szCs w:val="24"/>
          <w:lang w:val="pt-BR"/>
        </w:rPr>
        <w:t xml:space="preserve">extinção ou inaplicabilidade por </w:t>
      </w:r>
      <w:bookmarkStart w:id="35" w:name="_DV_M180"/>
      <w:bookmarkEnd w:id="35"/>
      <w:r w:rsidRPr="000D1556">
        <w:rPr>
          <w:rFonts w:ascii="Times New Roman" w:hAnsi="Times New Roman"/>
          <w:color w:val="000000"/>
          <w:sz w:val="24"/>
          <w:szCs w:val="24"/>
          <w:lang w:val="pt-BR"/>
        </w:rPr>
        <w:t>disposição</w:t>
      </w:r>
      <w:bookmarkStart w:id="36" w:name="_DV_M181"/>
      <w:bookmarkEnd w:id="36"/>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7" w:name="_DV_M188"/>
      <w:bookmarkEnd w:id="37"/>
      <w:r w:rsidRPr="000D1556">
        <w:rPr>
          <w:rFonts w:ascii="Times New Roman" w:hAnsi="Times New Roman"/>
          <w:color w:val="000000"/>
          <w:sz w:val="24"/>
          <w:szCs w:val="24"/>
          <w:lang w:val="pt-BR"/>
        </w:rPr>
        <w:t>o</w:t>
      </w:r>
      <w:bookmarkStart w:id="38" w:name="_DV_M189"/>
      <w:bookmarkEnd w:id="38"/>
      <w:r w:rsidRPr="000D1556">
        <w:rPr>
          <w:rFonts w:ascii="Times New Roman" w:hAnsi="Times New Roman"/>
          <w:color w:val="000000"/>
          <w:sz w:val="24"/>
          <w:szCs w:val="24"/>
          <w:lang w:val="pt-BR"/>
        </w:rPr>
        <w:t xml:space="preserve"> novo parâmetro </w:t>
      </w:r>
      <w:bookmarkStart w:id="39" w:name="_DV_M190"/>
      <w:bookmarkEnd w:id="39"/>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40"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40"/>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3"/>
    <w:p w14:paraId="077DF0FF" w14:textId="238768E4"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41"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p>
    <w:bookmarkStart w:id="42"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2"/>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3"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3"/>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4"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4"/>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45" w:name="Texto1901"/>
      <w:bookmarkEnd w:id="45"/>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6"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lastRenderedPageBreak/>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7"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proofErr w:type="gramEnd"/>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8"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8"/>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49"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49"/>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50"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50"/>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780328C" w:rsidR="007C4845" w:rsidRDefault="007C4845" w:rsidP="000D1556">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Décimo</w:t>
      </w:r>
      <w:proofErr w:type="gramEnd"/>
      <w:r w:rsidR="00505649">
        <w:rPr>
          <w:rFonts w:ascii="Times New Roman" w:hAnsi="Times New Roman" w:cs="Times New Roman"/>
          <w:b/>
          <w:sz w:val="24"/>
          <w:szCs w:val="24"/>
          <w:lang w:val="pt-BR"/>
        </w:rPr>
        <w:t xml:space="preserve">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1"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51"/>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que deverá ser </w:t>
      </w:r>
      <w:r w:rsidR="00D81C62" w:rsidRPr="00D81C62">
        <w:rPr>
          <w:rFonts w:ascii="Times New Roman" w:hAnsi="Times New Roman" w:cs="Times New Roman"/>
          <w:bCs/>
          <w:sz w:val="24"/>
          <w:szCs w:val="24"/>
          <w:lang w:val="pt-BR"/>
        </w:rPr>
        <w:lastRenderedPageBreak/>
        <w:t>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2"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2"/>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53"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4"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5"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 xml:space="preserve">sito de </w:t>
      </w:r>
      <w:r w:rsidR="00F879D0">
        <w:rPr>
          <w:rFonts w:ascii="Times New Roman" w:eastAsia="Arial Unicode MS" w:hAnsi="Times New Roman" w:cs="Times New Roman"/>
          <w:sz w:val="24"/>
          <w:szCs w:val="24"/>
          <w:lang w:val="pt-BR"/>
        </w:rPr>
        <w:lastRenderedPageBreak/>
        <w:t>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6"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6"/>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639981DA"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4C60A6">
        <w:rPr>
          <w:rFonts w:ascii="Times New Roman" w:hAnsi="Times New Roman" w:cs="Times New Roman"/>
          <w:sz w:val="24"/>
          <w:szCs w:val="24"/>
          <w:lang w:val="pt-BR"/>
        </w:rPr>
        <w:t>; [</w:t>
      </w:r>
      <w:r w:rsidR="004C60A6" w:rsidRPr="008B2BF6">
        <w:rPr>
          <w:rFonts w:ascii="Times New Roman" w:hAnsi="Times New Roman" w:cs="Times New Roman"/>
          <w:b/>
          <w:sz w:val="24"/>
          <w:szCs w:val="24"/>
          <w:highlight w:val="yellow"/>
          <w:lang w:val="pt-BR"/>
        </w:rPr>
        <w:t>Nota</w:t>
      </w:r>
      <w:r w:rsidR="004C60A6" w:rsidRPr="008B2BF6">
        <w:rPr>
          <w:rFonts w:ascii="Times New Roman" w:hAnsi="Times New Roman" w:cs="Times New Roman"/>
          <w:sz w:val="24"/>
          <w:szCs w:val="24"/>
          <w:highlight w:val="yellow"/>
          <w:lang w:val="pt-BR"/>
        </w:rPr>
        <w:t>: pendente</w:t>
      </w:r>
      <w:r w:rsidR="004C60A6" w:rsidRPr="00513A82">
        <w:rPr>
          <w:rFonts w:ascii="Times New Roman" w:hAnsi="Times New Roman" w:cs="Times New Roman"/>
          <w:sz w:val="24"/>
          <w:szCs w:val="24"/>
          <w:highlight w:val="yellow"/>
          <w:lang w:val="pt-BR"/>
        </w:rPr>
        <w:t xml:space="preserve"> análise do investidor.</w:t>
      </w:r>
      <w:r w:rsidR="004C60A6">
        <w:rPr>
          <w:rFonts w:ascii="Times New Roman" w:hAnsi="Times New Roman" w:cs="Times New Roman"/>
          <w:sz w:val="24"/>
          <w:szCs w:val="24"/>
          <w:lang w:val="pt-BR"/>
        </w:rPr>
        <w:t>]</w:t>
      </w:r>
    </w:p>
    <w:bookmarkEnd w:id="55"/>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lastRenderedPageBreak/>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77777777"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7"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7"/>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77777777" w:rsidR="0094574E" w:rsidRPr="0062554F" w:rsidRDefault="00416CA2" w:rsidP="007405A5">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w:t>
      </w:r>
      <w:r w:rsidR="007405A5">
        <w:rPr>
          <w:rFonts w:ascii="Times New Roman" w:eastAsia="MS Mincho" w:hAnsi="Times New Roman" w:cs="Times New Roman"/>
          <w:sz w:val="24"/>
          <w:szCs w:val="24"/>
          <w:lang w:val="pt-BR"/>
        </w:rPr>
        <w:t xml:space="preserve">de parte ou da totalidade dos </w:t>
      </w:r>
      <w:r w:rsidR="007405A5" w:rsidRPr="002852F1">
        <w:rPr>
          <w:rFonts w:ascii="Times New Roman" w:eastAsia="MS Mincho" w:hAnsi="Times New Roman" w:cs="Times New Roman"/>
          <w:b/>
          <w:bCs/>
          <w:sz w:val="24"/>
          <w:szCs w:val="24"/>
          <w:lang w:val="pt-BR"/>
        </w:rPr>
        <w:t xml:space="preserve">IMÓVEIS ALIENADOS </w:t>
      </w:r>
      <w:r w:rsidR="007405A5" w:rsidRPr="00AB7F2B">
        <w:rPr>
          <w:rFonts w:ascii="Times New Roman" w:eastAsia="MS Mincho" w:hAnsi="Times New Roman" w:cs="Times New Roman"/>
          <w:b/>
          <w:bCs/>
          <w:sz w:val="24"/>
          <w:szCs w:val="24"/>
          <w:lang w:val="pt-BR"/>
        </w:rPr>
        <w:t>FIDUCIARIAMENTE</w:t>
      </w:r>
      <w:r w:rsidR="00082780">
        <w:rPr>
          <w:rFonts w:ascii="Times New Roman" w:eastAsia="MS Mincho" w:hAnsi="Times New Roman" w:cs="Times New Roman"/>
          <w:b/>
          <w:bCs/>
          <w:sz w:val="24"/>
          <w:szCs w:val="24"/>
          <w:lang w:val="pt-BR"/>
        </w:rPr>
        <w:t xml:space="preserve"> </w:t>
      </w:r>
      <w:r w:rsidR="00082780" w:rsidRPr="00513A82">
        <w:rPr>
          <w:rFonts w:ascii="Times New Roman" w:eastAsia="MS Mincho" w:hAnsi="Times New Roman" w:cs="Times New Roman"/>
          <w:bCs/>
          <w:sz w:val="24"/>
          <w:szCs w:val="24"/>
          <w:lang w:val="pt-BR"/>
        </w:rPr>
        <w:t>que</w:t>
      </w:r>
      <w:r w:rsidR="007405A5">
        <w:rPr>
          <w:rFonts w:ascii="Times New Roman" w:eastAsia="MS Mincho" w:hAnsi="Times New Roman" w:cs="Times New Roman"/>
          <w:b/>
          <w:bCs/>
          <w:sz w:val="24"/>
          <w:szCs w:val="24"/>
          <w:lang w:val="pt-BR"/>
        </w:rPr>
        <w:t xml:space="preserve"> </w:t>
      </w:r>
      <w:r w:rsidR="00082780">
        <w:rPr>
          <w:rFonts w:ascii="Times New Roman" w:eastAsia="MS Mincho" w:hAnsi="Times New Roman" w:cs="Times New Roman"/>
          <w:bCs/>
          <w:sz w:val="24"/>
          <w:szCs w:val="24"/>
          <w:lang w:val="pt-BR"/>
        </w:rPr>
        <w:t xml:space="preserve">resulte </w:t>
      </w:r>
      <w:r w:rsidR="007405A5">
        <w:rPr>
          <w:rFonts w:ascii="Times New Roman" w:eastAsia="MS Mincho" w:hAnsi="Times New Roman" w:cs="Times New Roman"/>
          <w:bCs/>
          <w:sz w:val="24"/>
          <w:szCs w:val="24"/>
          <w:lang w:val="pt-BR"/>
        </w:rPr>
        <w:t xml:space="preserve">em descumprimento não sanado da </w:t>
      </w:r>
      <w:r w:rsidR="007405A5" w:rsidRPr="003F10C7">
        <w:rPr>
          <w:rFonts w:ascii="Times New Roman" w:eastAsia="MS Mincho" w:hAnsi="Times New Roman" w:cs="Times New Roman"/>
          <w:b/>
          <w:bCs/>
          <w:sz w:val="24"/>
          <w:szCs w:val="24"/>
          <w:lang w:val="pt-BR"/>
        </w:rPr>
        <w:t>RAZÃO</w:t>
      </w:r>
      <w:r w:rsidR="007405A5">
        <w:rPr>
          <w:rFonts w:ascii="Times New Roman" w:eastAsia="MS Mincho" w:hAnsi="Times New Roman" w:cs="Times New Roman"/>
          <w:bCs/>
          <w:sz w:val="24"/>
          <w:szCs w:val="24"/>
          <w:lang w:val="pt-BR"/>
        </w:rPr>
        <w:t xml:space="preserve"> </w:t>
      </w:r>
      <w:r w:rsidR="007405A5" w:rsidRPr="007405A5">
        <w:rPr>
          <w:rFonts w:ascii="Times New Roman" w:eastAsia="MS Mincho" w:hAnsi="Times New Roman" w:cs="Times New Roman"/>
          <w:b/>
          <w:bCs/>
          <w:sz w:val="24"/>
          <w:szCs w:val="24"/>
          <w:lang w:val="pt-BR"/>
        </w:rPr>
        <w:t>DE GARANTIA</w:t>
      </w:r>
      <w:r w:rsidRPr="00921333">
        <w:rPr>
          <w:rFonts w:ascii="Times New Roman" w:hAnsi="Times New Roman" w:cs="Times New Roman"/>
          <w:sz w:val="24"/>
          <w:szCs w:val="24"/>
          <w:lang w:val="pt-BR"/>
        </w:rPr>
        <w:t xml:space="preserve">, </w:t>
      </w:r>
      <w:r w:rsidR="00F879D0" w:rsidRPr="002852F1">
        <w:rPr>
          <w:rFonts w:ascii="Times New Roman" w:eastAsia="MS Mincho"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2852F1">
        <w:rPr>
          <w:rFonts w:ascii="Times New Roman" w:eastAsia="MS Mincho" w:hAnsi="Times New Roman" w:cs="Times New Roman"/>
          <w:sz w:val="24"/>
          <w:szCs w:val="24"/>
          <w:lang w:val="pt-BR"/>
        </w:rPr>
        <w:t xml:space="preserve">se tais </w:t>
      </w:r>
      <w:r w:rsidR="00F879D0">
        <w:rPr>
          <w:rFonts w:ascii="Times New Roman" w:eastAsia="MS Mincho" w:hAnsi="Times New Roman" w:cs="Times New Roman"/>
          <w:b/>
          <w:bCs/>
          <w:sz w:val="24"/>
          <w:szCs w:val="24"/>
          <w:lang w:val="pt-BR"/>
        </w:rPr>
        <w:t xml:space="preserve">GARANTIAS </w:t>
      </w:r>
      <w:r w:rsidR="00F879D0" w:rsidRPr="002852F1">
        <w:rPr>
          <w:rFonts w:ascii="Times New Roman" w:eastAsia="MS Mincho" w:hAnsi="Times New Roman" w:cs="Times New Roman"/>
          <w:sz w:val="24"/>
          <w:szCs w:val="24"/>
          <w:lang w:val="pt-BR"/>
        </w:rPr>
        <w:lastRenderedPageBreak/>
        <w:t xml:space="preserve">forem substituídas, reforçadas ou complementadas tempestivamente nos termos dos respectivos </w:t>
      </w:r>
      <w:r w:rsidR="00F879D0" w:rsidRPr="002852F1">
        <w:rPr>
          <w:rFonts w:ascii="Times New Roman" w:eastAsia="MS Mincho" w:hAnsi="Times New Roman" w:cs="Times New Roman"/>
          <w:b/>
          <w:bCs/>
          <w:sz w:val="24"/>
          <w:szCs w:val="24"/>
          <w:lang w:val="pt-BR"/>
        </w:rPr>
        <w:t xml:space="preserve">CONTRATOS DE </w:t>
      </w:r>
      <w:r w:rsidR="00F879D0">
        <w:rPr>
          <w:rFonts w:ascii="Times New Roman" w:eastAsia="MS Mincho" w:hAnsi="Times New Roman" w:cs="Times New Roman"/>
          <w:b/>
          <w:bCs/>
          <w:sz w:val="24"/>
          <w:szCs w:val="24"/>
          <w:lang w:val="pt-BR"/>
        </w:rPr>
        <w:t>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0F7F601F"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excet</w:t>
      </w:r>
      <w:r w:rsidR="00975798">
        <w:rPr>
          <w:rFonts w:ascii="Times New Roman" w:hAnsi="Times New Roman" w:cs="Times New Roman"/>
          <w:sz w:val="24"/>
          <w:szCs w:val="24"/>
          <w:lang w:val="pt-BR"/>
        </w:rPr>
        <w:t>uada</w:t>
      </w:r>
      <w:r>
        <w:rPr>
          <w:rFonts w:ascii="Times New Roman" w:hAnsi="Times New Roman" w:cs="Times New Roman"/>
          <w:sz w:val="24"/>
          <w:szCs w:val="24"/>
          <w:lang w:val="pt-BR"/>
        </w:rPr>
        <w:t xml:space="preserve"> </w:t>
      </w:r>
      <w:r w:rsidR="007405A5">
        <w:rPr>
          <w:rFonts w:ascii="Times New Roman" w:hAnsi="Times New Roman" w:cs="Times New Roman"/>
          <w:sz w:val="24"/>
          <w:szCs w:val="24"/>
          <w:lang w:val="pt-BR"/>
        </w:rPr>
        <w:t xml:space="preserve">com relação </w:t>
      </w:r>
      <w:r w:rsidR="0031365F">
        <w:rPr>
          <w:rFonts w:ascii="Times New Roman" w:hAnsi="Times New Roman" w:cs="Times New Roman"/>
          <w:sz w:val="24"/>
          <w:szCs w:val="24"/>
          <w:lang w:val="pt-BR"/>
        </w:rPr>
        <w:t xml:space="preserve">ao objeto mencionado na Cláusula </w:t>
      </w:r>
      <w:r w:rsidR="005A7720">
        <w:rPr>
          <w:rFonts w:ascii="Times New Roman" w:hAnsi="Times New Roman" w:cs="Times New Roman"/>
          <w:sz w:val="24"/>
          <w:szCs w:val="24"/>
          <w:lang w:val="pt-BR"/>
        </w:rPr>
        <w:t>15 abaixo referente à Ação Penal</w:t>
      </w:r>
      <w:r w:rsidR="00E35A07" w:rsidRPr="00263D1D">
        <w:rPr>
          <w:rFonts w:ascii="Times New Roman" w:hAnsi="Times New Roman" w:cs="Times New Roman"/>
          <w:sz w:val="24"/>
          <w:szCs w:val="24"/>
          <w:lang w:val="pt-BR"/>
        </w:rPr>
        <w:t xml:space="preserve"> nº 0060957-26.2014.8.26.0050, em curso perante a </w:t>
      </w:r>
      <w:bookmarkStart w:id="58"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58"/>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1F051675"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r w:rsidR="00A03C5C" w:rsidRPr="00513A82">
        <w:rPr>
          <w:rFonts w:ascii="Times New Roman" w:hAnsi="Times New Roman" w:cs="Times New Roman"/>
          <w:b/>
          <w:bCs/>
          <w:sz w:val="24"/>
          <w:szCs w:val="24"/>
          <w:highlight w:val="yellow"/>
          <w:lang w:val="pt-BR"/>
        </w:rPr>
        <w:t>Nota</w:t>
      </w:r>
      <w:r w:rsidR="00A03C5C" w:rsidRPr="00513A82">
        <w:rPr>
          <w:rFonts w:ascii="Times New Roman" w:hAnsi="Times New Roman" w:cs="Times New Roman"/>
          <w:bCs/>
          <w:sz w:val="24"/>
          <w:szCs w:val="24"/>
          <w:highlight w:val="yellow"/>
          <w:lang w:val="pt-BR"/>
        </w:rPr>
        <w:t xml:space="preserve">: </w:t>
      </w:r>
      <w:r w:rsidR="005A7720" w:rsidRPr="006A7ECF">
        <w:rPr>
          <w:rFonts w:ascii="Times New Roman" w:hAnsi="Times New Roman" w:cs="Times New Roman"/>
          <w:bCs/>
          <w:sz w:val="24"/>
          <w:szCs w:val="24"/>
          <w:highlight w:val="yellow"/>
          <w:lang w:val="pt-BR"/>
        </w:rPr>
        <w:t>Pendente avaliação sobre pagamento de prêmio. Entendemos que ficou acordado que o prêmio não seria aplicado nesse caso, mas por favor confirmar</w:t>
      </w:r>
      <w:r w:rsidR="003050FC">
        <w:rPr>
          <w:rFonts w:ascii="Times New Roman" w:hAnsi="Times New Roman" w:cs="Times New Roman"/>
          <w:bCs/>
          <w:sz w:val="24"/>
          <w:szCs w:val="24"/>
          <w:highlight w:val="yellow"/>
          <w:lang w:val="pt-BR"/>
        </w:rPr>
        <w:t>.]</w:t>
      </w:r>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2B7482FE"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w:t>
      </w:r>
      <w:r w:rsidR="0062554F">
        <w:rPr>
          <w:rFonts w:ascii="Times New Roman" w:hAnsi="Times New Roman" w:cs="Times New Roman"/>
          <w:b/>
          <w:bCs/>
          <w:smallCaps/>
          <w:sz w:val="24"/>
          <w:szCs w:val="24"/>
          <w:highlight w:val="yellow"/>
          <w:lang w:val="pt-BR"/>
        </w:rPr>
        <w:t>possibilidade de resgate antecipado dos CRI s/ pagamento de prêmio na hipótese acima sob validação do IBBA</w:t>
      </w:r>
      <w:r w:rsidR="007F27D5" w:rsidRPr="00EB42BF">
        <w:rPr>
          <w:rFonts w:ascii="Times New Roman" w:hAnsi="Times New Roman" w:cs="Times New Roman"/>
          <w:b/>
          <w:bCs/>
          <w:smallCaps/>
          <w:sz w:val="24"/>
          <w:szCs w:val="24"/>
          <w:highlight w:val="yellow"/>
          <w:lang w:val="pt-BR"/>
        </w:rPr>
        <w:t>.</w:t>
      </w:r>
      <w:r w:rsidR="007F27D5">
        <w:rPr>
          <w:rFonts w:ascii="Times New Roman" w:hAnsi="Times New Roman" w:cs="Times New Roman"/>
          <w:b/>
          <w:bCs/>
          <w:smallCaps/>
          <w:sz w:val="24"/>
          <w:szCs w:val="24"/>
          <w:lang w:val="pt-BR"/>
        </w:rPr>
        <w:t xml:space="preserve">]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59"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60"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0"/>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9"/>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1" w:name="_Hlk57040378"/>
      <w:r w:rsidR="007F551D" w:rsidRPr="00F27AFF">
        <w:rPr>
          <w:rFonts w:ascii="Times New Roman" w:hAnsi="Times New Roman" w:cs="Times New Roman"/>
          <w:b/>
          <w:sz w:val="24"/>
          <w:szCs w:val="24"/>
          <w:lang w:val="pt-BR"/>
        </w:rPr>
        <w:t>RAZÃO DE GARANTIA</w:t>
      </w:r>
      <w:bookmarkEnd w:id="61"/>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1FA0AE12"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w:t>
      </w:r>
      <w:r w:rsidR="00E71B50" w:rsidRPr="002852F1">
        <w:rPr>
          <w:rFonts w:ascii="Times New Roman" w:hAnsi="Times New Roman" w:cs="Times New Roman"/>
          <w:bCs/>
          <w:spacing w:val="-4"/>
          <w:sz w:val="24"/>
          <w:szCs w:val="24"/>
        </w:rPr>
        <w:lastRenderedPageBreak/>
        <w:t xml:space="preserve">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lastRenderedPageBreak/>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62"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62"/>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xml:space="preserve">) ocorrência de dano </w:t>
      </w:r>
      <w:r w:rsidRPr="002852F1">
        <w:rPr>
          <w:rFonts w:ascii="Times New Roman" w:hAnsi="Times New Roman" w:cs="Times New Roman"/>
          <w:sz w:val="24"/>
          <w:szCs w:val="24"/>
        </w:rPr>
        <w:lastRenderedPageBreak/>
        <w:t>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6A7ECF">
        <w:rPr>
          <w:rFonts w:ascii="Times New Roman" w:hAnsi="Times New Roman" w:cs="Times New Roman"/>
          <w:b/>
          <w:bCs/>
          <w:sz w:val="24"/>
          <w:szCs w:val="24"/>
          <w:lang w:val="pt-BR"/>
        </w:rPr>
      </w:r>
      <w:r w:rsidR="006A7ECF">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lastRenderedPageBreak/>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lastRenderedPageBreak/>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63"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63"/>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64" w:name="_Hlk59296222"/>
      <w:bookmarkStart w:id="65"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64"/>
      <w:r w:rsidRPr="002852F1">
        <w:rPr>
          <w:rFonts w:ascii="Times New Roman" w:hAnsi="Times New Roman" w:cs="Times New Roman"/>
          <w:sz w:val="24"/>
          <w:szCs w:val="24"/>
          <w:lang w:val="pt-BR"/>
        </w:rPr>
        <w:t>ios</w:t>
      </w:r>
      <w:bookmarkEnd w:id="65"/>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66" w:name="_Hlk59565306"/>
      <w:r w:rsidRPr="002852F1">
        <w:rPr>
          <w:rFonts w:ascii="Times New Roman" w:hAnsi="Times New Roman" w:cs="Times New Roman"/>
          <w:sz w:val="24"/>
          <w:szCs w:val="24"/>
          <w:lang w:val="pt-BR"/>
        </w:rPr>
        <w:t>possua provimento jurisdicional vigente autorizando sua não observância</w:t>
      </w:r>
      <w:bookmarkEnd w:id="66"/>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67"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67"/>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 xml:space="preserve">autorizações e aprovações necessárias para o </w:t>
      </w:r>
      <w:r w:rsidRPr="000A748E">
        <w:rPr>
          <w:rFonts w:ascii="Times New Roman" w:hAnsi="Times New Roman" w:cs="Times New Roman"/>
          <w:sz w:val="24"/>
          <w:szCs w:val="24"/>
          <w:lang w:val="pt-BR"/>
        </w:rPr>
        <w:lastRenderedPageBreak/>
        <w:t>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EE17135" w14:textId="77777777"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lastRenderedPageBreak/>
        <w:t xml:space="preserve">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68"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68"/>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w:t>
      </w:r>
      <w:r w:rsidRPr="002F05D8">
        <w:rPr>
          <w:rFonts w:ascii="Times New Roman" w:hAnsi="Times New Roman" w:cs="Times New Roman"/>
          <w:iCs/>
          <w:sz w:val="24"/>
          <w:szCs w:val="24"/>
          <w:lang w:val="pt-BR"/>
        </w:rPr>
        <w:lastRenderedPageBreak/>
        <w:t xml:space="preserve">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9"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9"/>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70"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0"/>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71"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6A7ECF">
        <w:rPr>
          <w:rFonts w:ascii="Times New Roman" w:hAnsi="Times New Roman" w:cs="Times New Roman"/>
          <w:sz w:val="24"/>
          <w:szCs w:val="24"/>
          <w:lang w:val="pt-BR"/>
        </w:rPr>
      </w:r>
      <w:r w:rsidR="006A7ECF">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1"/>
    </w:p>
    <w:p w14:paraId="0FE913E4" w14:textId="2D7DED09"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6A7ECF">
        <w:rPr>
          <w:rFonts w:ascii="Times New Roman" w:hAnsi="Times New Roman" w:cs="Times New Roman"/>
          <w:b/>
          <w:sz w:val="24"/>
          <w:szCs w:val="24"/>
          <w:highlight w:val="yellow"/>
          <w:lang w:val="pt-BR"/>
        </w:rPr>
        <w:t>Nota</w:t>
      </w:r>
      <w:r w:rsidR="00572E0C" w:rsidRPr="006A7ECF">
        <w:rPr>
          <w:rFonts w:ascii="Times New Roman" w:hAnsi="Times New Roman" w:cs="Times New Roman"/>
          <w:sz w:val="24"/>
          <w:szCs w:val="24"/>
          <w:highlight w:val="yellow"/>
          <w:lang w:val="pt-BR"/>
        </w:rPr>
        <w:t>: sob avaliação da Companhia</w:t>
      </w:r>
      <w:r w:rsidR="00572E0C">
        <w:rPr>
          <w:rFonts w:ascii="Times New Roman" w:hAnsi="Times New Roman" w:cs="Times New Roman"/>
          <w:sz w:val="24"/>
          <w:szCs w:val="24"/>
          <w:lang w:val="pt-BR"/>
        </w:rPr>
        <w:t>]</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w:t>
      </w:r>
      <w:r w:rsidR="00767413" w:rsidRPr="002852F1">
        <w:rPr>
          <w:rFonts w:ascii="Times New Roman" w:hAnsi="Times New Roman" w:cs="Times New Roman"/>
          <w:sz w:val="24"/>
          <w:szCs w:val="24"/>
          <w:lang w:val="pt-BR"/>
        </w:rPr>
        <w:lastRenderedPageBreak/>
        <w:t xml:space="preserve">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0B2E1C2B"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2"/>
          <w:footerReference w:type="default" r:id="rId13"/>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72"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73" w:name="_Hlk59579014"/>
            <w:r w:rsidRPr="00F57EFE">
              <w:rPr>
                <w:rFonts w:ascii="Times New Roman" w:hAnsi="Times New Roman" w:cs="Times New Roman"/>
                <w:b/>
                <w:bCs/>
                <w:color w:val="000000"/>
                <w:lang w:val="pt-BR" w:eastAsia="pt-BR"/>
              </w:rPr>
              <w:t>158.397,92</w:t>
            </w:r>
            <w:bookmarkEnd w:id="73"/>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72"/>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74"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7F87D527" w14:textId="77777777" w:rsidTr="006A7ECF">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 xml:space="preserve">São </w:t>
            </w:r>
            <w:proofErr w:type="spellStart"/>
            <w:r w:rsidRPr="00BF5064">
              <w:rPr>
                <w:rFonts w:ascii="Calibri" w:hAnsi="Calibri" w:cs="Calibri"/>
                <w:color w:val="000000"/>
                <w:sz w:val="18"/>
                <w:szCs w:val="18"/>
                <w:highlight w:val="yellow"/>
                <w:lang w:val="pt-BR" w:eastAsia="pt-BR"/>
              </w:rPr>
              <w:t>Paulo-SP</w:t>
            </w:r>
            <w:proofErr w:type="spellEnd"/>
          </w:p>
        </w:tc>
        <w:tc>
          <w:tcPr>
            <w:tcW w:w="2021" w:type="dxa"/>
            <w:shd w:val="clear" w:color="auto" w:fill="auto"/>
            <w:vAlign w:val="center"/>
            <w:hideMark/>
          </w:tcPr>
          <w:p w14:paraId="53C9CB44" w14:textId="010477C1"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75"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74"/>
      <w:bookmarkEnd w:id="75"/>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6A7ECF"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6A7ECF"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6A7ECF"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6A7ECF"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230E7266" w14:textId="6FFF4479" w:rsidR="00277784" w:rsidRPr="002852F1" w:rsidRDefault="00277784"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w:t>
      </w:r>
      <w:r w:rsidRPr="006A7ECF">
        <w:rPr>
          <w:rFonts w:ascii="Times New Roman" w:hAnsi="Times New Roman" w:cs="Times New Roman"/>
          <w:b/>
          <w:sz w:val="24"/>
          <w:szCs w:val="24"/>
          <w:highlight w:val="yellow"/>
          <w:lang w:val="pt-BR"/>
        </w:rPr>
        <w:t xml:space="preserve">Nota: </w:t>
      </w:r>
      <w:r w:rsidRPr="006A7ECF">
        <w:rPr>
          <w:rFonts w:ascii="Times New Roman" w:hAnsi="Times New Roman" w:cs="Times New Roman"/>
          <w:sz w:val="24"/>
          <w:szCs w:val="24"/>
          <w:highlight w:val="yellow"/>
          <w:lang w:val="pt-BR"/>
        </w:rPr>
        <w:t>pendente preenchimento</w:t>
      </w:r>
      <w:r>
        <w:rPr>
          <w:rFonts w:ascii="Times New Roman" w:hAnsi="Times New Roman" w:cs="Times New Roman"/>
          <w:b/>
          <w:sz w:val="24"/>
          <w:szCs w:val="24"/>
          <w:lang w:val="pt-BR"/>
        </w:rPr>
        <w:t>]</w:t>
      </w:r>
    </w:p>
    <w:tbl>
      <w:tblPr>
        <w:tblStyle w:val="Tabelacomgrade"/>
        <w:tblpPr w:leftFromText="141" w:rightFromText="141" w:vertAnchor="text" w:horzAnchor="page" w:tblpX="2596" w:tblpY="264"/>
        <w:tblW w:w="0" w:type="auto"/>
        <w:tblLook w:val="04A0" w:firstRow="1" w:lastRow="0" w:firstColumn="1" w:lastColumn="0" w:noHBand="0" w:noVBand="1"/>
      </w:tblPr>
      <w:tblGrid>
        <w:gridCol w:w="1327"/>
        <w:gridCol w:w="1705"/>
        <w:gridCol w:w="1347"/>
        <w:gridCol w:w="1389"/>
        <w:gridCol w:w="1416"/>
        <w:gridCol w:w="1422"/>
        <w:gridCol w:w="1432"/>
        <w:gridCol w:w="1413"/>
      </w:tblGrid>
      <w:tr w:rsidR="00277784" w14:paraId="3ACCF421" w14:textId="77777777" w:rsidTr="00277784">
        <w:tc>
          <w:tcPr>
            <w:tcW w:w="1327" w:type="dxa"/>
          </w:tcPr>
          <w:p w14:paraId="6760EABC"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277784">
              <w:rPr>
                <w:rFonts w:ascii="Times New Roman" w:hAnsi="Times New Roman" w:cs="Times New Roman"/>
                <w:b/>
                <w:lang w:val="pt-BR"/>
              </w:rPr>
              <w:t>Identifi</w:t>
            </w:r>
            <w:r w:rsidRPr="00B177C2">
              <w:rPr>
                <w:rFonts w:ascii="Times New Roman" w:hAnsi="Times New Roman" w:cs="Times New Roman"/>
                <w:b/>
                <w:lang w:val="pt-BR"/>
              </w:rPr>
              <w:t>cação da Unidade</w:t>
            </w:r>
          </w:p>
        </w:tc>
        <w:tc>
          <w:tcPr>
            <w:tcW w:w="1705" w:type="dxa"/>
          </w:tcPr>
          <w:p w14:paraId="0C1A18EC" w14:textId="3B49D4E2"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Empreendimento</w:t>
            </w:r>
            <w:r>
              <w:rPr>
                <w:rFonts w:ascii="Times New Roman" w:hAnsi="Times New Roman" w:cs="Times New Roman"/>
                <w:b/>
                <w:lang w:val="pt-BR"/>
              </w:rPr>
              <w:t xml:space="preserve"> (SPE)</w:t>
            </w:r>
          </w:p>
        </w:tc>
        <w:tc>
          <w:tcPr>
            <w:tcW w:w="1347" w:type="dxa"/>
          </w:tcPr>
          <w:p w14:paraId="603ADB6B"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Andar</w:t>
            </w:r>
          </w:p>
        </w:tc>
        <w:tc>
          <w:tcPr>
            <w:tcW w:w="1389" w:type="dxa"/>
          </w:tcPr>
          <w:p w14:paraId="4D006EDD"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Número</w:t>
            </w:r>
          </w:p>
        </w:tc>
        <w:tc>
          <w:tcPr>
            <w:tcW w:w="1416" w:type="dxa"/>
          </w:tcPr>
          <w:p w14:paraId="24A9E9B5"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Área Privativa</w:t>
            </w:r>
          </w:p>
        </w:tc>
        <w:tc>
          <w:tcPr>
            <w:tcW w:w="1422" w:type="dxa"/>
          </w:tcPr>
          <w:p w14:paraId="25777AEE"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Tipologia (número de quartos)</w:t>
            </w:r>
          </w:p>
        </w:tc>
        <w:tc>
          <w:tcPr>
            <w:tcW w:w="1432" w:type="dxa"/>
          </w:tcPr>
          <w:p w14:paraId="73B3BC72"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de Avaliação</w:t>
            </w:r>
          </w:p>
        </w:tc>
        <w:tc>
          <w:tcPr>
            <w:tcW w:w="1413" w:type="dxa"/>
          </w:tcPr>
          <w:p w14:paraId="51516643"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na Garantia</w:t>
            </w:r>
          </w:p>
        </w:tc>
      </w:tr>
      <w:tr w:rsidR="00277784" w14:paraId="6F0F1363" w14:textId="77777777" w:rsidTr="00277784">
        <w:tc>
          <w:tcPr>
            <w:tcW w:w="1327" w:type="dxa"/>
          </w:tcPr>
          <w:p w14:paraId="63BE5D0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9036A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30C0BC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02C67D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298BD2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689D92C0"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0013CD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12B619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EB5A88A" w14:textId="77777777" w:rsidTr="00277784">
        <w:tc>
          <w:tcPr>
            <w:tcW w:w="1327" w:type="dxa"/>
          </w:tcPr>
          <w:p w14:paraId="3067B1B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519D81B"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1B844BB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3D5A79E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5302C65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C7FDF6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0A97C0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4108190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158A67E" w14:textId="77777777" w:rsidTr="00277784">
        <w:tc>
          <w:tcPr>
            <w:tcW w:w="1327" w:type="dxa"/>
          </w:tcPr>
          <w:p w14:paraId="4A0FA56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549303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73CB98FA"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4B8975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1892F3C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589F910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C8AC08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20914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6F18B9C" w14:textId="77777777" w:rsidTr="00277784">
        <w:tc>
          <w:tcPr>
            <w:tcW w:w="1327" w:type="dxa"/>
          </w:tcPr>
          <w:p w14:paraId="20F8120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67D78F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39E55E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C522A5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7308C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1C7F6C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5F8379D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1E55B6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A4CEA34" w14:textId="77777777" w:rsidTr="00277784">
        <w:tc>
          <w:tcPr>
            <w:tcW w:w="1327" w:type="dxa"/>
          </w:tcPr>
          <w:p w14:paraId="5B85DB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39354E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4D05A4A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C89DE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1E345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1CA404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67109B6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03262B0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2243149C" w14:textId="77777777" w:rsidTr="00277784">
        <w:tc>
          <w:tcPr>
            <w:tcW w:w="1327" w:type="dxa"/>
          </w:tcPr>
          <w:p w14:paraId="23C1BE1D"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AA714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6C10AE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46CB50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ED53B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BB275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847AC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0C3CAA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0BCD2F2C" w14:textId="77777777" w:rsidTr="00277784">
        <w:tc>
          <w:tcPr>
            <w:tcW w:w="1327" w:type="dxa"/>
          </w:tcPr>
          <w:p w14:paraId="027A5C5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2B35743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CB8FA9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1F7246B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E0F24A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5FF176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630BAE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6801C5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bl>
    <w:p w14:paraId="40A862FD" w14:textId="58D65B8F"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32835584" w14:textId="77777777" w:rsidR="00584488" w:rsidRPr="002852F1" w:rsidRDefault="00584488"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584488" w:rsidRPr="002852F1" w:rsidSect="001B77FE">
      <w:headerReference w:type="default" r:id="rId14"/>
      <w:footerReference w:type="default" r:id="rId15"/>
      <w:pgSz w:w="16840" w:h="11907" w:orient="landscape" w:code="9"/>
      <w:pgMar w:top="907" w:right="1021" w:bottom="907" w:left="1520" w:header="851" w:footer="289"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152" w16cex:dateUtc="2021-01-13T23:06:00Z"/>
  <w16cex:commentExtensible w16cex:durableId="23A9F1B2" w16cex:dateUtc="2021-01-14T01:24:00Z"/>
  <w16cex:commentExtensible w16cex:durableId="23A9D181" w16cex:dateUtc="2021-01-13T23:07:00Z"/>
  <w16cex:commentExtensible w16cex:durableId="23A9F449" w16cex:dateUtc="2021-01-14T01:35:00Z"/>
  <w16cex:commentExtensible w16cex:durableId="23A9F555" w16cex:dateUtc="2021-01-14T01:40:00Z"/>
  <w16cex:commentExtensible w16cex:durableId="23A9F951" w16cex:dateUtc="2021-01-14T01:57:00Z"/>
  <w16cex:commentExtensible w16cex:durableId="23A9F98E" w16cex:dateUtc="2021-01-14T01:58:00Z"/>
  <w16cex:commentExtensible w16cex:durableId="23A9FA2E" w16cex:dateUtc="2021-01-14T02:01:00Z"/>
  <w16cex:commentExtensible w16cex:durableId="23A9D8B6" w16cex:dateUtc="2021-01-13T23:38:00Z"/>
  <w16cex:commentExtensible w16cex:durableId="23A9FE9A" w16cex:dateUtc="2021-01-14T02:19:00Z"/>
  <w16cex:commentExtensible w16cex:durableId="23A9D9D6" w16cex:dateUtc="2021-01-13T23:43:00Z"/>
  <w16cex:commentExtensible w16cex:durableId="23AA0270" w16cex:dateUtc="2021-01-14T02:36:00Z"/>
  <w16cex:commentExtensible w16cex:durableId="23A9DB3B" w16cex:dateUtc="2021-01-13T23:48:00Z"/>
  <w16cex:commentExtensible w16cex:durableId="23AA0321" w16cex:dateUtc="2021-01-14T02:39:00Z"/>
  <w16cex:commentExtensible w16cex:durableId="23AA049E" w16cex:dateUtc="2021-01-14T02:45:00Z"/>
  <w16cex:commentExtensible w16cex:durableId="23A9DC21" w16cex:dateUtc="2021-01-13T23:52:00Z"/>
  <w16cex:commentExtensible w16cex:durableId="23AA06AE" w16cex:dateUtc="2021-01-14T02:54:00Z"/>
  <w16cex:commentExtensible w16cex:durableId="23A9DE64" w16cex:dateUtc="2021-01-14T0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F14A" w14:textId="77777777" w:rsidR="008E370E" w:rsidRDefault="008E370E">
      <w:r>
        <w:separator/>
      </w:r>
    </w:p>
  </w:endnote>
  <w:endnote w:type="continuationSeparator" w:id="0">
    <w:p w14:paraId="543BBADD" w14:textId="77777777" w:rsidR="008E370E" w:rsidRDefault="008E370E">
      <w:r>
        <w:continuationSeparator/>
      </w:r>
    </w:p>
  </w:endnote>
  <w:endnote w:type="continuationNotice" w:id="1">
    <w:p w14:paraId="4D954D43" w14:textId="77777777" w:rsidR="008E370E" w:rsidRDefault="008E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8E370E" w:rsidRDefault="008E370E">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8E370E" w:rsidRDefault="008E37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8E370E" w:rsidRDefault="008E370E">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8E370E" w:rsidRPr="009179A0" w:rsidRDefault="008E370E"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8E370E" w:rsidRPr="009179A0" w:rsidRDefault="008E370E"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8E370E" w:rsidRDefault="008E37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2D6A" w14:textId="77777777" w:rsidR="008E370E" w:rsidRDefault="008E370E">
      <w:r>
        <w:separator/>
      </w:r>
    </w:p>
  </w:footnote>
  <w:footnote w:type="continuationSeparator" w:id="0">
    <w:p w14:paraId="0A863F2E" w14:textId="77777777" w:rsidR="008E370E" w:rsidRDefault="008E370E">
      <w:r>
        <w:continuationSeparator/>
      </w:r>
    </w:p>
  </w:footnote>
  <w:footnote w:type="continuationNotice" w:id="1">
    <w:p w14:paraId="39A9FDC0" w14:textId="77777777" w:rsidR="008E370E" w:rsidRDefault="008E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8E370E" w:rsidRDefault="008E370E"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8E370E" w:rsidRDefault="00093768"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30AC7636" w:rsidR="008E370E" w:rsidRPr="002852F1" w:rsidRDefault="008E370E"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sidR="00093768">
      <w:rPr>
        <w:rFonts w:ascii="Times New Roman" w:hAnsi="Times New Roman" w:cs="Times New Roman"/>
        <w:b/>
        <w:smallCaps/>
        <w:sz w:val="24"/>
        <w:szCs w:val="24"/>
        <w:lang w:val="pt-BR"/>
      </w:rPr>
      <w:t>2</w:t>
    </w:r>
    <w:r w:rsidR="00277784">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8E370E" w:rsidRPr="002852F1" w:rsidRDefault="008E370E"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8E370E" w:rsidRDefault="008E370E"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584488" w:rsidRDefault="00584488"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771B2CC9" w:rsidR="00584488" w:rsidRPr="002852F1" w:rsidRDefault="00584488"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r w:rsidR="006A7ECF">
      <w:rPr>
        <w:rFonts w:ascii="Times New Roman" w:hAnsi="Times New Roman" w:cs="Times New Roman"/>
        <w:b/>
        <w:smallCaps/>
        <w:sz w:val="24"/>
        <w:szCs w:val="24"/>
        <w:lang w:val="pt-BR"/>
      </w:rPr>
      <w:t>2</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B6C2163" w14:textId="48102C6B" w:rsidR="008E370E" w:rsidRPr="002852F1" w:rsidRDefault="008E370E" w:rsidP="004213B0">
    <w:pPr>
      <w:pStyle w:val="Cabealho"/>
      <w:jc w:val="right"/>
      <w:rPr>
        <w:rFonts w:ascii="Times New Roman" w:hAnsi="Times New Roman" w:cs="Times New Roman"/>
        <w:b/>
        <w:smallCaps/>
        <w:sz w:val="24"/>
        <w:szCs w:val="24"/>
        <w:lang w:val="pt-BR"/>
      </w:rPr>
    </w:pPr>
  </w:p>
  <w:p w14:paraId="3E49AE74" w14:textId="77777777" w:rsidR="008E370E" w:rsidRPr="00932C13" w:rsidRDefault="008E370E"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oter" Target="footer2.xml" Id="rId15" /><Relationship Type="http://schemas.microsoft.com/office/2018/08/relationships/commentsExtensible" Target="commentsExtensi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 S P ! 2 9 6 2 8 0 1 6 . 1 < / d o c u m e n t i d >  
     < s e n d e r i d > S F 0 4 4 6 0 < / s e n d e r i d >  
     < s e n d e r e m a i l > S T E P H A N I E . F U G I T A @ M A T T O S F I L H O . C O M . B R < / s e n d e r e m a i l >  
     < l a s t m o d i f i e d > 2 0 2 1 - 0 1 - 2 2 T 0 0 : 5 8 : 0 0 . 0 0 0 0 0 0 0 - 0 3 : 0 0 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5621-B73D-41A1-8758-E8487ACF7988}">
  <ds:schemaRefs>
    <ds:schemaRef ds:uri="http://schemas.openxmlformats.org/officeDocument/2006/bibliography"/>
  </ds:schemaRefs>
</ds:datastoreItem>
</file>

<file path=customXml/itemProps2.xml><?xml version="1.0" encoding="utf-8"?>
<ds:datastoreItem xmlns:ds="http://schemas.openxmlformats.org/officeDocument/2006/customXml" ds:itemID="{AFAD7D1A-0DCF-4EBE-8E29-1858AEABA2B0}">
  <ds:schemaRefs>
    <ds:schemaRef ds:uri="http://schemas.openxmlformats.org/officeDocument/2006/bibliography"/>
  </ds:schemaRefs>
</ds:datastoreItem>
</file>

<file path=customXml/itemProps3.xml><?xml version="1.0" encoding="utf-8"?>
<ds:datastoreItem xmlns:ds="http://schemas.openxmlformats.org/officeDocument/2006/customXml" ds:itemID="{DBD57C19-F55B-4901-90EC-8F8AC7606A86}">
  <ds:schemaRefs>
    <ds:schemaRef ds:uri="http://schemas.openxmlformats.org/officeDocument/2006/bibliography"/>
  </ds:schemaRefs>
</ds:datastoreItem>
</file>

<file path=customXml/itemProps4.xml><?xml version="1.0" encoding="utf-8"?>
<ds:datastoreItem xmlns:ds="http://schemas.openxmlformats.org/officeDocument/2006/customXml" ds:itemID="{B248918C-7BF2-4931-BD27-96972A4B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9</TotalTime>
  <Pages>49</Pages>
  <Words>14001</Words>
  <Characters>81460</Characters>
  <Application>Microsoft Office Word</Application>
  <DocSecurity>0</DocSecurity>
  <Lines>678</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Mattos Filho</cp:lastModifiedBy>
  <cp:revision>3</cp:revision>
  <cp:lastPrinted>2020-12-29T13:43:00Z</cp:lastPrinted>
  <dcterms:created xsi:type="dcterms:W3CDTF">2021-01-22T03:46:00Z</dcterms:created>
  <dcterms:modified xsi:type="dcterms:W3CDTF">2021-01-22T03:58:00Z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