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0C9A" w14:textId="77777777" w:rsidR="002D5930" w:rsidRPr="004D2F04" w:rsidRDefault="002D5930" w:rsidP="002D5930">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49CB5CD1" w14:textId="77777777" w:rsidR="002D5930" w:rsidRPr="004D2F04" w:rsidRDefault="002D5930" w:rsidP="002D5930">
      <w:pPr>
        <w:spacing w:line="312" w:lineRule="auto"/>
        <w:rPr>
          <w:sz w:val="24"/>
          <w:szCs w:val="24"/>
        </w:rPr>
      </w:pPr>
    </w:p>
    <w:p w14:paraId="19B494EC" w14:textId="77777777" w:rsidR="002D5930" w:rsidRPr="00772DF7" w:rsidRDefault="002D5930" w:rsidP="002D5930">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3FC1D0CA" w14:textId="77777777" w:rsidR="002D5930" w:rsidRDefault="002D5930" w:rsidP="002D5930">
      <w:pPr>
        <w:pStyle w:val="citcar"/>
        <w:spacing w:line="312" w:lineRule="auto"/>
        <w:ind w:left="0" w:right="0"/>
        <w:jc w:val="both"/>
        <w:rPr>
          <w:b/>
          <w:lang w:val="pt-BR"/>
        </w:rPr>
      </w:pPr>
    </w:p>
    <w:p w14:paraId="0973B1EC" w14:textId="6341E69B" w:rsidR="002D5930" w:rsidRPr="007B1E7A" w:rsidRDefault="002D5930" w:rsidP="002D5930">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Pr="008053D7">
        <w:rPr>
          <w:bCs/>
          <w:sz w:val="24"/>
          <w:szCs w:val="24"/>
        </w:rPr>
        <w:t>Cadastro Nacional da Pessoal Jurídica do Ministério da Economia (“</w:t>
      </w:r>
      <w:r w:rsidRPr="008053D7">
        <w:rPr>
          <w:bCs/>
          <w:sz w:val="24"/>
          <w:szCs w:val="24"/>
          <w:u w:val="single"/>
        </w:rPr>
        <w:t>CNPJ</w:t>
      </w:r>
      <w:r w:rsidRPr="008053D7">
        <w:rPr>
          <w:bCs/>
          <w:sz w:val="24"/>
          <w:szCs w:val="24"/>
        </w:rPr>
        <w:t>”)</w:t>
      </w:r>
      <w:r>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Pr="00F65E75">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367D6AB9" w14:textId="77777777" w:rsidR="002D5930" w:rsidRPr="007B1E7A" w:rsidRDefault="002D5930" w:rsidP="002D5930">
      <w:pPr>
        <w:spacing w:line="312" w:lineRule="auto"/>
        <w:jc w:val="both"/>
        <w:rPr>
          <w:color w:val="000000"/>
          <w:sz w:val="24"/>
          <w:szCs w:val="24"/>
        </w:rPr>
      </w:pPr>
    </w:p>
    <w:p w14:paraId="2D849485" w14:textId="7DA03D4C" w:rsidR="002D5930" w:rsidRDefault="002D5930" w:rsidP="002D5930">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w:t>
      </w:r>
      <w:r w:rsidR="00F442FB">
        <w:rPr>
          <w:rFonts w:eastAsia="Batang"/>
          <w:lang w:val="pt-BR"/>
        </w:rPr>
        <w:t>atual</w:t>
      </w:r>
      <w:r w:rsidRPr="00772DF7">
        <w:rPr>
          <w:rFonts w:eastAsia="Batang"/>
          <w:lang w:val="pt-BR"/>
        </w:rPr>
        <w:t xml:space="preserve">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5242717B" w14:textId="77777777" w:rsidR="002D5930" w:rsidRDefault="002D5930" w:rsidP="002D5930">
      <w:pPr>
        <w:pStyle w:val="citcar"/>
        <w:spacing w:line="312" w:lineRule="auto"/>
        <w:ind w:left="0" w:right="0"/>
        <w:jc w:val="both"/>
        <w:rPr>
          <w:b/>
          <w:lang w:val="pt-BR"/>
        </w:rPr>
      </w:pPr>
    </w:p>
    <w:p w14:paraId="5A085A3E" w14:textId="77777777" w:rsidR="002D5930" w:rsidRPr="004D2F04" w:rsidRDefault="002D5930" w:rsidP="002D5930">
      <w:pPr>
        <w:spacing w:line="312" w:lineRule="auto"/>
        <w:jc w:val="both"/>
        <w:rPr>
          <w:color w:val="000000"/>
          <w:sz w:val="24"/>
          <w:szCs w:val="24"/>
        </w:rPr>
      </w:pPr>
      <w:r w:rsidRPr="004D2F04">
        <w:rPr>
          <w:color w:val="000000"/>
          <w:sz w:val="24"/>
          <w:szCs w:val="24"/>
        </w:rPr>
        <w:t>e, ainda, na qualidade de interveniente e anuente,</w:t>
      </w:r>
    </w:p>
    <w:p w14:paraId="0D7ADF35" w14:textId="77777777" w:rsidR="002D5930" w:rsidRPr="004D2F04" w:rsidRDefault="002D5930" w:rsidP="002D5930">
      <w:pPr>
        <w:spacing w:line="312" w:lineRule="auto"/>
        <w:jc w:val="both"/>
        <w:rPr>
          <w:color w:val="000000"/>
          <w:sz w:val="24"/>
          <w:szCs w:val="24"/>
        </w:rPr>
      </w:pPr>
    </w:p>
    <w:p w14:paraId="3DD1B032" w14:textId="77777777" w:rsidR="002D5930" w:rsidRPr="004D2F04" w:rsidRDefault="002D5930" w:rsidP="002D5930">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306153FE" w14:textId="77777777" w:rsidR="002D5930" w:rsidRPr="004D2F04" w:rsidRDefault="002D5930" w:rsidP="002D5930">
      <w:pPr>
        <w:spacing w:line="312" w:lineRule="auto"/>
        <w:jc w:val="both"/>
        <w:rPr>
          <w:color w:val="000000"/>
          <w:sz w:val="24"/>
          <w:szCs w:val="24"/>
        </w:rPr>
      </w:pPr>
    </w:p>
    <w:p w14:paraId="20E00B58" w14:textId="77777777" w:rsidR="002D5930" w:rsidRPr="004D2F04" w:rsidRDefault="002D5930" w:rsidP="002D5930">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4E20012A" w14:textId="77777777" w:rsidR="002D5930" w:rsidRDefault="002D5930" w:rsidP="002D5930">
      <w:pPr>
        <w:pStyle w:val="citcar"/>
        <w:spacing w:line="312" w:lineRule="auto"/>
        <w:ind w:left="0" w:right="0"/>
        <w:jc w:val="both"/>
        <w:rPr>
          <w:b/>
          <w:lang w:val="pt-BR"/>
        </w:rPr>
      </w:pPr>
    </w:p>
    <w:p w14:paraId="3CD98C10" w14:textId="77777777" w:rsidR="002D5930" w:rsidRPr="00772DF7" w:rsidRDefault="002D5930" w:rsidP="002D5930">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Pr>
          <w:lang w:val="pt-BR"/>
        </w:rPr>
        <w:t xml:space="preserve">no âmbito do </w:t>
      </w:r>
      <w:r w:rsidRPr="00B87DE0">
        <w:rPr>
          <w:lang w:val="pt-BR"/>
        </w:rPr>
        <w:t xml:space="preserve">Termo de Securitização de Créditos Imobiliários da 131ª Série da 4ª Emissão de </w:t>
      </w:r>
      <w:r w:rsidRPr="00B87DE0">
        <w:rPr>
          <w:bCs/>
          <w:lang w:val="pt-BR"/>
        </w:rPr>
        <w:t xml:space="preserve">Certificados de Recebíveis Imobiliários da Virgo Companhia de </w:t>
      </w:r>
      <w:r w:rsidRPr="00B87DE0">
        <w:rPr>
          <w:lang w:val="pt-BR"/>
        </w:rPr>
        <w:t>Securitização, o</w:t>
      </w:r>
      <w:r>
        <w:rPr>
          <w:lang w:val="pt-BR"/>
        </w:rPr>
        <w:t xml:space="preserve"> “</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00DF198F" w14:textId="77777777" w:rsidR="002D5930" w:rsidRPr="0019003B" w:rsidRDefault="002D5930" w:rsidP="002D5930">
      <w:pPr>
        <w:pStyle w:val="citcar"/>
        <w:numPr>
          <w:ilvl w:val="0"/>
          <w:numId w:val="35"/>
        </w:numPr>
        <w:spacing w:after="240" w:line="312" w:lineRule="auto"/>
        <w:ind w:left="709" w:right="0"/>
        <w:jc w:val="both"/>
        <w:rPr>
          <w:b/>
          <w:lang w:val="pt-BR"/>
        </w:rPr>
      </w:pPr>
      <w:r>
        <w:rPr>
          <w:bCs/>
          <w:lang w:val="pt-BR"/>
        </w:rPr>
        <w:lastRenderedPageBreak/>
        <w:t xml:space="preserve">o Contrato de Alienação Fiduciária foi prenotado para registro perante o 11º 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sob o nº 1.342.598, em 4 de março de 2021;</w:t>
      </w:r>
    </w:p>
    <w:p w14:paraId="09E42AF7" w14:textId="6C01D573" w:rsidR="002D5930" w:rsidRPr="00A714EF" w:rsidRDefault="002D5930" w:rsidP="002D5930">
      <w:pPr>
        <w:pStyle w:val="citcar"/>
        <w:numPr>
          <w:ilvl w:val="0"/>
          <w:numId w:val="35"/>
        </w:numPr>
        <w:spacing w:after="240" w:line="312" w:lineRule="auto"/>
        <w:ind w:left="709" w:right="0"/>
        <w:jc w:val="both"/>
        <w:rPr>
          <w:b/>
          <w:lang w:val="pt-BR"/>
        </w:rPr>
      </w:pPr>
      <w:r w:rsidRPr="00A714EF">
        <w:rPr>
          <w:lang w:val="pt-BR"/>
        </w:rPr>
        <w:t>em 4 de agosto de 2021, houve a realização da assembleia geral extraordinária dos Titulares de CRI</w:t>
      </w:r>
      <w:r>
        <w:rPr>
          <w:lang w:val="pt-BR"/>
        </w:rPr>
        <w:t>,</w:t>
      </w:r>
      <w:r w:rsidRPr="00A714EF">
        <w:rPr>
          <w:lang w:val="pt-BR"/>
        </w:rPr>
        <w:t xml:space="preserve"> </w:t>
      </w:r>
      <w:proofErr w:type="spellStart"/>
      <w:r>
        <w:rPr>
          <w:lang w:val="pt-BR"/>
        </w:rPr>
        <w:t>rerratificada</w:t>
      </w:r>
      <w:proofErr w:type="spellEnd"/>
      <w:r>
        <w:rPr>
          <w:lang w:val="pt-BR"/>
        </w:rPr>
        <w:t xml:space="preserve"> pela </w:t>
      </w:r>
      <w:r w:rsidRPr="00A714EF">
        <w:rPr>
          <w:lang w:val="pt-BR"/>
        </w:rPr>
        <w:t>assembleia geral extraordinária dos Titulares de CRI</w:t>
      </w:r>
      <w:r>
        <w:rPr>
          <w:lang w:val="pt-BR"/>
        </w:rPr>
        <w:t xml:space="preserve"> realizada em 10 de setembro de 2021, as quais deliberaram</w:t>
      </w:r>
      <w:r w:rsidRPr="00A714EF" w:rsidDel="0012515A">
        <w:rPr>
          <w:lang w:val="pt-BR"/>
        </w:rPr>
        <w:t xml:space="preserve"> </w:t>
      </w:r>
      <w:r w:rsidRPr="00A714EF">
        <w:rPr>
          <w:lang w:val="pt-BR"/>
        </w:rPr>
        <w:t>pela (a) aprovação de determinados imóveis para serem alienados fiduciariamente</w:t>
      </w:r>
      <w:r w:rsidRPr="00B87DE0">
        <w:rPr>
          <w:lang w:val="pt-BR"/>
        </w:rPr>
        <w:t>;</w:t>
      </w:r>
      <w:r w:rsidRPr="00A714EF">
        <w:rPr>
          <w:rFonts w:ascii="Arial Narrow" w:hAnsi="Arial Narrow" w:cs="Tahoma"/>
          <w:lang w:val="pt-BR"/>
        </w:rPr>
        <w:t xml:space="preserve"> </w:t>
      </w:r>
      <w:r w:rsidRPr="00A714EF">
        <w:rPr>
          <w:lang w:val="pt-BR"/>
        </w:rPr>
        <w:t xml:space="preserve">(b) aprovação da prorrogação do início da verificação de Razão Garantia, de modo que o cálculo do percentual de 182% (cento e oitenta e dois por cento) descrito na Cláusula 3.6 do Contrato </w:t>
      </w:r>
      <w:r w:rsidRPr="00A714EF">
        <w:rPr>
          <w:bCs/>
          <w:lang w:val="pt-BR"/>
        </w:rPr>
        <w:t>de Alienação Fiduciária</w:t>
      </w:r>
      <w:r w:rsidRPr="00A714EF">
        <w:rPr>
          <w:lang w:val="pt-BR"/>
        </w:rPr>
        <w:t xml:space="preserve">, seja verificado a partir de 30 de setembro de 2021 (inclusive), e não a partir do 120º (centésimo vigésimo) dia contado do desembolso da CCB; e (c) aprovação da alteração da Data de Verificação indicada na Cláusula 3.6.4 do Contrato </w:t>
      </w:r>
      <w:r w:rsidRPr="00A714EF">
        <w:rPr>
          <w:bCs/>
          <w:lang w:val="pt-BR"/>
        </w:rPr>
        <w:t>de Alienação Fiduciária</w:t>
      </w:r>
      <w:r w:rsidRPr="00A714EF">
        <w:rPr>
          <w:lang w:val="pt-BR"/>
        </w:rPr>
        <w:t xml:space="preserve">, de modo que a Razão de Garantia seja monitorada e verificada pelo Servicer, mensalmente, a partir do mês de agosto, no dia 19 (dezenove) de cada mês ao invés do 5º (quinto) Dia Útil de cada mês;  </w:t>
      </w:r>
    </w:p>
    <w:p w14:paraId="6A6F83AF" w14:textId="77777777" w:rsidR="002D5930" w:rsidRPr="00772DF7" w:rsidRDefault="002D5930" w:rsidP="002D5930">
      <w:pPr>
        <w:pStyle w:val="citcar"/>
        <w:numPr>
          <w:ilvl w:val="0"/>
          <w:numId w:val="35"/>
        </w:numPr>
        <w:spacing w:after="240" w:line="312" w:lineRule="auto"/>
        <w:ind w:left="709" w:right="0"/>
        <w:jc w:val="both"/>
        <w:rPr>
          <w:b/>
          <w:lang w:val="pt-BR"/>
        </w:rPr>
      </w:pPr>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 e</w:t>
      </w:r>
    </w:p>
    <w:p w14:paraId="531BC0DA" w14:textId="77777777" w:rsidR="002D5930" w:rsidRDefault="002D5930" w:rsidP="002D5930">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Pr="00772DF7">
        <w:rPr>
          <w:lang w:val="pt-BR"/>
        </w:rPr>
        <w:t>acima.</w:t>
      </w:r>
    </w:p>
    <w:p w14:paraId="6AC25F7B" w14:textId="77777777" w:rsidR="002D5930" w:rsidRPr="004D2F04" w:rsidRDefault="002D5930" w:rsidP="002D5930">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3DD5EE4A" w14:textId="77777777" w:rsidR="002D5930" w:rsidRPr="004D2F04" w:rsidRDefault="002D5930" w:rsidP="002D5930">
      <w:pPr>
        <w:spacing w:line="312" w:lineRule="auto"/>
        <w:jc w:val="both"/>
        <w:rPr>
          <w:b/>
          <w:sz w:val="24"/>
          <w:szCs w:val="24"/>
        </w:rPr>
      </w:pPr>
    </w:p>
    <w:p w14:paraId="53236958" w14:textId="77777777" w:rsidR="002D5930" w:rsidRPr="009B64DB" w:rsidRDefault="002D5930" w:rsidP="002D5930">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108D345B" w14:textId="77777777" w:rsidR="002D5930" w:rsidRPr="004D2F04" w:rsidRDefault="002D5930" w:rsidP="002D5930">
      <w:pPr>
        <w:pStyle w:val="Ttulo2"/>
        <w:spacing w:before="0" w:after="0" w:line="312" w:lineRule="auto"/>
        <w:rPr>
          <w:rFonts w:ascii="Times New Roman" w:hAnsi="Times New Roman"/>
          <w:bCs/>
          <w:color w:val="000000"/>
          <w:sz w:val="24"/>
          <w:szCs w:val="24"/>
          <w:lang w:val="pt-BR"/>
        </w:rPr>
      </w:pPr>
    </w:p>
    <w:p w14:paraId="141E434E" w14:textId="77777777" w:rsidR="002D5930"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(i) 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w:t>
      </w:r>
      <w:r>
        <w:rPr>
          <w:rFonts w:ascii="Times New Roman" w:hAnsi="Times New Roman"/>
          <w:b w:val="0"/>
          <w:sz w:val="24"/>
          <w:szCs w:val="24"/>
          <w:lang w:val="pt-BR"/>
        </w:rPr>
        <w:lastRenderedPageBreak/>
        <w:t>Aditamento (“</w:t>
      </w:r>
      <w:r w:rsidRPr="00B87DE0">
        <w:rPr>
          <w:rFonts w:ascii="Times New Roman" w:hAnsi="Times New Roman"/>
          <w:b w:val="0"/>
          <w:sz w:val="24"/>
          <w:szCs w:val="24"/>
          <w:u w:val="single"/>
          <w:lang w:val="pt-BR"/>
        </w:rPr>
        <w:t>Contrato de Alienação Fiduciária Consolidado</w:t>
      </w:r>
      <w:r>
        <w:rPr>
          <w:rFonts w:ascii="Times New Roman" w:hAnsi="Times New Roman"/>
          <w:b w:val="0"/>
          <w:sz w:val="24"/>
          <w:szCs w:val="24"/>
          <w:lang w:val="pt-BR"/>
        </w:rPr>
        <w:t>”);</w:t>
      </w:r>
      <w:r w:rsidRPr="004E1581">
        <w:rPr>
          <w:rFonts w:ascii="Times New Roman" w:hAnsi="Times New Roman"/>
          <w:b w:val="0"/>
          <w:sz w:val="24"/>
          <w:szCs w:val="24"/>
          <w:lang w:val="pt-BR"/>
        </w:rPr>
        <w:t xml:space="preserve"> </w:t>
      </w:r>
      <w:r>
        <w:rPr>
          <w:rFonts w:ascii="Times New Roman" w:hAnsi="Times New Roman"/>
          <w:b w:val="0"/>
          <w:sz w:val="24"/>
          <w:szCs w:val="24"/>
          <w:lang w:val="pt-BR"/>
        </w:rPr>
        <w:t>e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os Considerandos, que passam a vigorar com a redação constante do Contrato de Alienação Fiduciária Consolidado.</w:t>
      </w:r>
      <w:r w:rsidRPr="004E1581">
        <w:rPr>
          <w:rFonts w:ascii="Times New Roman" w:hAnsi="Times New Roman"/>
          <w:b w:val="0"/>
          <w:sz w:val="24"/>
          <w:szCs w:val="24"/>
          <w:lang w:val="pt-BR"/>
        </w:rPr>
        <w:t xml:space="preserve"> </w:t>
      </w:r>
    </w:p>
    <w:p w14:paraId="6808BC4F" w14:textId="77777777" w:rsidR="002D5930" w:rsidRPr="00FA3CBF"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Pr="00A94BEB">
        <w:rPr>
          <w:rFonts w:ascii="Times New Roman" w:hAnsi="Times New Roman"/>
          <w:b w:val="0"/>
          <w:sz w:val="24"/>
          <w:szCs w:val="24"/>
          <w:lang w:val="pt-BR"/>
        </w:rPr>
        <w:t>prorrog</w:t>
      </w:r>
      <w:r>
        <w:rPr>
          <w:rFonts w:ascii="Times New Roman" w:hAnsi="Times New Roman"/>
          <w:b w:val="0"/>
          <w:sz w:val="24"/>
          <w:szCs w:val="24"/>
          <w:lang w:val="pt-BR"/>
        </w:rPr>
        <w:t>ar</w:t>
      </w:r>
      <w:r w:rsidRPr="00A94BEB">
        <w:rPr>
          <w:rFonts w:ascii="Times New Roman" w:hAnsi="Times New Roman"/>
          <w:b w:val="0"/>
          <w:sz w:val="24"/>
          <w:szCs w:val="24"/>
          <w:lang w:val="pt-BR"/>
        </w:rPr>
        <w:t xml:space="preserve"> o início da verificação de Razão Garantia</w:t>
      </w:r>
      <w:r>
        <w:rPr>
          <w:rFonts w:ascii="Times New Roman" w:hAnsi="Times New Roman"/>
          <w:b w:val="0"/>
          <w:sz w:val="24"/>
          <w:szCs w:val="24"/>
          <w:lang w:val="pt-BR"/>
        </w:rPr>
        <w:t xml:space="preserve">, passando a referida cláusula a vigorar com a seguinte redação: </w:t>
      </w:r>
    </w:p>
    <w:p w14:paraId="322D0CA6" w14:textId="047BBCB1" w:rsidR="002D5930" w:rsidRPr="00772DF7" w:rsidRDefault="002D5930" w:rsidP="002D5930">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 Fiduciante, da razão de garantia calculada conforme fórmula abaixo (“</w:t>
      </w:r>
      <w:r w:rsidRPr="00772DF7">
        <w:rPr>
          <w:i/>
          <w:iCs/>
          <w:sz w:val="24"/>
          <w:szCs w:val="24"/>
          <w:u w:val="single"/>
        </w:rPr>
        <w:t>Razão de Garantia</w:t>
      </w:r>
      <w:r w:rsidRPr="00772DF7">
        <w:rPr>
          <w:i/>
          <w:iCs/>
          <w:sz w:val="24"/>
          <w:szCs w:val="24"/>
        </w:rPr>
        <w:t xml:space="preserve">”): </w:t>
      </w:r>
    </w:p>
    <w:p w14:paraId="054B1001" w14:textId="77777777" w:rsidR="002D5930" w:rsidRPr="00772DF7" w:rsidRDefault="002D5930" w:rsidP="002D5930">
      <w:pPr>
        <w:spacing w:line="276" w:lineRule="auto"/>
        <w:jc w:val="both"/>
        <w:rPr>
          <w:bCs/>
          <w:i/>
          <w:iCs/>
          <w:sz w:val="24"/>
          <w:szCs w:val="24"/>
        </w:rPr>
      </w:pPr>
    </w:p>
    <w:p w14:paraId="2BB1A5B8" w14:textId="77777777" w:rsidR="002D5930" w:rsidRPr="00772DF7" w:rsidRDefault="002D5930" w:rsidP="002D5930">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592F55E4" w14:textId="77777777" w:rsidR="002D5930" w:rsidRPr="00772DF7" w:rsidRDefault="002D5930" w:rsidP="002D5930">
      <w:pPr>
        <w:spacing w:line="276" w:lineRule="auto"/>
        <w:jc w:val="both"/>
        <w:rPr>
          <w:bCs/>
          <w:i/>
          <w:iCs/>
          <w:sz w:val="24"/>
          <w:szCs w:val="24"/>
        </w:rPr>
      </w:pPr>
    </w:p>
    <w:p w14:paraId="07FEE1B3" w14:textId="77777777" w:rsidR="002D5930" w:rsidRPr="00772DF7" w:rsidRDefault="002D5930" w:rsidP="002D5930">
      <w:pPr>
        <w:spacing w:line="276" w:lineRule="auto"/>
        <w:ind w:left="567"/>
        <w:jc w:val="both"/>
        <w:rPr>
          <w:bCs/>
          <w:i/>
          <w:iCs/>
          <w:sz w:val="24"/>
          <w:szCs w:val="24"/>
        </w:rPr>
      </w:pPr>
      <w:r w:rsidRPr="00772DF7">
        <w:rPr>
          <w:bCs/>
          <w:i/>
          <w:iCs/>
          <w:sz w:val="24"/>
          <w:szCs w:val="24"/>
        </w:rPr>
        <w:t>Onde:</w:t>
      </w:r>
    </w:p>
    <w:p w14:paraId="582549A5" w14:textId="77777777" w:rsidR="002D5930" w:rsidRPr="00772DF7" w:rsidRDefault="002D5930" w:rsidP="002D5930">
      <w:pPr>
        <w:spacing w:line="276" w:lineRule="auto"/>
        <w:jc w:val="both"/>
        <w:rPr>
          <w:bCs/>
          <w:i/>
          <w:iCs/>
          <w:sz w:val="24"/>
          <w:szCs w:val="24"/>
        </w:rPr>
      </w:pPr>
    </w:p>
    <w:p w14:paraId="298732EF" w14:textId="77777777" w:rsidR="002D5930" w:rsidRPr="00772DF7" w:rsidRDefault="002D5930" w:rsidP="002D593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696905BF" w14:textId="1A027C1D" w:rsidR="002D5930" w:rsidRPr="00772DF7" w:rsidRDefault="002D5930" w:rsidP="002D593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7D0E4E45" w14:textId="77777777" w:rsidR="002D5930" w:rsidRPr="00FA3CBF" w:rsidRDefault="002D5930" w:rsidP="002D5930">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28DD9DC3" w14:textId="77777777" w:rsidR="002D5930" w:rsidRPr="00801243"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referida cláusula </w:t>
      </w:r>
      <w:r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58F9FC82" w14:textId="77777777" w:rsidR="002D5930" w:rsidRDefault="002D5930" w:rsidP="002D5930">
      <w:pPr>
        <w:pStyle w:val="citcar"/>
        <w:spacing w:after="240" w:line="312" w:lineRule="auto"/>
        <w:ind w:left="708" w:right="0"/>
        <w:jc w:val="both"/>
        <w:rPr>
          <w:i/>
          <w:lang w:val="pt-BR"/>
        </w:rPr>
      </w:pPr>
      <w:r w:rsidRPr="00772DF7">
        <w:rPr>
          <w:lang w:val="pt-BR"/>
        </w:rPr>
        <w:t>“</w:t>
      </w:r>
      <w:r w:rsidRPr="00772DF7">
        <w:rPr>
          <w:i/>
          <w:lang w:val="pt-BR"/>
        </w:rPr>
        <w:t xml:space="preserve">3.6.4. A Razão de Garantia será monitorada e verificada pelo Servicer, contratado às expensas das Fiduciantes, mensalmente, no dia 19 (dezenove) de </w:t>
      </w:r>
      <w:r w:rsidRPr="00772DF7">
        <w:rPr>
          <w:i/>
          <w:lang w:val="pt-BR"/>
        </w:rPr>
        <w:lastRenderedPageBreak/>
        <w:t>cada mês (“</w:t>
      </w:r>
      <w:r w:rsidRPr="00772DF7">
        <w:rPr>
          <w:i/>
          <w:u w:val="single"/>
          <w:lang w:val="pt-BR"/>
        </w:rPr>
        <w:t>Data de Verificação</w:t>
      </w:r>
      <w:r w:rsidRPr="00772DF7">
        <w:rPr>
          <w:i/>
          <w:lang w:val="pt-BR"/>
        </w:rPr>
        <w:t>”)</w:t>
      </w:r>
      <w:r>
        <w:rPr>
          <w:i/>
          <w:lang w:val="pt-BR"/>
        </w:rPr>
        <w:t>,</w:t>
      </w:r>
      <w:r w:rsidRPr="00772DF7">
        <w:rPr>
          <w:i/>
          <w:lang w:val="pt-BR"/>
        </w:rPr>
        <w:t xml:space="preserve"> por meio do Valor do Estoque, bem como do extrato da Conta Centralizadora, a ser disponibilizado pela Fiduciária, até o dia 10 (dez) de cada mês.”</w:t>
      </w:r>
    </w:p>
    <w:p w14:paraId="0958E9B0" w14:textId="6C6025A5" w:rsidR="002D5930"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atualizar o percentual garantido por cada Imóvel, </w:t>
      </w:r>
      <w:r w:rsidRPr="00E84025">
        <w:rPr>
          <w:rFonts w:ascii="Times New Roman" w:hAnsi="Times New Roman"/>
          <w:b w:val="0"/>
          <w:sz w:val="24"/>
          <w:szCs w:val="24"/>
          <w:lang w:val="pt-BR"/>
        </w:rPr>
        <w:t xml:space="preserve">de forma </w:t>
      </w:r>
      <w:r>
        <w:rPr>
          <w:rFonts w:ascii="Times New Roman" w:hAnsi="Times New Roman"/>
          <w:b w:val="0"/>
          <w:sz w:val="24"/>
          <w:szCs w:val="24"/>
          <w:lang w:val="pt-BR"/>
        </w:rPr>
        <w:t xml:space="preserve">que tal anexo passará a vigorar conforme consta do Contrato de Alienação Fiduciária Consolidado. </w:t>
      </w:r>
    </w:p>
    <w:p w14:paraId="3309ABFA" w14:textId="77777777" w:rsidR="002D5930" w:rsidRPr="00B87DE0" w:rsidRDefault="002D5930" w:rsidP="002D5930">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r w:rsidRPr="00B87DE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151761A7" w14:textId="77777777" w:rsidR="002D5930" w:rsidRPr="009B64DB" w:rsidRDefault="002D5930" w:rsidP="002D5930">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D09F040" w14:textId="4D8A1090"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 xml:space="preserve">A Fiduciante se obriga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4152A403"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1A6ADBFC"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08624AC"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53990F6" w14:textId="77777777" w:rsidR="002D5930" w:rsidRPr="009B64DB" w:rsidRDefault="002D5930" w:rsidP="002D5930">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w:t>
      </w:r>
      <w:r w:rsidRPr="009B64DB">
        <w:rPr>
          <w:rFonts w:ascii="Times New Roman" w:hAnsi="Times New Roman"/>
          <w:b w:val="0"/>
          <w:sz w:val="24"/>
          <w:szCs w:val="24"/>
          <w:lang w:val="pt-BR"/>
        </w:rPr>
        <w:lastRenderedPageBreak/>
        <w:t>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B87DE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C7AE2DF" w14:textId="77777777" w:rsidR="002D5930" w:rsidRPr="009B64DB" w:rsidRDefault="002D5930" w:rsidP="002D5930">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615E2CA6" w14:textId="77777777" w:rsidR="002D5930" w:rsidRPr="00FA037A" w:rsidRDefault="002D5930" w:rsidP="002D5930">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74E3B983" w14:textId="77777777" w:rsidR="002D5930" w:rsidRPr="00FA037A" w:rsidRDefault="002D5930" w:rsidP="002D5930">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5F50D54B" w14:textId="77777777" w:rsidR="002D5930" w:rsidRPr="007E40D0" w:rsidRDefault="002D5930" w:rsidP="002D5930">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3B137E14" w14:textId="77777777" w:rsidR="002D5930" w:rsidRPr="004D2F04" w:rsidRDefault="002D5930" w:rsidP="002D5930">
      <w:pPr>
        <w:spacing w:line="312" w:lineRule="auto"/>
        <w:rPr>
          <w:color w:val="000000"/>
          <w:w w:val="0"/>
          <w:sz w:val="24"/>
          <w:szCs w:val="24"/>
        </w:rPr>
      </w:pPr>
    </w:p>
    <w:p w14:paraId="75D8AB51" w14:textId="33076CA7" w:rsidR="002D5930" w:rsidRPr="004D2F04" w:rsidRDefault="002D5930" w:rsidP="002D5930">
      <w:pPr>
        <w:spacing w:line="312" w:lineRule="auto"/>
        <w:jc w:val="center"/>
        <w:rPr>
          <w:color w:val="000000"/>
          <w:w w:val="0"/>
          <w:sz w:val="24"/>
          <w:szCs w:val="24"/>
        </w:rPr>
      </w:pPr>
      <w:r w:rsidRPr="004D2F04">
        <w:rPr>
          <w:color w:val="000000"/>
          <w:w w:val="0"/>
          <w:sz w:val="24"/>
          <w:szCs w:val="24"/>
        </w:rPr>
        <w:t xml:space="preserve">São Paulo, </w:t>
      </w:r>
      <w:r>
        <w:rPr>
          <w:sz w:val="24"/>
          <w:szCs w:val="24"/>
        </w:rPr>
        <w:t xml:space="preserve">10 de setembro </w:t>
      </w:r>
      <w:r w:rsidRPr="004D2F04">
        <w:rPr>
          <w:color w:val="000000"/>
          <w:w w:val="0"/>
          <w:sz w:val="24"/>
          <w:szCs w:val="24"/>
        </w:rPr>
        <w:t>de 202</w:t>
      </w:r>
      <w:r>
        <w:rPr>
          <w:color w:val="000000"/>
          <w:w w:val="0"/>
          <w:sz w:val="24"/>
          <w:szCs w:val="24"/>
        </w:rPr>
        <w:t>1</w:t>
      </w:r>
    </w:p>
    <w:p w14:paraId="14312B67" w14:textId="77777777" w:rsidR="002D5930" w:rsidRPr="00FA037A" w:rsidRDefault="002D5930" w:rsidP="002D5930">
      <w:pPr>
        <w:spacing w:line="312" w:lineRule="auto"/>
        <w:jc w:val="center"/>
        <w:rPr>
          <w:color w:val="000000"/>
          <w:w w:val="0"/>
          <w:sz w:val="24"/>
          <w:szCs w:val="24"/>
        </w:rPr>
      </w:pPr>
    </w:p>
    <w:p w14:paraId="3D5AD454" w14:textId="77777777" w:rsidR="002D5930" w:rsidRPr="004D2F04" w:rsidRDefault="002D5930" w:rsidP="002D5930">
      <w:pPr>
        <w:spacing w:line="312" w:lineRule="auto"/>
        <w:jc w:val="center"/>
        <w:rPr>
          <w:sz w:val="24"/>
          <w:szCs w:val="24"/>
          <w:lang w:val="x-none"/>
        </w:rPr>
      </w:pPr>
      <w:r w:rsidRPr="004D2F04">
        <w:rPr>
          <w:rFonts w:eastAsia="Arial Unicode MS"/>
          <w:i/>
          <w:iCs/>
          <w:color w:val="000000"/>
          <w:sz w:val="24"/>
          <w:szCs w:val="24"/>
        </w:rPr>
        <w:t>(assinaturas nas páginas seguintes)</w:t>
      </w:r>
    </w:p>
    <w:p w14:paraId="6090600C" w14:textId="77777777" w:rsidR="002D5930" w:rsidRPr="004D2F04" w:rsidRDefault="002D5930" w:rsidP="002D5930">
      <w:pPr>
        <w:spacing w:line="312" w:lineRule="auto"/>
        <w:jc w:val="center"/>
        <w:rPr>
          <w:i/>
          <w:sz w:val="24"/>
          <w:szCs w:val="24"/>
        </w:rPr>
      </w:pPr>
      <w:r w:rsidRPr="004D2F04">
        <w:rPr>
          <w:i/>
          <w:sz w:val="24"/>
          <w:szCs w:val="24"/>
        </w:rPr>
        <w:t>(o restante da página foi deixado intencionalmente em branco)</w:t>
      </w:r>
    </w:p>
    <w:p w14:paraId="7E914206" w14:textId="77777777" w:rsidR="002D5930" w:rsidRDefault="002D5930" w:rsidP="00DC450F">
      <w:pPr>
        <w:pStyle w:val="citcar"/>
        <w:spacing w:line="312" w:lineRule="auto"/>
        <w:ind w:left="0" w:right="0"/>
        <w:jc w:val="both"/>
        <w:rPr>
          <w:b/>
          <w:lang w:val="pt-BR"/>
        </w:rPr>
      </w:pPr>
    </w:p>
    <w:p w14:paraId="59F08E7C" w14:textId="32D2C584" w:rsidR="002D5930" w:rsidRDefault="002D5930">
      <w:pPr>
        <w:spacing w:after="200" w:line="276" w:lineRule="auto"/>
        <w:rPr>
          <w:rFonts w:eastAsia="MS Mincho"/>
          <w:b/>
          <w:sz w:val="24"/>
          <w:szCs w:val="24"/>
          <w:lang w:eastAsia="en-US"/>
        </w:rPr>
      </w:pPr>
      <w:r>
        <w:rPr>
          <w:b/>
        </w:rPr>
        <w:br w:type="page"/>
      </w:r>
    </w:p>
    <w:p w14:paraId="4C21442F" w14:textId="54D0A93C" w:rsidR="002D5930" w:rsidRPr="004D2F04" w:rsidRDefault="002D5930" w:rsidP="002D5930">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10</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setembro</w:t>
      </w:r>
      <w:r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6F727BA7" w14:textId="15FE979A" w:rsidR="002D5930" w:rsidRDefault="002D5930">
      <w:pPr>
        <w:pStyle w:val="citcar"/>
        <w:spacing w:line="312" w:lineRule="auto"/>
        <w:ind w:left="0" w:right="0"/>
        <w:jc w:val="both"/>
        <w:rPr>
          <w:b/>
          <w:lang w:val="pt-BR"/>
        </w:rPr>
      </w:pPr>
    </w:p>
    <w:p w14:paraId="4323F5CA" w14:textId="77777777" w:rsidR="002D5930" w:rsidRPr="00127C92" w:rsidRDefault="002D5930" w:rsidP="002D5930">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5599132F" w14:textId="77777777" w:rsidR="002D5930" w:rsidRPr="004D2F04" w:rsidRDefault="002D5930" w:rsidP="002D5930">
      <w:pPr>
        <w:pStyle w:val="Corpodetexto"/>
        <w:tabs>
          <w:tab w:val="left" w:pos="8647"/>
        </w:tabs>
        <w:spacing w:after="0" w:line="312" w:lineRule="auto"/>
        <w:rPr>
          <w:sz w:val="24"/>
          <w:szCs w:val="24"/>
          <w:lang w:val="pt-BR"/>
        </w:rPr>
      </w:pPr>
    </w:p>
    <w:p w14:paraId="6C81D2E1" w14:textId="77777777" w:rsidR="002D5930" w:rsidRPr="004D2F04" w:rsidRDefault="002D5930" w:rsidP="002D5930">
      <w:pPr>
        <w:pStyle w:val="Corpodetexto"/>
        <w:tabs>
          <w:tab w:val="left" w:pos="8647"/>
        </w:tabs>
        <w:spacing w:after="0" w:line="312" w:lineRule="auto"/>
        <w:rPr>
          <w:sz w:val="24"/>
          <w:szCs w:val="24"/>
          <w:lang w:val="pt-BR"/>
        </w:rPr>
      </w:pPr>
    </w:p>
    <w:p w14:paraId="4B83F5A7" w14:textId="77777777" w:rsidR="002D5930" w:rsidRPr="004D2F04" w:rsidRDefault="002D5930" w:rsidP="002D5930">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2D5930" w:rsidRPr="004D2F04" w14:paraId="284B95F2" w14:textId="77777777" w:rsidTr="002D5930">
        <w:trPr>
          <w:jc w:val="center"/>
        </w:trPr>
        <w:tc>
          <w:tcPr>
            <w:tcW w:w="4420" w:type="dxa"/>
            <w:tcBorders>
              <w:top w:val="nil"/>
              <w:left w:val="nil"/>
              <w:bottom w:val="nil"/>
              <w:right w:val="nil"/>
            </w:tcBorders>
          </w:tcPr>
          <w:p w14:paraId="2073E182" w14:textId="77777777" w:rsidR="002D5930" w:rsidRPr="004D2F04" w:rsidRDefault="002D5930" w:rsidP="002D59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189F09E7" w14:textId="77777777" w:rsidR="002D5930" w:rsidRPr="004D2F04" w:rsidRDefault="002D5930" w:rsidP="002D5930">
            <w:pPr>
              <w:spacing w:line="312" w:lineRule="auto"/>
              <w:jc w:val="center"/>
              <w:rPr>
                <w:sz w:val="24"/>
                <w:szCs w:val="24"/>
              </w:rPr>
            </w:pPr>
            <w:r w:rsidRPr="004D2F04">
              <w:rPr>
                <w:sz w:val="24"/>
                <w:szCs w:val="24"/>
              </w:rPr>
              <w:t>____________________________________</w:t>
            </w:r>
          </w:p>
        </w:tc>
      </w:tr>
      <w:tr w:rsidR="002D5930" w:rsidRPr="004D2F04" w14:paraId="1F4F7886" w14:textId="77777777" w:rsidTr="002D5930">
        <w:trPr>
          <w:trHeight w:val="666"/>
          <w:jc w:val="center"/>
        </w:trPr>
        <w:tc>
          <w:tcPr>
            <w:tcW w:w="4420" w:type="dxa"/>
            <w:tcBorders>
              <w:top w:val="nil"/>
              <w:left w:val="nil"/>
              <w:bottom w:val="nil"/>
              <w:right w:val="nil"/>
            </w:tcBorders>
          </w:tcPr>
          <w:p w14:paraId="76C43323" w14:textId="77777777" w:rsidR="002D5930" w:rsidRPr="004D2F04" w:rsidRDefault="002D5930" w:rsidP="002D5930">
            <w:pPr>
              <w:spacing w:line="312" w:lineRule="auto"/>
              <w:rPr>
                <w:sz w:val="24"/>
                <w:szCs w:val="24"/>
                <w:lang w:eastAsia="en-US"/>
              </w:rPr>
            </w:pPr>
            <w:r w:rsidRPr="004D2F04">
              <w:rPr>
                <w:sz w:val="24"/>
                <w:szCs w:val="24"/>
              </w:rPr>
              <w:t xml:space="preserve">Nome: </w:t>
            </w:r>
            <w:r>
              <w:rPr>
                <w:sz w:val="24"/>
                <w:szCs w:val="24"/>
              </w:rPr>
              <w:t>Antonio Roberto de Matos</w:t>
            </w:r>
          </w:p>
          <w:p w14:paraId="5FEAB7D4" w14:textId="77777777" w:rsidR="002D5930" w:rsidRPr="00127C92" w:rsidRDefault="002D5930" w:rsidP="002D5930">
            <w:pPr>
              <w:spacing w:line="312" w:lineRule="auto"/>
              <w:rPr>
                <w:sz w:val="24"/>
                <w:szCs w:val="24"/>
              </w:rPr>
            </w:pPr>
            <w:r w:rsidRPr="00127C92">
              <w:rPr>
                <w:sz w:val="24"/>
                <w:szCs w:val="24"/>
              </w:rPr>
              <w:t>Cargo: Diretor</w:t>
            </w:r>
          </w:p>
          <w:p w14:paraId="4A9B326E" w14:textId="77777777" w:rsidR="002D5930" w:rsidRPr="004D2F04" w:rsidRDefault="002D5930" w:rsidP="002D5930">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EEA8DD0" w14:textId="77777777" w:rsidR="002D5930" w:rsidRPr="004D2F04" w:rsidRDefault="002D5930" w:rsidP="002D59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74F34F6" w14:textId="77777777" w:rsidR="002D5930" w:rsidRDefault="002D5930" w:rsidP="002D5930">
            <w:pPr>
              <w:spacing w:line="312" w:lineRule="auto"/>
              <w:rPr>
                <w:sz w:val="24"/>
                <w:szCs w:val="24"/>
              </w:rPr>
            </w:pPr>
            <w:r w:rsidRPr="004D2F04">
              <w:rPr>
                <w:sz w:val="24"/>
                <w:szCs w:val="24"/>
              </w:rPr>
              <w:t xml:space="preserve">Cargo: </w:t>
            </w:r>
            <w:r>
              <w:rPr>
                <w:sz w:val="24"/>
                <w:szCs w:val="24"/>
              </w:rPr>
              <w:t>Diretor</w:t>
            </w:r>
          </w:p>
          <w:p w14:paraId="44AF9763" w14:textId="77777777" w:rsidR="002D5930" w:rsidRPr="00127C92" w:rsidRDefault="002D5930" w:rsidP="002D5930">
            <w:pPr>
              <w:spacing w:line="312" w:lineRule="auto"/>
              <w:rPr>
                <w:sz w:val="24"/>
                <w:szCs w:val="24"/>
              </w:rPr>
            </w:pPr>
            <w:r w:rsidRPr="008053D7">
              <w:rPr>
                <w:bCs/>
                <w:sz w:val="24"/>
                <w:szCs w:val="24"/>
              </w:rPr>
              <w:t xml:space="preserve">CPF: </w:t>
            </w:r>
            <w:r w:rsidRPr="008053D7">
              <w:rPr>
                <w:sz w:val="24"/>
                <w:szCs w:val="24"/>
              </w:rPr>
              <w:t>010.434.248-06</w:t>
            </w:r>
          </w:p>
        </w:tc>
      </w:tr>
    </w:tbl>
    <w:p w14:paraId="46CF7210"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1F57B14C" w14:textId="30FB6133" w:rsidR="002D5930" w:rsidRDefault="002D5930">
      <w:pPr>
        <w:spacing w:after="200" w:line="276" w:lineRule="auto"/>
        <w:rPr>
          <w:i/>
          <w:sz w:val="24"/>
          <w:szCs w:val="24"/>
        </w:rPr>
      </w:pPr>
      <w:r w:rsidRPr="004D2F04">
        <w:rPr>
          <w:i/>
          <w:sz w:val="24"/>
          <w:szCs w:val="24"/>
        </w:rPr>
        <w:br w:type="page"/>
      </w:r>
    </w:p>
    <w:p w14:paraId="0EE19691" w14:textId="1430DD70" w:rsidR="002D5930" w:rsidRPr="004D2F04" w:rsidRDefault="002D5930" w:rsidP="002D5930">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10</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setembro</w:t>
      </w:r>
      <w:r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7F59E28F"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36557665"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07ABD0A5"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656FF626" w14:textId="77777777" w:rsidR="002D5930" w:rsidRPr="004D2F04" w:rsidRDefault="002D5930" w:rsidP="002D5930">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1342F017" w14:textId="77777777" w:rsidR="002D5930" w:rsidRPr="004D2F04" w:rsidRDefault="002D5930" w:rsidP="002D5930">
      <w:pPr>
        <w:pStyle w:val="Corpodetexto"/>
        <w:tabs>
          <w:tab w:val="left" w:pos="8647"/>
        </w:tabs>
        <w:spacing w:after="0" w:line="312" w:lineRule="auto"/>
        <w:rPr>
          <w:sz w:val="24"/>
          <w:szCs w:val="24"/>
          <w:lang w:val="pt-BR"/>
        </w:rPr>
      </w:pPr>
    </w:p>
    <w:p w14:paraId="0A01657F" w14:textId="77777777" w:rsidR="002D5930" w:rsidRPr="004D2F04" w:rsidRDefault="002D5930" w:rsidP="002D5930">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83113" w:rsidRPr="004D2F04" w14:paraId="3648A46E" w14:textId="77777777" w:rsidTr="00383113">
        <w:trPr>
          <w:jc w:val="center"/>
        </w:trPr>
        <w:tc>
          <w:tcPr>
            <w:tcW w:w="4420" w:type="dxa"/>
            <w:tcBorders>
              <w:top w:val="nil"/>
              <w:left w:val="nil"/>
              <w:bottom w:val="nil"/>
              <w:right w:val="nil"/>
            </w:tcBorders>
          </w:tcPr>
          <w:p w14:paraId="09ABEC0D" w14:textId="77777777" w:rsidR="00383113" w:rsidRPr="004D2F04" w:rsidRDefault="00383113" w:rsidP="00D94A5C">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238B6905" w14:textId="77777777" w:rsidR="00383113" w:rsidRPr="004D2F04" w:rsidRDefault="00383113" w:rsidP="00D94A5C">
            <w:pPr>
              <w:spacing w:line="312" w:lineRule="auto"/>
              <w:jc w:val="center"/>
              <w:rPr>
                <w:sz w:val="24"/>
                <w:szCs w:val="24"/>
              </w:rPr>
            </w:pPr>
            <w:r w:rsidRPr="004D2F04">
              <w:rPr>
                <w:sz w:val="24"/>
                <w:szCs w:val="24"/>
              </w:rPr>
              <w:t>____________________________________</w:t>
            </w:r>
          </w:p>
        </w:tc>
      </w:tr>
      <w:tr w:rsidR="00383113" w:rsidRPr="004D2F04" w14:paraId="63E7DE81" w14:textId="77777777" w:rsidTr="00383113">
        <w:trPr>
          <w:jc w:val="center"/>
        </w:trPr>
        <w:tc>
          <w:tcPr>
            <w:tcW w:w="4420" w:type="dxa"/>
            <w:tcBorders>
              <w:top w:val="nil"/>
              <w:left w:val="nil"/>
              <w:bottom w:val="nil"/>
              <w:right w:val="nil"/>
            </w:tcBorders>
          </w:tcPr>
          <w:p w14:paraId="1BD8F1F8" w14:textId="77777777" w:rsidR="00383113" w:rsidRPr="00E57B6D" w:rsidRDefault="00383113" w:rsidP="006B017F">
            <w:pPr>
              <w:spacing w:line="312" w:lineRule="auto"/>
              <w:rPr>
                <w:sz w:val="24"/>
                <w:szCs w:val="24"/>
              </w:rPr>
            </w:pPr>
            <w:r w:rsidRPr="004D2F04">
              <w:rPr>
                <w:sz w:val="24"/>
                <w:szCs w:val="24"/>
              </w:rPr>
              <w:t xml:space="preserve">Nome: </w:t>
            </w:r>
            <w:r>
              <w:rPr>
                <w:sz w:val="24"/>
                <w:szCs w:val="24"/>
              </w:rPr>
              <w:t>Daniel Monteiro Coelho de Magalhães</w:t>
            </w:r>
          </w:p>
          <w:p w14:paraId="6CC7810C" w14:textId="77777777" w:rsidR="00383113" w:rsidRDefault="00383113" w:rsidP="006B017F">
            <w:pPr>
              <w:spacing w:line="312" w:lineRule="auto"/>
              <w:rPr>
                <w:sz w:val="24"/>
                <w:szCs w:val="24"/>
              </w:rPr>
            </w:pPr>
            <w:r w:rsidRPr="004D2F04">
              <w:rPr>
                <w:sz w:val="24"/>
                <w:szCs w:val="24"/>
              </w:rPr>
              <w:t xml:space="preserve">Cargo: </w:t>
            </w:r>
            <w:r>
              <w:rPr>
                <w:sz w:val="24"/>
                <w:szCs w:val="24"/>
              </w:rPr>
              <w:t>Diretor</w:t>
            </w:r>
          </w:p>
          <w:p w14:paraId="3CAE8DEA" w14:textId="77777777" w:rsidR="00383113" w:rsidRPr="004D2F04" w:rsidRDefault="00383113" w:rsidP="006B017F">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0F871ADC" w14:textId="77777777" w:rsidR="00383113" w:rsidRPr="004D2F04" w:rsidRDefault="00383113" w:rsidP="006B017F">
            <w:pPr>
              <w:spacing w:line="312" w:lineRule="auto"/>
              <w:rPr>
                <w:sz w:val="24"/>
                <w:szCs w:val="24"/>
              </w:rPr>
            </w:pPr>
            <w:r w:rsidRPr="004D2F04">
              <w:rPr>
                <w:sz w:val="24"/>
                <w:szCs w:val="24"/>
              </w:rPr>
              <w:t xml:space="preserve">Nome: </w:t>
            </w:r>
            <w:r w:rsidRPr="00E8021A">
              <w:rPr>
                <w:sz w:val="24"/>
                <w:szCs w:val="24"/>
              </w:rPr>
              <w:t>Henrique Carvalho Silva</w:t>
            </w:r>
          </w:p>
          <w:p w14:paraId="4D1E1D06" w14:textId="77777777" w:rsidR="00383113" w:rsidRDefault="00383113" w:rsidP="006B017F">
            <w:pPr>
              <w:spacing w:line="312" w:lineRule="auto"/>
              <w:rPr>
                <w:sz w:val="24"/>
                <w:szCs w:val="24"/>
              </w:rPr>
            </w:pPr>
            <w:r w:rsidRPr="004D2F04">
              <w:rPr>
                <w:sz w:val="24"/>
                <w:szCs w:val="24"/>
              </w:rPr>
              <w:t>Cargo:</w:t>
            </w:r>
            <w:r w:rsidRPr="00E8021A">
              <w:rPr>
                <w:sz w:val="24"/>
                <w:szCs w:val="24"/>
              </w:rPr>
              <w:t xml:space="preserve"> Procurador  </w:t>
            </w:r>
          </w:p>
          <w:p w14:paraId="174C4460" w14:textId="77777777" w:rsidR="00383113" w:rsidRPr="004D2F04" w:rsidRDefault="00383113" w:rsidP="006B017F">
            <w:pPr>
              <w:spacing w:line="312" w:lineRule="auto"/>
              <w:rPr>
                <w:sz w:val="24"/>
                <w:szCs w:val="24"/>
              </w:rPr>
            </w:pPr>
            <w:r>
              <w:rPr>
                <w:sz w:val="24"/>
                <w:szCs w:val="24"/>
              </w:rPr>
              <w:t xml:space="preserve">CPF: </w:t>
            </w:r>
            <w:r w:rsidRPr="00E8021A">
              <w:rPr>
                <w:sz w:val="24"/>
                <w:szCs w:val="24"/>
              </w:rPr>
              <w:t>354.873.988-10</w:t>
            </w:r>
          </w:p>
        </w:tc>
      </w:tr>
    </w:tbl>
    <w:p w14:paraId="78AC8E72" w14:textId="77777777" w:rsidR="002D5930" w:rsidRPr="004D2F04" w:rsidRDefault="002D5930" w:rsidP="002D5930">
      <w:pPr>
        <w:spacing w:line="312" w:lineRule="auto"/>
        <w:rPr>
          <w:i/>
          <w:sz w:val="24"/>
          <w:szCs w:val="24"/>
        </w:rPr>
      </w:pPr>
    </w:p>
    <w:p w14:paraId="630AB201" w14:textId="2C5BC002" w:rsidR="002D5930" w:rsidRDefault="002D5930">
      <w:pPr>
        <w:pStyle w:val="citcar"/>
        <w:spacing w:line="312" w:lineRule="auto"/>
        <w:ind w:left="0" w:right="0"/>
        <w:jc w:val="both"/>
        <w:rPr>
          <w:b/>
          <w:lang w:val="pt-BR"/>
        </w:rPr>
      </w:pPr>
    </w:p>
    <w:p w14:paraId="56E1D8ED" w14:textId="57A70C59" w:rsidR="002D5930" w:rsidRDefault="002D5930">
      <w:pPr>
        <w:spacing w:after="200" w:line="276" w:lineRule="auto"/>
        <w:rPr>
          <w:b/>
        </w:rPr>
      </w:pPr>
      <w:r>
        <w:rPr>
          <w:b/>
        </w:rPr>
        <w:br w:type="page"/>
      </w:r>
    </w:p>
    <w:p w14:paraId="634F72B5" w14:textId="75F56EDD" w:rsidR="002D5930" w:rsidRPr="004D2F04" w:rsidRDefault="002D5930" w:rsidP="002D5930">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10</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setembro</w:t>
      </w:r>
      <w:r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79F06AEF"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17434338"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0A768082" w14:textId="77777777" w:rsidR="002D5930" w:rsidRPr="004D2F04" w:rsidRDefault="002D5930" w:rsidP="002D5930">
      <w:pPr>
        <w:pStyle w:val="Corpodetexto2"/>
        <w:spacing w:line="312" w:lineRule="auto"/>
        <w:rPr>
          <w:rFonts w:ascii="Times New Roman" w:hAnsi="Times New Roman"/>
          <w:b w:val="0"/>
          <w:i/>
          <w:sz w:val="24"/>
          <w:szCs w:val="24"/>
          <w:u w:val="none"/>
          <w:lang w:val="pt-BR"/>
        </w:rPr>
      </w:pPr>
    </w:p>
    <w:p w14:paraId="7F2CA170" w14:textId="77777777" w:rsidR="002D5930" w:rsidRPr="004D2F04" w:rsidRDefault="002D5930" w:rsidP="002D5930">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6E3A37F3" w14:textId="77777777" w:rsidR="002D5930" w:rsidRDefault="002D5930" w:rsidP="002D5930">
      <w:pPr>
        <w:pStyle w:val="Corpodetexto"/>
        <w:tabs>
          <w:tab w:val="left" w:pos="8647"/>
        </w:tabs>
        <w:spacing w:after="0" w:line="312" w:lineRule="auto"/>
        <w:rPr>
          <w:sz w:val="24"/>
          <w:szCs w:val="24"/>
          <w:lang w:val="pt-BR"/>
        </w:rPr>
      </w:pPr>
    </w:p>
    <w:p w14:paraId="4A8165A1" w14:textId="77777777" w:rsidR="002D5930" w:rsidRDefault="002D5930" w:rsidP="002D5930">
      <w:pPr>
        <w:pStyle w:val="Corpodetexto"/>
        <w:tabs>
          <w:tab w:val="left" w:pos="8647"/>
        </w:tabs>
        <w:spacing w:after="0" w:line="312" w:lineRule="auto"/>
        <w:rPr>
          <w:sz w:val="24"/>
          <w:szCs w:val="24"/>
          <w:lang w:val="pt-BR"/>
        </w:rPr>
      </w:pPr>
    </w:p>
    <w:p w14:paraId="6124B12C" w14:textId="77777777" w:rsidR="002D5930" w:rsidRDefault="002D5930" w:rsidP="002D5930">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2D5930" w:rsidRPr="004D2F04" w14:paraId="093AA40F" w14:textId="77777777" w:rsidTr="002D5930">
        <w:trPr>
          <w:jc w:val="center"/>
        </w:trPr>
        <w:tc>
          <w:tcPr>
            <w:tcW w:w="4420" w:type="dxa"/>
            <w:tcBorders>
              <w:top w:val="nil"/>
              <w:left w:val="nil"/>
              <w:bottom w:val="nil"/>
              <w:right w:val="nil"/>
            </w:tcBorders>
          </w:tcPr>
          <w:p w14:paraId="57ADBD19" w14:textId="77777777" w:rsidR="002D5930" w:rsidRPr="004D2F04" w:rsidRDefault="002D5930" w:rsidP="002D59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F3C594D" w14:textId="77777777" w:rsidR="002D5930" w:rsidRPr="004D2F04" w:rsidRDefault="002D5930" w:rsidP="002D5930">
            <w:pPr>
              <w:spacing w:line="312" w:lineRule="auto"/>
              <w:jc w:val="center"/>
              <w:rPr>
                <w:sz w:val="24"/>
                <w:szCs w:val="24"/>
              </w:rPr>
            </w:pPr>
            <w:r w:rsidRPr="004D2F04">
              <w:rPr>
                <w:sz w:val="24"/>
                <w:szCs w:val="24"/>
              </w:rPr>
              <w:t>____________________________________</w:t>
            </w:r>
          </w:p>
        </w:tc>
      </w:tr>
      <w:tr w:rsidR="002D5930" w:rsidRPr="004D2F04" w14:paraId="3AD36AC5" w14:textId="77777777" w:rsidTr="002D5930">
        <w:trPr>
          <w:trHeight w:val="666"/>
          <w:jc w:val="center"/>
        </w:trPr>
        <w:tc>
          <w:tcPr>
            <w:tcW w:w="4420" w:type="dxa"/>
            <w:tcBorders>
              <w:top w:val="nil"/>
              <w:left w:val="nil"/>
              <w:bottom w:val="nil"/>
              <w:right w:val="nil"/>
            </w:tcBorders>
          </w:tcPr>
          <w:p w14:paraId="29B4990F" w14:textId="77777777" w:rsidR="002D5930" w:rsidRPr="004D2F04" w:rsidRDefault="002D5930" w:rsidP="002D5930">
            <w:pPr>
              <w:spacing w:line="312" w:lineRule="auto"/>
              <w:rPr>
                <w:sz w:val="24"/>
                <w:szCs w:val="24"/>
                <w:lang w:eastAsia="en-US"/>
              </w:rPr>
            </w:pPr>
            <w:r w:rsidRPr="004D2F04">
              <w:rPr>
                <w:sz w:val="24"/>
                <w:szCs w:val="24"/>
              </w:rPr>
              <w:t xml:space="preserve">Nome: </w:t>
            </w:r>
            <w:r>
              <w:rPr>
                <w:sz w:val="24"/>
                <w:szCs w:val="24"/>
              </w:rPr>
              <w:t>Antonio Roberto de Matos</w:t>
            </w:r>
          </w:p>
          <w:p w14:paraId="1060A47A" w14:textId="77777777" w:rsidR="002D5930" w:rsidRPr="00F07DFE" w:rsidRDefault="002D5930" w:rsidP="002D5930">
            <w:pPr>
              <w:spacing w:line="312" w:lineRule="auto"/>
              <w:rPr>
                <w:sz w:val="24"/>
                <w:szCs w:val="24"/>
              </w:rPr>
            </w:pPr>
            <w:r w:rsidRPr="00F07DFE">
              <w:rPr>
                <w:sz w:val="24"/>
                <w:szCs w:val="24"/>
              </w:rPr>
              <w:t>Cargo: Diretor</w:t>
            </w:r>
          </w:p>
          <w:p w14:paraId="66928F7F" w14:textId="77777777" w:rsidR="002D5930" w:rsidRPr="004D2F04" w:rsidRDefault="002D5930" w:rsidP="002D59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1F97D74D" w14:textId="77777777" w:rsidR="002D5930" w:rsidRPr="004D2F04" w:rsidRDefault="002D5930" w:rsidP="002D59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F2B687C" w14:textId="77777777" w:rsidR="002D5930" w:rsidRDefault="002D5930" w:rsidP="002D5930">
            <w:pPr>
              <w:spacing w:line="312" w:lineRule="auto"/>
              <w:rPr>
                <w:sz w:val="24"/>
                <w:szCs w:val="24"/>
              </w:rPr>
            </w:pPr>
            <w:r w:rsidRPr="004D2F04">
              <w:rPr>
                <w:sz w:val="24"/>
                <w:szCs w:val="24"/>
              </w:rPr>
              <w:t xml:space="preserve">Cargo: </w:t>
            </w:r>
            <w:r>
              <w:rPr>
                <w:sz w:val="24"/>
                <w:szCs w:val="24"/>
              </w:rPr>
              <w:t>Diretor</w:t>
            </w:r>
          </w:p>
          <w:p w14:paraId="5F5429C6" w14:textId="77777777" w:rsidR="002D5930" w:rsidRPr="00F07DFE" w:rsidRDefault="002D5930" w:rsidP="002D5930">
            <w:pPr>
              <w:spacing w:line="312" w:lineRule="auto"/>
              <w:rPr>
                <w:sz w:val="24"/>
                <w:szCs w:val="24"/>
              </w:rPr>
            </w:pPr>
            <w:r w:rsidRPr="00F07DFE">
              <w:rPr>
                <w:bCs/>
                <w:sz w:val="24"/>
                <w:szCs w:val="24"/>
              </w:rPr>
              <w:t xml:space="preserve">CPF: </w:t>
            </w:r>
            <w:r w:rsidRPr="00F07DFE">
              <w:rPr>
                <w:sz w:val="24"/>
                <w:szCs w:val="24"/>
              </w:rPr>
              <w:t>010.434.248-06</w:t>
            </w:r>
          </w:p>
        </w:tc>
      </w:tr>
    </w:tbl>
    <w:p w14:paraId="28D6C9FB" w14:textId="77777777" w:rsidR="002D5930" w:rsidRDefault="002D5930">
      <w:pPr>
        <w:spacing w:after="200" w:line="276" w:lineRule="auto"/>
        <w:rPr>
          <w:rFonts w:eastAsia="MS Mincho"/>
          <w:b/>
          <w:sz w:val="24"/>
          <w:szCs w:val="24"/>
          <w:lang w:eastAsia="en-US"/>
        </w:rPr>
      </w:pPr>
    </w:p>
    <w:p w14:paraId="498B599F" w14:textId="63AB14A3" w:rsidR="002D5930" w:rsidRDefault="002D5930">
      <w:pPr>
        <w:spacing w:after="200" w:line="276" w:lineRule="auto"/>
        <w:rPr>
          <w:rFonts w:eastAsia="MS Mincho"/>
          <w:b/>
          <w:sz w:val="24"/>
          <w:szCs w:val="24"/>
          <w:lang w:eastAsia="en-US"/>
        </w:rPr>
      </w:pPr>
      <w:r>
        <w:rPr>
          <w:b/>
        </w:rPr>
        <w:br w:type="page"/>
      </w:r>
    </w:p>
    <w:p w14:paraId="246C5457" w14:textId="6AEC52C3" w:rsidR="002D5930" w:rsidRDefault="002D5930">
      <w:pPr>
        <w:pStyle w:val="citcar"/>
        <w:spacing w:line="312" w:lineRule="auto"/>
        <w:ind w:left="0" w:right="0"/>
        <w:jc w:val="both"/>
        <w:rPr>
          <w:b/>
          <w:lang w:val="pt-BR"/>
        </w:rPr>
      </w:pPr>
    </w:p>
    <w:p w14:paraId="67C3FB38" w14:textId="416E6E02" w:rsidR="002D5930" w:rsidRPr="004D2F04" w:rsidRDefault="002D5930" w:rsidP="002D5930">
      <w:pPr>
        <w:pStyle w:val="Corpodetexto"/>
        <w:tabs>
          <w:tab w:val="left" w:pos="8647"/>
        </w:tabs>
        <w:spacing w:after="0" w:line="312" w:lineRule="auto"/>
        <w:jc w:val="both"/>
        <w:rPr>
          <w:i/>
          <w:sz w:val="24"/>
          <w:szCs w:val="24"/>
        </w:rPr>
      </w:pPr>
      <w:r w:rsidRPr="004D2F04">
        <w:rPr>
          <w:i/>
          <w:sz w:val="24"/>
          <w:szCs w:val="24"/>
        </w:rPr>
        <w:t xml:space="preserve">(Página de Assinatura </w:t>
      </w:r>
      <w:r>
        <w:rPr>
          <w:i/>
          <w:sz w:val="24"/>
          <w:szCs w:val="24"/>
          <w:lang w:val="pt-BR"/>
        </w:rPr>
        <w:t>4/4</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1B2D2B">
        <w:rPr>
          <w:i/>
          <w:sz w:val="24"/>
          <w:szCs w:val="24"/>
          <w:lang w:val="pt-BR"/>
        </w:rPr>
        <w:t>10</w:t>
      </w:r>
      <w:r w:rsidRPr="0012515A">
        <w:rPr>
          <w:i/>
          <w:sz w:val="24"/>
          <w:szCs w:val="24"/>
        </w:rPr>
        <w:t xml:space="preserve"> de setembro</w:t>
      </w:r>
      <w:r w:rsidRPr="0012515A" w:rsidDel="0012515A">
        <w:rPr>
          <w:i/>
          <w:sz w:val="24"/>
          <w:szCs w:val="24"/>
        </w:rPr>
        <w:t xml:space="preserve"> </w:t>
      </w:r>
      <w:r w:rsidRPr="00FA3CBF">
        <w:rPr>
          <w:i/>
          <w:sz w:val="24"/>
          <w:szCs w:val="24"/>
        </w:rPr>
        <w:t>de 2021</w:t>
      </w:r>
      <w:r w:rsidRPr="005452A7">
        <w:rPr>
          <w:i/>
          <w:color w:val="000000"/>
          <w:sz w:val="24"/>
          <w:szCs w:val="24"/>
          <w:lang w:val="pt-BR"/>
        </w:rPr>
        <w:t>)</w:t>
      </w:r>
    </w:p>
    <w:p w14:paraId="64899471" w14:textId="77777777" w:rsidR="002D5930" w:rsidRPr="004D2F04" w:rsidRDefault="002D5930" w:rsidP="002D5930">
      <w:pPr>
        <w:pStyle w:val="Corpodetexto"/>
        <w:tabs>
          <w:tab w:val="left" w:pos="8647"/>
        </w:tabs>
        <w:spacing w:after="0" w:line="312" w:lineRule="auto"/>
        <w:jc w:val="both"/>
        <w:rPr>
          <w:sz w:val="24"/>
          <w:szCs w:val="24"/>
          <w:u w:val="single"/>
          <w:lang w:val="pt-BR"/>
        </w:rPr>
      </w:pPr>
    </w:p>
    <w:p w14:paraId="0D10B1FC" w14:textId="77777777" w:rsidR="002D5930" w:rsidRPr="004D2F04" w:rsidRDefault="002D5930" w:rsidP="002D5930">
      <w:pPr>
        <w:pStyle w:val="Corpodetexto"/>
        <w:tabs>
          <w:tab w:val="left" w:pos="8647"/>
        </w:tabs>
        <w:spacing w:after="0" w:line="312" w:lineRule="auto"/>
        <w:jc w:val="both"/>
        <w:rPr>
          <w:sz w:val="24"/>
          <w:szCs w:val="24"/>
          <w:u w:val="single"/>
          <w:lang w:val="pt-BR"/>
        </w:rPr>
      </w:pPr>
    </w:p>
    <w:p w14:paraId="5488B87C" w14:textId="77777777" w:rsidR="002D5930" w:rsidRPr="004D2F04" w:rsidRDefault="002D5930" w:rsidP="002D5930">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1C1A3FC5" w14:textId="77777777" w:rsidR="002D5930" w:rsidRPr="004D2F04" w:rsidRDefault="002D5930" w:rsidP="002D5930">
      <w:pPr>
        <w:pStyle w:val="Corpodetexto"/>
        <w:tabs>
          <w:tab w:val="left" w:pos="8647"/>
        </w:tabs>
        <w:spacing w:after="0" w:line="312" w:lineRule="auto"/>
        <w:jc w:val="both"/>
        <w:rPr>
          <w:iCs/>
          <w:sz w:val="24"/>
          <w:szCs w:val="24"/>
          <w:lang w:val="pt-BR"/>
        </w:rPr>
      </w:pPr>
    </w:p>
    <w:p w14:paraId="360D306C" w14:textId="77777777" w:rsidR="002D5930" w:rsidRPr="004D2F04" w:rsidRDefault="002D5930" w:rsidP="002D5930">
      <w:pPr>
        <w:pStyle w:val="Corpodetexto"/>
        <w:tabs>
          <w:tab w:val="left" w:pos="8647"/>
        </w:tabs>
        <w:spacing w:after="0" w:line="312" w:lineRule="auto"/>
        <w:jc w:val="both"/>
        <w:rPr>
          <w:iCs/>
          <w:sz w:val="24"/>
          <w:szCs w:val="24"/>
          <w:lang w:val="pt-BR"/>
        </w:rPr>
      </w:pPr>
    </w:p>
    <w:p w14:paraId="21E1148E" w14:textId="77777777" w:rsidR="006B017F" w:rsidRPr="004D2F04" w:rsidRDefault="006B017F" w:rsidP="006B017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6B017F" w:rsidRPr="004D2F04" w14:paraId="27533311" w14:textId="77777777" w:rsidTr="00D94A5C">
        <w:trPr>
          <w:jc w:val="center"/>
        </w:trPr>
        <w:tc>
          <w:tcPr>
            <w:tcW w:w="4248" w:type="dxa"/>
            <w:tcBorders>
              <w:top w:val="single" w:sz="4" w:space="0" w:color="auto"/>
            </w:tcBorders>
          </w:tcPr>
          <w:p w14:paraId="52DE56E3" w14:textId="77777777" w:rsidR="006B017F" w:rsidRDefault="006B017F" w:rsidP="00D94A5C">
            <w:pPr>
              <w:pStyle w:val="Corpodetexto"/>
              <w:spacing w:after="0" w:line="312" w:lineRule="auto"/>
              <w:jc w:val="both"/>
              <w:rPr>
                <w:sz w:val="24"/>
                <w:szCs w:val="24"/>
              </w:rPr>
            </w:pPr>
            <w:r w:rsidRPr="004D2F04">
              <w:rPr>
                <w:sz w:val="24"/>
                <w:szCs w:val="24"/>
                <w:lang w:val="it-IT"/>
              </w:rPr>
              <w:t>Nome:</w:t>
            </w:r>
            <w:r>
              <w:rPr>
                <w:sz w:val="24"/>
                <w:szCs w:val="24"/>
                <w:lang w:val="it-IT"/>
              </w:rPr>
              <w:t xml:space="preserve"> Andressa Maciel Scerni </w:t>
            </w:r>
          </w:p>
          <w:p w14:paraId="36B8315C" w14:textId="77777777" w:rsidR="006B017F" w:rsidRPr="004D2F04" w:rsidRDefault="006B017F" w:rsidP="00D94A5C">
            <w:pPr>
              <w:pStyle w:val="Corpodetexto"/>
              <w:spacing w:after="0" w:line="312" w:lineRule="auto"/>
              <w:jc w:val="both"/>
              <w:rPr>
                <w:sz w:val="24"/>
                <w:szCs w:val="24"/>
                <w:lang w:val="it-IT"/>
              </w:rPr>
            </w:pPr>
            <w:r w:rsidRPr="004D2F04">
              <w:rPr>
                <w:sz w:val="24"/>
                <w:szCs w:val="24"/>
                <w:lang w:val="it-IT"/>
              </w:rPr>
              <w:t>CPF:</w:t>
            </w:r>
            <w:r>
              <w:rPr>
                <w:sz w:val="24"/>
                <w:szCs w:val="24"/>
              </w:rPr>
              <w:t xml:space="preserve"> 999.442.002-04</w:t>
            </w:r>
          </w:p>
        </w:tc>
        <w:tc>
          <w:tcPr>
            <w:tcW w:w="900" w:type="dxa"/>
          </w:tcPr>
          <w:p w14:paraId="534A69AB" w14:textId="77777777" w:rsidR="006B017F" w:rsidRPr="004D2F04" w:rsidRDefault="006B017F" w:rsidP="00D94A5C">
            <w:pPr>
              <w:spacing w:line="312" w:lineRule="auto"/>
              <w:jc w:val="both"/>
              <w:outlineLvl w:val="2"/>
              <w:rPr>
                <w:sz w:val="24"/>
                <w:szCs w:val="24"/>
                <w:lang w:val="it-IT"/>
              </w:rPr>
            </w:pPr>
          </w:p>
        </w:tc>
        <w:tc>
          <w:tcPr>
            <w:tcW w:w="4115" w:type="dxa"/>
            <w:tcBorders>
              <w:top w:val="single" w:sz="4" w:space="0" w:color="auto"/>
            </w:tcBorders>
          </w:tcPr>
          <w:p w14:paraId="68C49764" w14:textId="77777777" w:rsidR="006B017F" w:rsidRPr="004D2F04" w:rsidRDefault="006B017F" w:rsidP="00D94A5C">
            <w:pPr>
              <w:spacing w:line="312" w:lineRule="auto"/>
              <w:jc w:val="both"/>
              <w:rPr>
                <w:sz w:val="24"/>
                <w:szCs w:val="24"/>
                <w:lang w:val="it-IT"/>
              </w:rPr>
            </w:pPr>
            <w:r w:rsidRPr="004D2F04">
              <w:rPr>
                <w:sz w:val="24"/>
                <w:szCs w:val="24"/>
                <w:lang w:val="it-IT"/>
              </w:rPr>
              <w:t>Nome:</w:t>
            </w:r>
            <w:r>
              <w:rPr>
                <w:sz w:val="24"/>
                <w:szCs w:val="24"/>
                <w:lang w:val="it-IT"/>
              </w:rPr>
              <w:t xml:space="preserve"> Ana Carla Moliterno </w:t>
            </w:r>
          </w:p>
          <w:p w14:paraId="58F0C21A" w14:textId="77777777" w:rsidR="006B017F" w:rsidRPr="004D2F04" w:rsidRDefault="006B017F" w:rsidP="00D94A5C">
            <w:pPr>
              <w:spacing w:line="312" w:lineRule="auto"/>
              <w:jc w:val="both"/>
              <w:rPr>
                <w:sz w:val="24"/>
                <w:szCs w:val="24"/>
                <w:lang w:val="de-DE"/>
              </w:rPr>
            </w:pPr>
            <w:r w:rsidRPr="004D2F04">
              <w:rPr>
                <w:sz w:val="24"/>
                <w:szCs w:val="24"/>
                <w:lang w:val="de-DE"/>
              </w:rPr>
              <w:t>CPF:</w:t>
            </w:r>
            <w:r>
              <w:rPr>
                <w:sz w:val="24"/>
                <w:szCs w:val="24"/>
                <w:lang w:val="de-DE"/>
              </w:rPr>
              <w:t xml:space="preserve"> 297.319.798-83</w:t>
            </w:r>
            <w:r>
              <w:rPr>
                <w:sz w:val="24"/>
                <w:szCs w:val="24"/>
                <w:lang w:val="it-IT"/>
              </w:rPr>
              <w:t xml:space="preserve"> </w:t>
            </w:r>
          </w:p>
        </w:tc>
      </w:tr>
    </w:tbl>
    <w:p w14:paraId="3307807E" w14:textId="05503580" w:rsidR="002D5930" w:rsidRPr="006B017F" w:rsidRDefault="002D5930" w:rsidP="002D5930">
      <w:pPr>
        <w:pStyle w:val="Corpodetexto"/>
        <w:tabs>
          <w:tab w:val="left" w:pos="8647"/>
        </w:tabs>
        <w:spacing w:after="0" w:line="312" w:lineRule="auto"/>
        <w:jc w:val="both"/>
        <w:rPr>
          <w:b/>
          <w:sz w:val="24"/>
          <w:szCs w:val="24"/>
          <w:lang w:val="pt-BR"/>
        </w:rPr>
      </w:pPr>
    </w:p>
    <w:p w14:paraId="072FF5C9" w14:textId="55F4C5B5" w:rsidR="002D5930" w:rsidRDefault="002D5930">
      <w:pPr>
        <w:spacing w:after="200" w:line="276" w:lineRule="auto"/>
        <w:rPr>
          <w:rFonts w:eastAsia="MS Mincho"/>
          <w:b/>
          <w:sz w:val="24"/>
          <w:szCs w:val="24"/>
          <w:lang w:eastAsia="en-US"/>
        </w:rPr>
      </w:pPr>
      <w:bookmarkStart w:id="0" w:name="_GoBack"/>
      <w:bookmarkEnd w:id="0"/>
      <w:r>
        <w:rPr>
          <w:b/>
        </w:rPr>
        <w:br w:type="page"/>
      </w:r>
    </w:p>
    <w:p w14:paraId="2E6088F6" w14:textId="77777777" w:rsidR="001B2D2B" w:rsidRDefault="001B2D2B" w:rsidP="001B2D2B">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48731C95" w14:textId="77777777" w:rsidR="001B2D2B" w:rsidRPr="00772DF7" w:rsidRDefault="001B2D2B" w:rsidP="001B2D2B"/>
    <w:p w14:paraId="031C6A75" w14:textId="77777777" w:rsidR="001B2D2B" w:rsidRDefault="001B2D2B" w:rsidP="001B2D2B">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742CB450" w14:textId="77777777" w:rsidR="001B2D2B" w:rsidRDefault="001B2D2B" w:rsidP="001B2D2B">
      <w:pPr>
        <w:spacing w:line="312" w:lineRule="auto"/>
        <w:jc w:val="both"/>
        <w:rPr>
          <w:i/>
          <w:sz w:val="24"/>
          <w:szCs w:val="24"/>
        </w:rPr>
      </w:pPr>
    </w:p>
    <w:p w14:paraId="720E488A" w14:textId="77777777" w:rsidR="001B2D2B" w:rsidRDefault="001B2D2B" w:rsidP="001B2D2B">
      <w:pPr>
        <w:jc w:val="center"/>
        <w:rPr>
          <w:b/>
          <w:sz w:val="24"/>
          <w:szCs w:val="24"/>
        </w:rPr>
      </w:pPr>
      <w:r w:rsidRPr="009B64DB">
        <w:rPr>
          <w:b/>
          <w:sz w:val="24"/>
          <w:szCs w:val="24"/>
        </w:rPr>
        <w:t>CONSOLIDAÇÃO DO CONTRATO DE ALIENAÇÃO FIDUCIÁRIA</w:t>
      </w:r>
    </w:p>
    <w:p w14:paraId="2592BB52" w14:textId="77777777" w:rsidR="001B2D2B" w:rsidRPr="004D2F04" w:rsidRDefault="001B2D2B">
      <w:pPr>
        <w:pStyle w:val="citcar"/>
        <w:spacing w:line="312" w:lineRule="auto"/>
        <w:ind w:left="0" w:right="0"/>
        <w:jc w:val="both"/>
        <w:rPr>
          <w:b/>
          <w:lang w:val="pt-BR"/>
        </w:rPr>
      </w:pPr>
    </w:p>
    <w:p w14:paraId="7AA401FA" w14:textId="259ED8D1"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14D83E1E" w:rsidR="00FA30F6" w:rsidRPr="002D5930" w:rsidRDefault="002D5930" w:rsidP="00DC450F">
      <w:pPr>
        <w:spacing w:line="312" w:lineRule="auto"/>
        <w:jc w:val="both"/>
        <w:rPr>
          <w:b/>
          <w:bCs/>
          <w:sz w:val="24"/>
          <w:szCs w:val="24"/>
        </w:rPr>
      </w:pPr>
      <w:r w:rsidRPr="002D5930">
        <w:rPr>
          <w:rFonts w:eastAsia="Batang"/>
          <w:b/>
          <w:sz w:val="24"/>
          <w:szCs w:val="24"/>
        </w:rPr>
        <w:t xml:space="preserve">VIRGO COMPANHIA DE SECURITIZAÇÃO </w:t>
      </w:r>
      <w:r w:rsidRPr="002D5930">
        <w:rPr>
          <w:rFonts w:eastAsia="Batang"/>
          <w:sz w:val="24"/>
          <w:szCs w:val="24"/>
        </w:rPr>
        <w:t>(</w:t>
      </w:r>
      <w:r w:rsidR="00F442FB">
        <w:rPr>
          <w:rFonts w:eastAsia="Batang"/>
          <w:sz w:val="24"/>
          <w:szCs w:val="24"/>
        </w:rPr>
        <w:t>atual</w:t>
      </w:r>
      <w:r w:rsidRPr="002D5930">
        <w:rPr>
          <w:rFonts w:eastAsia="Batang"/>
          <w:sz w:val="24"/>
          <w:szCs w:val="24"/>
        </w:rPr>
        <w:t xml:space="preserve"> denominação social da ISEC SECURITIZADORA S.A.), sociedade por ações com sede na Cidade de São Paulo, Estado de São Paulo, na </w:t>
      </w:r>
      <w:r w:rsidRPr="002D5930">
        <w:rPr>
          <w:sz w:val="24"/>
          <w:szCs w:val="24"/>
        </w:rPr>
        <w:t xml:space="preserve">Rua </w:t>
      </w:r>
      <w:r w:rsidRPr="002D5930">
        <w:rPr>
          <w:bCs/>
          <w:sz w:val="24"/>
          <w:szCs w:val="24"/>
        </w:rPr>
        <w:t>Tabapuã</w:t>
      </w:r>
      <w:r w:rsidRPr="002D5930">
        <w:rPr>
          <w:sz w:val="24"/>
          <w:szCs w:val="24"/>
        </w:rPr>
        <w:t xml:space="preserve">, nº </w:t>
      </w:r>
      <w:r w:rsidRPr="002D5930">
        <w:rPr>
          <w:bCs/>
          <w:sz w:val="24"/>
          <w:szCs w:val="24"/>
        </w:rPr>
        <w:t>1.123</w:t>
      </w:r>
      <w:r w:rsidRPr="002D5930">
        <w:rPr>
          <w:sz w:val="24"/>
          <w:szCs w:val="24"/>
        </w:rPr>
        <w:t xml:space="preserve">, </w:t>
      </w:r>
      <w:r w:rsidRPr="002D5930">
        <w:rPr>
          <w:bCs/>
          <w:sz w:val="24"/>
          <w:szCs w:val="24"/>
        </w:rPr>
        <w:t>21</w:t>
      </w:r>
      <w:r w:rsidRPr="002D5930">
        <w:rPr>
          <w:sz w:val="24"/>
          <w:szCs w:val="24"/>
        </w:rPr>
        <w:t xml:space="preserve">º andar, conjunto 215, </w:t>
      </w:r>
      <w:r w:rsidRPr="002D5930">
        <w:rPr>
          <w:bCs/>
          <w:sz w:val="24"/>
          <w:szCs w:val="24"/>
        </w:rPr>
        <w:t>Itaim Bibi</w:t>
      </w:r>
      <w:r w:rsidRPr="002D5930">
        <w:rPr>
          <w:bCs/>
          <w:color w:val="000000"/>
          <w:sz w:val="24"/>
          <w:szCs w:val="24"/>
        </w:rPr>
        <w:t xml:space="preserve">, CEP </w:t>
      </w:r>
      <w:r w:rsidRPr="002D5930">
        <w:rPr>
          <w:bCs/>
          <w:sz w:val="24"/>
          <w:szCs w:val="24"/>
        </w:rPr>
        <w:t>04533-004</w:t>
      </w:r>
      <w:r w:rsidRPr="002D5930">
        <w:rPr>
          <w:sz w:val="24"/>
          <w:szCs w:val="24"/>
        </w:rPr>
        <w:t xml:space="preserve">, inscrita no CNPJ sob o nº </w:t>
      </w:r>
      <w:r w:rsidRPr="002D5930">
        <w:rPr>
          <w:bCs/>
          <w:sz w:val="24"/>
          <w:szCs w:val="24"/>
        </w:rPr>
        <w:t>08.769.451/0001-08</w:t>
      </w:r>
      <w:r w:rsidRPr="002D5930">
        <w:rPr>
          <w:sz w:val="24"/>
          <w:szCs w:val="24"/>
        </w:rPr>
        <w:t>, neste ato representado na forma de seu Estatuto Social</w:t>
      </w:r>
      <w:r w:rsidRPr="002D5930" w:rsidDel="0067762F">
        <w:rPr>
          <w:b/>
          <w:sz w:val="24"/>
          <w:szCs w:val="24"/>
        </w:rPr>
        <w:t xml:space="preserve"> </w:t>
      </w:r>
      <w:r w:rsidRPr="002D5930">
        <w:rPr>
          <w:bCs/>
          <w:sz w:val="24"/>
          <w:szCs w:val="24"/>
        </w:rPr>
        <w:t>(“</w:t>
      </w:r>
      <w:r w:rsidRPr="002D5930">
        <w:rPr>
          <w:bCs/>
          <w:sz w:val="24"/>
          <w:szCs w:val="24"/>
          <w:u w:val="single"/>
        </w:rPr>
        <w:t>Fiduciária</w:t>
      </w:r>
      <w:r w:rsidRPr="002D5930">
        <w:rPr>
          <w:bCs/>
          <w:sz w:val="24"/>
          <w:szCs w:val="24"/>
        </w:rPr>
        <w:t>” ou “</w:t>
      </w:r>
      <w:r w:rsidRPr="002D5930">
        <w:rPr>
          <w:bCs/>
          <w:sz w:val="24"/>
          <w:szCs w:val="24"/>
          <w:u w:val="single"/>
        </w:rPr>
        <w:t>Securitizadora</w:t>
      </w:r>
      <w:r w:rsidRPr="002D5930">
        <w:rPr>
          <w:bCs/>
          <w:sz w:val="24"/>
          <w:szCs w:val="24"/>
        </w:rPr>
        <w:t>”);</w:t>
      </w:r>
      <w:r w:rsidR="00FA30F6" w:rsidRPr="002D5930">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671FFF34" w:rsidR="00D44959" w:rsidRPr="004D2F04" w:rsidRDefault="002D5930" w:rsidP="00DC450F">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2"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2"/>
    </w:p>
    <w:p w14:paraId="0C6E3F56" w14:textId="77777777" w:rsidR="00AD2912" w:rsidRPr="004D2F04" w:rsidRDefault="00AD2912" w:rsidP="00DC450F">
      <w:pPr>
        <w:spacing w:line="312" w:lineRule="auto"/>
        <w:jc w:val="both"/>
        <w:rPr>
          <w:i/>
          <w:color w:val="000000"/>
          <w:sz w:val="24"/>
          <w:szCs w:val="24"/>
        </w:rPr>
      </w:pPr>
    </w:p>
    <w:p w14:paraId="7C806C14" w14:textId="6719288F" w:rsidR="00AD2912" w:rsidRPr="004D2F04" w:rsidRDefault="001B2D2B"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3"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lastRenderedPageBreak/>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37FF1B73" w:rsidR="00AD2912" w:rsidRPr="004D2F04" w:rsidRDefault="001B2D2B"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4"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4"/>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3"/>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5" w:name="_DV_M24"/>
      <w:bookmarkStart w:id="6" w:name="_DV_M25"/>
      <w:bookmarkStart w:id="7" w:name="_DV_M26"/>
      <w:bookmarkStart w:id="8" w:name="_DV_M27"/>
      <w:bookmarkStart w:id="9" w:name="_DV_M28"/>
      <w:bookmarkStart w:id="10" w:name="_DV_M29"/>
      <w:bookmarkStart w:id="11" w:name="_DV_M30"/>
      <w:bookmarkStart w:id="12" w:name="_DV_M32"/>
      <w:bookmarkEnd w:id="5"/>
      <w:bookmarkEnd w:id="6"/>
      <w:bookmarkEnd w:id="7"/>
      <w:bookmarkEnd w:id="8"/>
      <w:bookmarkEnd w:id="9"/>
      <w:bookmarkEnd w:id="10"/>
      <w:bookmarkEnd w:id="11"/>
      <w:bookmarkEnd w:id="12"/>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54D9E32A"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3" w:name="_DV_M34"/>
      <w:bookmarkStart w:id="14" w:name="_DV_M35"/>
      <w:bookmarkEnd w:id="13"/>
      <w:bookmarkEnd w:id="14"/>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1B2D2B">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1E2D72FC"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1B2D2B">
        <w:rPr>
          <w:sz w:val="24"/>
          <w:szCs w:val="24"/>
        </w:rPr>
        <w:t>foi</w:t>
      </w:r>
      <w:r w:rsidRPr="00FA037A">
        <w:rPr>
          <w:sz w:val="24"/>
          <w:szCs w:val="24"/>
        </w:rPr>
        <w:t xml:space="preserve">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43AF8E5C"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5" w:name="_DV_M36"/>
      <w:bookmarkStart w:id="16" w:name="_Ref434649480"/>
      <w:bookmarkStart w:id="17" w:name="_Ref424855173"/>
      <w:bookmarkEnd w:id="15"/>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1B2D2B">
        <w:rPr>
          <w:rFonts w:ascii="Times New Roman" w:hAnsi="Times New Roman"/>
          <w:b w:val="0"/>
          <w:sz w:val="24"/>
          <w:szCs w:val="24"/>
          <w:lang w:val="pt-BR"/>
        </w:rPr>
        <w:t>foi</w:t>
      </w:r>
      <w:r w:rsidR="00AD2912" w:rsidRPr="004D2F04">
        <w:rPr>
          <w:rFonts w:ascii="Times New Roman" w:hAnsi="Times New Roman"/>
          <w:b w:val="0"/>
          <w:sz w:val="24"/>
          <w:szCs w:val="24"/>
        </w:rPr>
        <w:t xml:space="preserve"> constituída </w:t>
      </w:r>
      <w:bookmarkEnd w:id="16"/>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1B2010CA"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1B2D2B">
        <w:rPr>
          <w:rFonts w:ascii="Times New Roman" w:hAnsi="Times New Roman"/>
          <w:b w:val="0"/>
          <w:sz w:val="24"/>
          <w:szCs w:val="24"/>
          <w:lang w:val="pt-BR"/>
        </w:rPr>
        <w:t>em 26 de janeiro de 2021</w:t>
      </w:r>
      <w:r w:rsidR="001B2D2B" w:rsidRPr="004D2F04">
        <w:rPr>
          <w:rFonts w:ascii="Times New Roman" w:hAnsi="Times New Roman"/>
          <w:b w:val="0"/>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8" w:name="_DV_M39"/>
      <w:bookmarkStart w:id="19" w:name="_DV_M40"/>
      <w:bookmarkStart w:id="20" w:name="_DV_M41"/>
      <w:bookmarkEnd w:id="17"/>
      <w:bookmarkEnd w:id="18"/>
      <w:bookmarkEnd w:id="19"/>
      <w:bookmarkEnd w:id="20"/>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1" w:name="_DV_M45"/>
      <w:bookmarkStart w:id="22" w:name="_DV_M46"/>
      <w:bookmarkStart w:id="23" w:name="_DV_M33"/>
      <w:bookmarkEnd w:id="21"/>
      <w:bookmarkEnd w:id="22"/>
      <w:bookmarkEnd w:id="23"/>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4" w:name="_Ref432391086"/>
      <w:bookmarkStart w:id="25"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6" w:name="_DV_M18"/>
      <w:bookmarkEnd w:id="26"/>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7" w:name="_Hlk56014691"/>
      <w:r w:rsidR="003328AC" w:rsidRPr="004D2F04">
        <w:rPr>
          <w:rFonts w:ascii="Times New Roman" w:hAnsi="Times New Roman"/>
          <w:b w:val="0"/>
          <w:sz w:val="24"/>
          <w:szCs w:val="24"/>
          <w:lang w:val="pt-BR"/>
        </w:rPr>
        <w:t xml:space="preserve">ao Termo de Endosso, </w:t>
      </w:r>
      <w:bookmarkEnd w:id="27"/>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4"/>
      <w:bookmarkEnd w:id="25"/>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8"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29"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29"/>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8"/>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0"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0"/>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1"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2" w:name="_Hlk59569279"/>
      <w:bookmarkStart w:id="33"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2"/>
    </w:p>
    <w:bookmarkEnd w:id="33"/>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1"/>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4" w:name="_DV_M57"/>
      <w:bookmarkStart w:id="35" w:name="_Toc510869699"/>
      <w:bookmarkEnd w:id="34"/>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5"/>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6" w:name="_DV_C112"/>
      <w:bookmarkStart w:id="37"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8" w:name="_DV_C113"/>
      <w:bookmarkEnd w:id="36"/>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7"/>
      <w:bookmarkEnd w:id="38"/>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9"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39"/>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5B83E9C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r w:rsidR="001B2D2B">
        <w:rPr>
          <w:sz w:val="24"/>
          <w:szCs w:val="24"/>
        </w:rPr>
        <w:t>de 30 de setembro de 2021</w:t>
      </w:r>
      <w:r w:rsidR="007116B9">
        <w:rPr>
          <w:sz w:val="24"/>
          <w:szCs w:val="24"/>
        </w:rPr>
        <w:t xml:space="preserve">, </w:t>
      </w:r>
      <w:bookmarkStart w:id="40"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0"/>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0DBC6F81"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 xml:space="preserve">no </w:t>
      </w:r>
      <w:r w:rsidR="001B2D2B">
        <w:rPr>
          <w:sz w:val="24"/>
          <w:szCs w:val="24"/>
        </w:rPr>
        <w:t>dia 19 (dezenove)</w:t>
      </w:r>
      <w:r w:rsidR="00303C03" w:rsidRPr="00303C03">
        <w:rPr>
          <w:sz w:val="24"/>
          <w:szCs w:val="24"/>
        </w:rPr>
        <w:t xml:space="preserve">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1B2D2B">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1" w:name="_DV_M239"/>
      <w:bookmarkStart w:id="42" w:name="_DV_M319"/>
      <w:bookmarkEnd w:id="41"/>
      <w:bookmarkEnd w:id="42"/>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3"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3"/>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 xml:space="preserve">O Reforço ou Substituição deverá estar </w:t>
      </w:r>
      <w:r w:rsidR="00421B06">
        <w:rPr>
          <w:sz w:val="24"/>
          <w:szCs w:val="24"/>
        </w:rPr>
        <w:lastRenderedPageBreak/>
        <w:t>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4"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4"/>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5"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 xml:space="preserve">ter todas as autorizações societárias e de </w:t>
      </w:r>
      <w:r w:rsidR="008A4467" w:rsidRPr="00206A47">
        <w:rPr>
          <w:sz w:val="24"/>
          <w:szCs w:val="24"/>
        </w:rPr>
        <w:lastRenderedPageBreak/>
        <w:t>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5"/>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6"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w:t>
      </w:r>
      <w:r w:rsidR="00414C11" w:rsidRPr="007B1485">
        <w:rPr>
          <w:sz w:val="24"/>
          <w:szCs w:val="24"/>
          <w:lang w:val="pt-PT"/>
        </w:rPr>
        <w:lastRenderedPageBreak/>
        <w:t xml:space="preserve">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6"/>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7"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7"/>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48" w:name="_Ref432187715"/>
      <w:bookmarkStart w:id="49" w:name="_Ref432391370"/>
      <w:bookmarkStart w:id="50"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1"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1"/>
      <w:r w:rsidRPr="004D2F04">
        <w:rPr>
          <w:rFonts w:ascii="Times New Roman" w:hAnsi="Times New Roman"/>
          <w:b w:val="0"/>
          <w:sz w:val="24"/>
          <w:szCs w:val="24"/>
        </w:rPr>
        <w:t xml:space="preserve">, </w:t>
      </w:r>
      <w:bookmarkEnd w:id="48"/>
      <w:bookmarkEnd w:id="49"/>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2" w:name="_Ref426466986"/>
      <w:bookmarkStart w:id="53"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4" w:name="_Ref432185029"/>
      <w:bookmarkStart w:id="55" w:name="_Ref435645852"/>
      <w:bookmarkStart w:id="56" w:name="_Ref435985286"/>
      <w:r w:rsidRPr="004D2F04">
        <w:rPr>
          <w:rFonts w:ascii="Times New Roman" w:hAnsi="Times New Roman"/>
          <w:b w:val="0"/>
          <w:sz w:val="24"/>
          <w:szCs w:val="24"/>
        </w:rPr>
        <w:t>3.</w:t>
      </w:r>
      <w:bookmarkEnd w:id="54"/>
      <w:bookmarkEnd w:id="55"/>
      <w:bookmarkEnd w:id="56"/>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7" w:name="_Ref435639069"/>
      <w:bookmarkEnd w:id="52"/>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7"/>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58"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58"/>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59" w:name="_Ref424767719"/>
      <w:bookmarkEnd w:id="50"/>
      <w:bookmarkEnd w:id="53"/>
    </w:p>
    <w:bookmarkEnd w:id="59"/>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livre </w:t>
      </w:r>
      <w:r w:rsidR="00B7361A" w:rsidRPr="004D2F04">
        <w:rPr>
          <w:rFonts w:ascii="Times New Roman" w:hAnsi="Times New Roman"/>
          <w:b w:val="0"/>
          <w:sz w:val="24"/>
          <w:szCs w:val="24"/>
          <w:lang w:val="pt-BR"/>
        </w:rPr>
        <w:lastRenderedPageBreak/>
        <w:t>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0" w:name="_Ref424768784"/>
      <w:bookmarkStart w:id="61"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0"/>
      <w:bookmarkEnd w:id="61"/>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2" w:name="_DV_M103"/>
      <w:bookmarkStart w:id="63" w:name="_DV_M104"/>
      <w:bookmarkStart w:id="64" w:name="_DV_M105"/>
      <w:bookmarkStart w:id="65" w:name="_Ref432391002"/>
      <w:bookmarkStart w:id="66" w:name="_Ref424768689"/>
      <w:bookmarkStart w:id="67" w:name="_Ref426501953"/>
      <w:bookmarkEnd w:id="62"/>
      <w:bookmarkEnd w:id="63"/>
      <w:bookmarkEnd w:id="64"/>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5"/>
      <w:r w:rsidRPr="004D2F04">
        <w:rPr>
          <w:rFonts w:ascii="Times New Roman" w:hAnsi="Times New Roman"/>
          <w:b w:val="0"/>
          <w:sz w:val="24"/>
          <w:szCs w:val="24"/>
        </w:rPr>
        <w:t xml:space="preserve"> </w:t>
      </w:r>
      <w:bookmarkEnd w:id="66"/>
      <w:bookmarkEnd w:id="67"/>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8"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68"/>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w:t>
      </w:r>
      <w:r w:rsidRPr="004D2F04">
        <w:rPr>
          <w:rFonts w:ascii="Times New Roman" w:hAnsi="Times New Roman"/>
          <w:b w:val="0"/>
          <w:sz w:val="24"/>
          <w:szCs w:val="24"/>
        </w:rPr>
        <w:lastRenderedPageBreak/>
        <w:t>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w:t>
      </w:r>
      <w:r w:rsidR="00AD2912" w:rsidRPr="004D2F04">
        <w:rPr>
          <w:rFonts w:ascii="Times New Roman" w:hAnsi="Times New Roman"/>
          <w:b w:val="0"/>
          <w:sz w:val="24"/>
          <w:szCs w:val="24"/>
        </w:rPr>
        <w:lastRenderedPageBreak/>
        <w:t xml:space="preserve">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9" w:name="_DV_M42"/>
      <w:bookmarkStart w:id="70" w:name="_Toc510869701"/>
      <w:bookmarkEnd w:id="69"/>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0"/>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1"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1"/>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2"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2"/>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3"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3"/>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4"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4"/>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5"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5"/>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lastRenderedPageBreak/>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6"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6"/>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7"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78"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lastRenderedPageBreak/>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78"/>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7"/>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79" w:name="_Ref424766587"/>
      <w:bookmarkStart w:id="80"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79"/>
    <w:bookmarkEnd w:id="80"/>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1"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w:t>
      </w:r>
      <w:r w:rsidRPr="004D2F04">
        <w:rPr>
          <w:rFonts w:ascii="Times New Roman" w:hAnsi="Times New Roman"/>
          <w:b w:val="0"/>
          <w:sz w:val="24"/>
          <w:szCs w:val="24"/>
        </w:rPr>
        <w:lastRenderedPageBreak/>
        <w:t xml:space="preserve">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2" w:name="_Ref432387642"/>
      <w:bookmarkStart w:id="83"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2"/>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4"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4"/>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w:t>
      </w:r>
      <w:r w:rsidR="00B42B8F" w:rsidRPr="004D2F04">
        <w:rPr>
          <w:rFonts w:ascii="Times New Roman" w:hAnsi="Times New Roman"/>
          <w:b w:val="0"/>
          <w:sz w:val="24"/>
          <w:szCs w:val="24"/>
        </w:rPr>
        <w:lastRenderedPageBreak/>
        <w:t xml:space="preserve">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w:t>
      </w:r>
      <w:r w:rsidRPr="004D2F04">
        <w:rPr>
          <w:rFonts w:ascii="Times New Roman" w:hAnsi="Times New Roman"/>
          <w:b w:val="0"/>
          <w:sz w:val="24"/>
          <w:szCs w:val="24"/>
        </w:rPr>
        <w:lastRenderedPageBreak/>
        <w:t>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demais </w:t>
      </w:r>
      <w:r w:rsidRPr="004D2F04">
        <w:rPr>
          <w:rFonts w:ascii="Times New Roman" w:hAnsi="Times New Roman"/>
          <w:b w:val="0"/>
          <w:sz w:val="24"/>
          <w:szCs w:val="24"/>
        </w:rPr>
        <w:lastRenderedPageBreak/>
        <w:t>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w:t>
      </w:r>
      <w:r w:rsidRPr="004D2F04">
        <w:rPr>
          <w:rFonts w:ascii="Times New Roman" w:hAnsi="Times New Roman"/>
          <w:b w:val="0"/>
          <w:sz w:val="24"/>
          <w:szCs w:val="24"/>
        </w:rPr>
        <w:lastRenderedPageBreak/>
        <w:t>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lastRenderedPageBreak/>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5"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5"/>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lastRenderedPageBreak/>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6"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 xml:space="preserve">mão-de-obra infantil e/ou em condição análoga à de escravo ou de direitos dos silvícolas, em especial, mas não se limitando, ao direito sobre as áreas de ocupação indígena, assim </w:t>
      </w:r>
      <w:r w:rsidR="00A359E9" w:rsidRPr="00092876">
        <w:rPr>
          <w:sz w:val="24"/>
          <w:szCs w:val="24"/>
          <w:lang w:eastAsia="en-US"/>
        </w:rPr>
        <w:lastRenderedPageBreak/>
        <w:t>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6"/>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7" w:name="_Ref55491002"/>
      <w:bookmarkStart w:id="88"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7"/>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8"/>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w:t>
      </w:r>
      <w:r w:rsidRPr="004D2F04">
        <w:rPr>
          <w:rFonts w:ascii="Times New Roman" w:hAnsi="Times New Roman"/>
          <w:b w:val="0"/>
          <w:sz w:val="24"/>
          <w:szCs w:val="24"/>
        </w:rPr>
        <w:lastRenderedPageBreak/>
        <w:t>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89" w:name="_Ref429510878"/>
      <w:bookmarkStart w:id="90"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89"/>
      <w:bookmarkEnd w:id="90"/>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1"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1"/>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2" w:name="_Hlk59575523"/>
      <w:r w:rsidRPr="004D2F04">
        <w:rPr>
          <w:iCs/>
          <w:szCs w:val="24"/>
        </w:rPr>
        <w:t>Eliana Florindo</w:t>
      </w:r>
      <w:bookmarkEnd w:id="92"/>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3" w:name="_DV_M366"/>
      <w:bookmarkEnd w:id="93"/>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4" w:name="_DV_M367"/>
      <w:bookmarkStart w:id="95" w:name="_DV_M368"/>
      <w:bookmarkStart w:id="96" w:name="_DV_M369"/>
      <w:bookmarkStart w:id="97" w:name="_DV_M370"/>
      <w:bookmarkStart w:id="98" w:name="_DV_M372"/>
      <w:bookmarkStart w:id="99" w:name="_DV_M373"/>
      <w:bookmarkStart w:id="100" w:name="_DV_M374"/>
      <w:bookmarkStart w:id="101" w:name="_DV_M375"/>
      <w:bookmarkEnd w:id="94"/>
      <w:bookmarkEnd w:id="95"/>
      <w:bookmarkEnd w:id="96"/>
      <w:bookmarkEnd w:id="97"/>
      <w:bookmarkEnd w:id="98"/>
      <w:bookmarkEnd w:id="99"/>
      <w:bookmarkEnd w:id="100"/>
      <w:bookmarkEnd w:id="101"/>
    </w:p>
    <w:p w14:paraId="09B49125" w14:textId="29DB7383" w:rsidR="00FB3013" w:rsidRPr="004D2F04" w:rsidRDefault="001B2D2B" w:rsidP="00DC450F">
      <w:pPr>
        <w:shd w:val="clear" w:color="auto" w:fill="FFFFFF"/>
        <w:spacing w:line="312" w:lineRule="auto"/>
        <w:rPr>
          <w:rFonts w:eastAsia="Arial Unicode MS"/>
          <w:b/>
          <w:sz w:val="24"/>
          <w:szCs w:val="24"/>
        </w:rPr>
      </w:pPr>
      <w:bookmarkStart w:id="102"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2"/>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182DA1A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1B2D2B" w:rsidRPr="001B2D2B">
        <w:rPr>
          <w:iCs/>
          <w:w w:val="0"/>
          <w:sz w:val="24"/>
          <w:szCs w:val="24"/>
        </w:rPr>
        <w:t>juridico@virgo.inc</w:t>
      </w:r>
      <w:r w:rsidR="001B2D2B">
        <w:rPr>
          <w:iCs/>
          <w:w w:val="0"/>
          <w:sz w:val="24"/>
          <w:szCs w:val="24"/>
        </w:rPr>
        <w:t xml:space="preserve"> / gestao@virgo.inc</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401D21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1B2D2B">
        <w:rPr>
          <w:b/>
          <w:sz w:val="24"/>
          <w:szCs w:val="24"/>
        </w:rPr>
        <w:t>S.A.</w:t>
      </w:r>
    </w:p>
    <w:p w14:paraId="4FCE8BD0" w14:textId="77777777" w:rsidR="00FB3013" w:rsidRPr="004D2F04" w:rsidRDefault="00FB3013" w:rsidP="00DC450F">
      <w:pPr>
        <w:autoSpaceDE w:val="0"/>
        <w:autoSpaceDN w:val="0"/>
        <w:spacing w:line="312" w:lineRule="auto"/>
        <w:rPr>
          <w:sz w:val="24"/>
          <w:szCs w:val="24"/>
        </w:rPr>
      </w:pPr>
      <w:bookmarkStart w:id="103"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4" w:name="_DV_M376"/>
      <w:bookmarkEnd w:id="103"/>
      <w:bookmarkEnd w:id="104"/>
      <w:r w:rsidRPr="00FA037A">
        <w:rPr>
          <w:w w:val="0"/>
          <w:szCs w:val="24"/>
        </w:rPr>
        <w:lastRenderedPageBreak/>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5"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1"/>
      <w:bookmarkEnd w:id="83"/>
      <w:bookmarkEnd w:id="105"/>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6" w:name="_DV_M173"/>
      <w:bookmarkEnd w:id="106"/>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lastRenderedPageBreak/>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7" w:name="_DV_M95"/>
      <w:bookmarkStart w:id="108" w:name="_DV_M96"/>
      <w:bookmarkStart w:id="109" w:name="_DV_M97"/>
      <w:bookmarkStart w:id="110" w:name="_DV_M98"/>
      <w:bookmarkEnd w:id="107"/>
      <w:bookmarkEnd w:id="108"/>
      <w:bookmarkEnd w:id="109"/>
      <w:bookmarkEnd w:id="110"/>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w:t>
      </w:r>
      <w:r w:rsidRPr="004D2F04">
        <w:rPr>
          <w:rFonts w:ascii="Times New Roman" w:hAnsi="Times New Roman"/>
          <w:b w:val="0"/>
          <w:sz w:val="24"/>
          <w:szCs w:val="24"/>
        </w:rPr>
        <w:lastRenderedPageBreak/>
        <w:t>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1" w:name="_Hlk62235006"/>
      <w:r w:rsidRPr="00C0657E">
        <w:rPr>
          <w:rFonts w:ascii="Times New Roman" w:hAnsi="Times New Roman"/>
          <w:b w:val="0"/>
          <w:sz w:val="24"/>
          <w:szCs w:val="24"/>
        </w:rPr>
        <w:t xml:space="preserve">As Partes reconhecem a forma de contratação por meios eletrônicos, digitais e informáticos como válida e plenamente eficaz, constituindo título executivo </w:t>
      </w:r>
      <w:r w:rsidRPr="00C0657E">
        <w:rPr>
          <w:rFonts w:ascii="Times New Roman" w:hAnsi="Times New Roman"/>
          <w:b w:val="0"/>
          <w:sz w:val="24"/>
          <w:szCs w:val="24"/>
        </w:rPr>
        <w:lastRenderedPageBreak/>
        <w:t>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1"/>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6501CC3B" w14:textId="299FF22B"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12" w:name="_Hlk55506426"/>
      <w:r w:rsidRPr="004E2808">
        <w:rPr>
          <w:rFonts w:ascii="Times New Roman" w:hAnsi="Times New Roman"/>
          <w:b/>
          <w:bCs/>
          <w:szCs w:val="24"/>
          <w:lang w:val="pt-BR"/>
        </w:rPr>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1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8070" w:type="dxa"/>
        <w:jc w:val="center"/>
        <w:tblCellMar>
          <w:left w:w="70" w:type="dxa"/>
          <w:right w:w="70" w:type="dxa"/>
        </w:tblCellMar>
        <w:tblLook w:val="04A0" w:firstRow="1" w:lastRow="0" w:firstColumn="1" w:lastColumn="0" w:noHBand="0" w:noVBand="1"/>
      </w:tblPr>
      <w:tblGrid>
        <w:gridCol w:w="960"/>
        <w:gridCol w:w="1440"/>
        <w:gridCol w:w="1276"/>
        <w:gridCol w:w="1871"/>
        <w:gridCol w:w="2523"/>
      </w:tblGrid>
      <w:tr w:rsidR="00097033" w:rsidRPr="00097033" w14:paraId="11A53A93" w14:textId="77777777" w:rsidTr="00355B4F">
        <w:trPr>
          <w:trHeight w:val="126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29C4592F" w14:textId="77777777" w:rsidR="00097033" w:rsidRPr="00097033" w:rsidRDefault="00097033" w:rsidP="00097033">
            <w:pPr>
              <w:jc w:val="center"/>
              <w:rPr>
                <w:b/>
                <w:bCs/>
                <w:color w:val="FFFFFF"/>
                <w:sz w:val="24"/>
                <w:szCs w:val="24"/>
              </w:rPr>
            </w:pPr>
            <w:r w:rsidRPr="00097033">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6C9E32CB" w14:textId="77777777" w:rsidR="00097033" w:rsidRPr="00097033" w:rsidRDefault="00097033" w:rsidP="00097033">
            <w:pPr>
              <w:jc w:val="center"/>
              <w:rPr>
                <w:b/>
                <w:bCs/>
                <w:color w:val="FFFFFF"/>
                <w:sz w:val="24"/>
                <w:szCs w:val="24"/>
              </w:rPr>
            </w:pPr>
            <w:r w:rsidRPr="00097033">
              <w:rPr>
                <w:b/>
                <w:bCs/>
                <w:color w:val="FFFFFF"/>
                <w:sz w:val="24"/>
                <w:szCs w:val="24"/>
              </w:rPr>
              <w:t>Município</w:t>
            </w:r>
          </w:p>
        </w:tc>
        <w:tc>
          <w:tcPr>
            <w:tcW w:w="1276" w:type="dxa"/>
            <w:tcBorders>
              <w:top w:val="single" w:sz="8" w:space="0" w:color="auto"/>
              <w:left w:val="nil"/>
              <w:bottom w:val="nil"/>
              <w:right w:val="single" w:sz="8" w:space="0" w:color="auto"/>
            </w:tcBorders>
            <w:shd w:val="clear" w:color="000000" w:fill="000000"/>
            <w:vAlign w:val="center"/>
            <w:hideMark/>
          </w:tcPr>
          <w:p w14:paraId="0C0F83F8" w14:textId="77777777" w:rsidR="00097033" w:rsidRPr="00097033" w:rsidRDefault="00097033" w:rsidP="00097033">
            <w:pPr>
              <w:jc w:val="center"/>
              <w:rPr>
                <w:b/>
                <w:bCs/>
                <w:color w:val="FFFFFF"/>
                <w:sz w:val="24"/>
                <w:szCs w:val="24"/>
              </w:rPr>
            </w:pPr>
            <w:r w:rsidRPr="00097033">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4A467C10" w14:textId="77777777" w:rsidR="00097033" w:rsidRPr="00097033" w:rsidRDefault="00097033" w:rsidP="00097033">
            <w:pPr>
              <w:jc w:val="center"/>
              <w:rPr>
                <w:b/>
                <w:bCs/>
                <w:color w:val="FFFFFF"/>
                <w:sz w:val="24"/>
                <w:szCs w:val="24"/>
              </w:rPr>
            </w:pPr>
            <w:r w:rsidRPr="00097033">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D1249C8" w14:textId="77777777" w:rsidR="00097033" w:rsidRPr="00097033" w:rsidRDefault="00097033" w:rsidP="00097033">
            <w:pPr>
              <w:jc w:val="center"/>
              <w:rPr>
                <w:b/>
                <w:bCs/>
                <w:color w:val="FFFFFF"/>
                <w:sz w:val="24"/>
                <w:szCs w:val="24"/>
              </w:rPr>
            </w:pPr>
            <w:r w:rsidRPr="00097033">
              <w:rPr>
                <w:b/>
                <w:bCs/>
                <w:color w:val="FFFFFF"/>
                <w:sz w:val="24"/>
                <w:szCs w:val="24"/>
              </w:rPr>
              <w:t>Valor do Imóvel para fins do Contrato</w:t>
            </w:r>
          </w:p>
        </w:tc>
      </w:tr>
      <w:tr w:rsidR="00383113" w:rsidRPr="00097033" w14:paraId="4FC3E7E6" w14:textId="77777777" w:rsidTr="006B017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6BB" w14:textId="77777777" w:rsidR="00383113" w:rsidRPr="00097033" w:rsidRDefault="00383113" w:rsidP="00383113">
            <w:pPr>
              <w:jc w:val="center"/>
              <w:rPr>
                <w:color w:val="000000"/>
                <w:sz w:val="24"/>
                <w:szCs w:val="24"/>
              </w:rPr>
            </w:pPr>
            <w:r w:rsidRPr="00097033">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D458CB"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5F3ACF" w14:textId="77777777" w:rsidR="00383113" w:rsidRPr="00097033" w:rsidRDefault="00383113" w:rsidP="00383113">
            <w:pPr>
              <w:jc w:val="center"/>
              <w:rPr>
                <w:color w:val="000000"/>
                <w:sz w:val="24"/>
                <w:szCs w:val="24"/>
              </w:rPr>
            </w:pPr>
            <w:r w:rsidRPr="00097033">
              <w:rPr>
                <w:color w:val="000000"/>
                <w:sz w:val="24"/>
                <w:szCs w:val="24"/>
              </w:rPr>
              <w:t>127.094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76019F3" w14:textId="36CC9EAB" w:rsidR="00383113" w:rsidRPr="00383113" w:rsidRDefault="00383113" w:rsidP="00383113">
            <w:pPr>
              <w:jc w:val="center"/>
              <w:rPr>
                <w:sz w:val="24"/>
                <w:szCs w:val="24"/>
              </w:rPr>
            </w:pPr>
            <w:r w:rsidRPr="006B017F">
              <w:rPr>
                <w:sz w:val="24"/>
                <w:szCs w:val="24"/>
              </w:rPr>
              <w:t>3,53%</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2CD057C5" w14:textId="77777777" w:rsidR="00383113" w:rsidRPr="00097033" w:rsidRDefault="00383113" w:rsidP="00383113">
            <w:pPr>
              <w:jc w:val="center"/>
              <w:rPr>
                <w:sz w:val="24"/>
                <w:szCs w:val="24"/>
              </w:rPr>
            </w:pPr>
            <w:r w:rsidRPr="00097033">
              <w:rPr>
                <w:sz w:val="24"/>
                <w:szCs w:val="24"/>
              </w:rPr>
              <w:t>R$ 2.940.665,00</w:t>
            </w:r>
          </w:p>
        </w:tc>
      </w:tr>
      <w:tr w:rsidR="00383113" w:rsidRPr="00097033" w14:paraId="686D9653"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A43966" w14:textId="77777777" w:rsidR="00383113" w:rsidRPr="00097033" w:rsidRDefault="00383113" w:rsidP="00383113">
            <w:pPr>
              <w:jc w:val="center"/>
              <w:rPr>
                <w:color w:val="000000"/>
                <w:sz w:val="24"/>
                <w:szCs w:val="24"/>
              </w:rPr>
            </w:pPr>
            <w:r w:rsidRPr="00097033">
              <w:rPr>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14:paraId="1C3AC58A"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5B8FD8D" w14:textId="77777777" w:rsidR="00383113" w:rsidRPr="00097033" w:rsidRDefault="00383113" w:rsidP="00383113">
            <w:pPr>
              <w:jc w:val="center"/>
              <w:rPr>
                <w:color w:val="000000"/>
                <w:sz w:val="24"/>
                <w:szCs w:val="24"/>
              </w:rPr>
            </w:pPr>
            <w:r w:rsidRPr="00097033">
              <w:rPr>
                <w:color w:val="000000"/>
                <w:sz w:val="24"/>
                <w:szCs w:val="24"/>
              </w:rPr>
              <w:t>127.096</w:t>
            </w:r>
          </w:p>
        </w:tc>
        <w:tc>
          <w:tcPr>
            <w:tcW w:w="1871" w:type="dxa"/>
            <w:tcBorders>
              <w:top w:val="nil"/>
              <w:left w:val="nil"/>
              <w:bottom w:val="single" w:sz="4" w:space="0" w:color="auto"/>
              <w:right w:val="single" w:sz="4" w:space="0" w:color="auto"/>
            </w:tcBorders>
            <w:shd w:val="clear" w:color="auto" w:fill="auto"/>
            <w:noWrap/>
            <w:vAlign w:val="bottom"/>
            <w:hideMark/>
          </w:tcPr>
          <w:p w14:paraId="74E3C976" w14:textId="62EFE85A"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61B49965" w14:textId="77777777" w:rsidR="00383113" w:rsidRPr="00097033" w:rsidRDefault="00383113" w:rsidP="00383113">
            <w:pPr>
              <w:jc w:val="center"/>
              <w:rPr>
                <w:sz w:val="24"/>
                <w:szCs w:val="24"/>
              </w:rPr>
            </w:pPr>
            <w:r w:rsidRPr="00097033">
              <w:rPr>
                <w:sz w:val="24"/>
                <w:szCs w:val="24"/>
              </w:rPr>
              <w:t>R$ 2.807.265,00</w:t>
            </w:r>
          </w:p>
        </w:tc>
      </w:tr>
      <w:tr w:rsidR="00383113" w:rsidRPr="00097033" w14:paraId="259CC86A"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CD7CD" w14:textId="77777777" w:rsidR="00383113" w:rsidRPr="00097033" w:rsidRDefault="00383113" w:rsidP="00383113">
            <w:pPr>
              <w:jc w:val="center"/>
              <w:rPr>
                <w:color w:val="000000"/>
                <w:sz w:val="24"/>
                <w:szCs w:val="24"/>
              </w:rPr>
            </w:pPr>
            <w:r w:rsidRPr="00097033">
              <w:rPr>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14:paraId="065FB1A9"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202F603C" w14:textId="77777777" w:rsidR="00383113" w:rsidRPr="00097033" w:rsidRDefault="00383113" w:rsidP="00383113">
            <w:pPr>
              <w:jc w:val="center"/>
              <w:rPr>
                <w:color w:val="000000"/>
                <w:sz w:val="24"/>
                <w:szCs w:val="24"/>
              </w:rPr>
            </w:pPr>
            <w:r w:rsidRPr="00097033">
              <w:rPr>
                <w:color w:val="000000"/>
                <w:sz w:val="24"/>
                <w:szCs w:val="24"/>
              </w:rPr>
              <w:t>127.098</w:t>
            </w:r>
          </w:p>
        </w:tc>
        <w:tc>
          <w:tcPr>
            <w:tcW w:w="1871" w:type="dxa"/>
            <w:tcBorders>
              <w:top w:val="nil"/>
              <w:left w:val="nil"/>
              <w:bottom w:val="single" w:sz="4" w:space="0" w:color="auto"/>
              <w:right w:val="single" w:sz="4" w:space="0" w:color="auto"/>
            </w:tcBorders>
            <w:shd w:val="clear" w:color="auto" w:fill="auto"/>
            <w:noWrap/>
            <w:vAlign w:val="bottom"/>
            <w:hideMark/>
          </w:tcPr>
          <w:p w14:paraId="548BAE58" w14:textId="28B1A38E"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0DAC49ED" w14:textId="77777777" w:rsidR="00383113" w:rsidRPr="00097033" w:rsidRDefault="00383113" w:rsidP="00383113">
            <w:pPr>
              <w:jc w:val="center"/>
              <w:rPr>
                <w:sz w:val="24"/>
                <w:szCs w:val="24"/>
              </w:rPr>
            </w:pPr>
            <w:r w:rsidRPr="00097033">
              <w:rPr>
                <w:sz w:val="24"/>
                <w:szCs w:val="24"/>
              </w:rPr>
              <w:t>R$ 2.807.265,00</w:t>
            </w:r>
          </w:p>
        </w:tc>
      </w:tr>
      <w:tr w:rsidR="00383113" w:rsidRPr="00097033" w14:paraId="44867B01"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150A5" w14:textId="77777777" w:rsidR="00383113" w:rsidRPr="00097033" w:rsidRDefault="00383113" w:rsidP="00383113">
            <w:pPr>
              <w:jc w:val="center"/>
              <w:rPr>
                <w:color w:val="000000"/>
                <w:sz w:val="24"/>
                <w:szCs w:val="24"/>
              </w:rPr>
            </w:pPr>
            <w:r w:rsidRPr="00097033">
              <w:rPr>
                <w:color w:val="000000"/>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14:paraId="353F7E04"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FD24282" w14:textId="77777777" w:rsidR="00383113" w:rsidRPr="00097033" w:rsidRDefault="00383113" w:rsidP="00383113">
            <w:pPr>
              <w:jc w:val="center"/>
              <w:rPr>
                <w:color w:val="000000"/>
                <w:sz w:val="24"/>
                <w:szCs w:val="24"/>
              </w:rPr>
            </w:pPr>
            <w:r w:rsidRPr="00097033">
              <w:rPr>
                <w:color w:val="000000"/>
                <w:sz w:val="24"/>
                <w:szCs w:val="24"/>
              </w:rPr>
              <w:t>127.100</w:t>
            </w:r>
          </w:p>
        </w:tc>
        <w:tc>
          <w:tcPr>
            <w:tcW w:w="1871" w:type="dxa"/>
            <w:tcBorders>
              <w:top w:val="nil"/>
              <w:left w:val="nil"/>
              <w:bottom w:val="single" w:sz="4" w:space="0" w:color="auto"/>
              <w:right w:val="single" w:sz="4" w:space="0" w:color="auto"/>
            </w:tcBorders>
            <w:shd w:val="clear" w:color="auto" w:fill="auto"/>
            <w:noWrap/>
            <w:vAlign w:val="bottom"/>
            <w:hideMark/>
          </w:tcPr>
          <w:p w14:paraId="204E5403" w14:textId="41DC56C7"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77F9C84F" w14:textId="77777777" w:rsidR="00383113" w:rsidRPr="00097033" w:rsidRDefault="00383113" w:rsidP="00383113">
            <w:pPr>
              <w:jc w:val="center"/>
              <w:rPr>
                <w:sz w:val="24"/>
                <w:szCs w:val="24"/>
              </w:rPr>
            </w:pPr>
            <w:r w:rsidRPr="00097033">
              <w:rPr>
                <w:sz w:val="24"/>
                <w:szCs w:val="24"/>
              </w:rPr>
              <w:t>R$ 2.807.265,00</w:t>
            </w:r>
          </w:p>
        </w:tc>
      </w:tr>
      <w:tr w:rsidR="00383113" w:rsidRPr="00097033" w14:paraId="74E1B7D3"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9BC63" w14:textId="77777777" w:rsidR="00383113" w:rsidRPr="00097033" w:rsidRDefault="00383113" w:rsidP="00383113">
            <w:pPr>
              <w:jc w:val="center"/>
              <w:rPr>
                <w:color w:val="000000"/>
                <w:sz w:val="24"/>
                <w:szCs w:val="24"/>
              </w:rPr>
            </w:pPr>
            <w:r w:rsidRPr="00097033">
              <w:rPr>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14:paraId="3A2D18CD"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F1D4D9B" w14:textId="77777777" w:rsidR="00383113" w:rsidRPr="00097033" w:rsidRDefault="00383113" w:rsidP="00383113">
            <w:pPr>
              <w:jc w:val="center"/>
              <w:rPr>
                <w:color w:val="000000"/>
                <w:sz w:val="24"/>
                <w:szCs w:val="24"/>
              </w:rPr>
            </w:pPr>
            <w:r w:rsidRPr="00097033">
              <w:rPr>
                <w:color w:val="000000"/>
                <w:sz w:val="24"/>
                <w:szCs w:val="24"/>
              </w:rPr>
              <w:t>127.095</w:t>
            </w:r>
          </w:p>
        </w:tc>
        <w:tc>
          <w:tcPr>
            <w:tcW w:w="1871" w:type="dxa"/>
            <w:tcBorders>
              <w:top w:val="nil"/>
              <w:left w:val="nil"/>
              <w:bottom w:val="single" w:sz="4" w:space="0" w:color="auto"/>
              <w:right w:val="single" w:sz="4" w:space="0" w:color="auto"/>
            </w:tcBorders>
            <w:shd w:val="clear" w:color="auto" w:fill="auto"/>
            <w:noWrap/>
            <w:vAlign w:val="bottom"/>
            <w:hideMark/>
          </w:tcPr>
          <w:p w14:paraId="52372B0B" w14:textId="3CF9E21D" w:rsidR="00383113" w:rsidRPr="00383113" w:rsidRDefault="00383113" w:rsidP="00383113">
            <w:pPr>
              <w:jc w:val="center"/>
              <w:rPr>
                <w:sz w:val="24"/>
                <w:szCs w:val="24"/>
              </w:rPr>
            </w:pPr>
            <w:r w:rsidRPr="006B017F">
              <w:rPr>
                <w:sz w:val="24"/>
                <w:szCs w:val="24"/>
              </w:rPr>
              <w:t>3,53%</w:t>
            </w:r>
          </w:p>
        </w:tc>
        <w:tc>
          <w:tcPr>
            <w:tcW w:w="2523" w:type="dxa"/>
            <w:tcBorders>
              <w:top w:val="nil"/>
              <w:left w:val="nil"/>
              <w:bottom w:val="single" w:sz="4" w:space="0" w:color="auto"/>
              <w:right w:val="single" w:sz="4" w:space="0" w:color="auto"/>
            </w:tcBorders>
            <w:shd w:val="clear" w:color="auto" w:fill="auto"/>
            <w:noWrap/>
            <w:vAlign w:val="bottom"/>
            <w:hideMark/>
          </w:tcPr>
          <w:p w14:paraId="297B2907" w14:textId="77777777" w:rsidR="00383113" w:rsidRPr="00097033" w:rsidRDefault="00383113" w:rsidP="00383113">
            <w:pPr>
              <w:jc w:val="center"/>
              <w:rPr>
                <w:sz w:val="24"/>
                <w:szCs w:val="24"/>
              </w:rPr>
            </w:pPr>
            <w:r w:rsidRPr="00097033">
              <w:rPr>
                <w:sz w:val="24"/>
                <w:szCs w:val="24"/>
              </w:rPr>
              <w:t>R$ 2.940.665,00</w:t>
            </w:r>
          </w:p>
        </w:tc>
      </w:tr>
      <w:tr w:rsidR="00383113" w:rsidRPr="00097033" w14:paraId="578273DF" w14:textId="77777777" w:rsidTr="006B01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60208" w14:textId="77777777" w:rsidR="00383113" w:rsidRPr="00097033" w:rsidRDefault="00383113" w:rsidP="00383113">
            <w:pPr>
              <w:jc w:val="center"/>
              <w:rPr>
                <w:color w:val="000000"/>
                <w:sz w:val="24"/>
                <w:szCs w:val="24"/>
              </w:rPr>
            </w:pPr>
            <w:r w:rsidRPr="00097033">
              <w:rPr>
                <w:color w:val="000000"/>
                <w:sz w:val="24"/>
                <w:szCs w:val="24"/>
              </w:rPr>
              <w:t>6</w:t>
            </w:r>
          </w:p>
        </w:tc>
        <w:tc>
          <w:tcPr>
            <w:tcW w:w="1440" w:type="dxa"/>
            <w:tcBorders>
              <w:top w:val="nil"/>
              <w:left w:val="nil"/>
              <w:bottom w:val="single" w:sz="4" w:space="0" w:color="auto"/>
              <w:right w:val="single" w:sz="4" w:space="0" w:color="auto"/>
            </w:tcBorders>
            <w:shd w:val="clear" w:color="auto" w:fill="auto"/>
            <w:noWrap/>
            <w:vAlign w:val="bottom"/>
            <w:hideMark/>
          </w:tcPr>
          <w:p w14:paraId="0898A16F" w14:textId="77777777" w:rsidR="00383113" w:rsidRPr="00097033" w:rsidRDefault="00383113" w:rsidP="00383113">
            <w:pPr>
              <w:jc w:val="center"/>
              <w:rPr>
                <w:color w:val="000000"/>
                <w:sz w:val="24"/>
                <w:szCs w:val="24"/>
              </w:rPr>
            </w:pPr>
            <w:r w:rsidRPr="00097033">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275DF76" w14:textId="77777777" w:rsidR="00383113" w:rsidRPr="00097033" w:rsidRDefault="00383113" w:rsidP="00383113">
            <w:pPr>
              <w:jc w:val="center"/>
              <w:rPr>
                <w:color w:val="000000"/>
                <w:sz w:val="24"/>
                <w:szCs w:val="24"/>
              </w:rPr>
            </w:pPr>
            <w:r w:rsidRPr="00097033">
              <w:rPr>
                <w:color w:val="000000"/>
                <w:sz w:val="24"/>
                <w:szCs w:val="24"/>
              </w:rPr>
              <w:t>127.097</w:t>
            </w:r>
          </w:p>
        </w:tc>
        <w:tc>
          <w:tcPr>
            <w:tcW w:w="1871" w:type="dxa"/>
            <w:tcBorders>
              <w:top w:val="nil"/>
              <w:left w:val="nil"/>
              <w:bottom w:val="single" w:sz="4" w:space="0" w:color="auto"/>
              <w:right w:val="single" w:sz="4" w:space="0" w:color="auto"/>
            </w:tcBorders>
            <w:shd w:val="clear" w:color="auto" w:fill="auto"/>
            <w:noWrap/>
            <w:vAlign w:val="bottom"/>
            <w:hideMark/>
          </w:tcPr>
          <w:p w14:paraId="5F0A9E49" w14:textId="596459DC" w:rsidR="00383113" w:rsidRPr="00383113" w:rsidRDefault="00383113" w:rsidP="00383113">
            <w:pPr>
              <w:jc w:val="center"/>
              <w:rPr>
                <w:sz w:val="24"/>
                <w:szCs w:val="24"/>
              </w:rPr>
            </w:pPr>
            <w:r w:rsidRPr="006B017F">
              <w:rPr>
                <w:sz w:val="24"/>
                <w:szCs w:val="24"/>
              </w:rPr>
              <w:t>3,37%</w:t>
            </w:r>
          </w:p>
        </w:tc>
        <w:tc>
          <w:tcPr>
            <w:tcW w:w="2523" w:type="dxa"/>
            <w:tcBorders>
              <w:top w:val="nil"/>
              <w:left w:val="nil"/>
              <w:bottom w:val="single" w:sz="4" w:space="0" w:color="auto"/>
              <w:right w:val="single" w:sz="4" w:space="0" w:color="auto"/>
            </w:tcBorders>
            <w:shd w:val="clear" w:color="auto" w:fill="auto"/>
            <w:noWrap/>
            <w:vAlign w:val="bottom"/>
            <w:hideMark/>
          </w:tcPr>
          <w:p w14:paraId="3567505B" w14:textId="77777777" w:rsidR="00383113" w:rsidRPr="00097033" w:rsidRDefault="00383113" w:rsidP="00383113">
            <w:pPr>
              <w:jc w:val="center"/>
              <w:rPr>
                <w:sz w:val="24"/>
                <w:szCs w:val="24"/>
              </w:rPr>
            </w:pPr>
            <w:r w:rsidRPr="00097033">
              <w:rPr>
                <w:sz w:val="24"/>
                <w:szCs w:val="24"/>
              </w:rPr>
              <w:t>R$ 2.807.265,00</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6BDC7844"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13" w:name="_DV_M14"/>
      <w:bookmarkEnd w:id="11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F977D13"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14" w:name="_Hlk56439300"/>
      <w:r w:rsidR="00E268D1">
        <w:rPr>
          <w:rFonts w:eastAsia="Batang"/>
          <w:b/>
          <w:sz w:val="24"/>
          <w:szCs w:val="24"/>
        </w:rPr>
        <w:t>VIRGO COMPANHIA DE SECURITIZAÇÃO</w:t>
      </w:r>
      <w:r w:rsidR="00E268D1" w:rsidRPr="004D2F04">
        <w:rPr>
          <w:rFonts w:eastAsia="Batang"/>
          <w:b/>
          <w:sz w:val="24"/>
          <w:szCs w:val="24"/>
        </w:rPr>
        <w:t xml:space="preserve"> </w:t>
      </w:r>
      <w:r w:rsidR="00E268D1">
        <w:rPr>
          <w:rFonts w:eastAsia="Batang"/>
          <w:sz w:val="24"/>
          <w:szCs w:val="24"/>
        </w:rPr>
        <w:t>(</w:t>
      </w:r>
      <w:r w:rsidR="00F442FB">
        <w:rPr>
          <w:rFonts w:eastAsia="Batang"/>
          <w:sz w:val="24"/>
          <w:szCs w:val="24"/>
        </w:rPr>
        <w:t>atual</w:t>
      </w:r>
      <w:r w:rsidR="00E268D1">
        <w:rPr>
          <w:rFonts w:eastAsia="Batang"/>
          <w:sz w:val="24"/>
          <w:szCs w:val="24"/>
        </w:rPr>
        <w:t xml:space="preserve"> denominação social da </w:t>
      </w:r>
      <w:r w:rsidR="00127C92" w:rsidRPr="00E268D1">
        <w:rPr>
          <w:rFonts w:eastAsia="Batang"/>
          <w:sz w:val="24"/>
          <w:szCs w:val="24"/>
        </w:rPr>
        <w:t>ISEC SECURITIZADORA S.A.</w:t>
      </w:r>
      <w:r w:rsidR="00E268D1">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14"/>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8053D7">
        <w:rPr>
          <w:sz w:val="24"/>
          <w:szCs w:val="24"/>
        </w:rPr>
        <w:t>2</w:t>
      </w:r>
      <w:r w:rsidR="008053D7">
        <w:rPr>
          <w:sz w:val="24"/>
          <w:szCs w:val="24"/>
        </w:rPr>
        <w:t>6</w:t>
      </w:r>
      <w:r w:rsidR="00127C92" w:rsidRPr="00127C92">
        <w:rPr>
          <w:bCs/>
          <w:sz w:val="24"/>
          <w:szCs w:val="24"/>
        </w:rPr>
        <w:t xml:space="preserve"> </w:t>
      </w:r>
      <w:r w:rsidRPr="00127C92">
        <w:rPr>
          <w:bCs/>
          <w:sz w:val="24"/>
          <w:szCs w:val="24"/>
        </w:rPr>
        <w:t xml:space="preserve">de </w:t>
      </w:r>
      <w:r w:rsidR="00127C92" w:rsidRPr="008053D7">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xml:space="preserve">, com interveniência e anuência da Exto Incorporações e Empreendimentos Imobiliários </w:t>
      </w:r>
      <w:r w:rsidR="00E268D1">
        <w:rPr>
          <w:sz w:val="24"/>
          <w:szCs w:val="24"/>
        </w:rPr>
        <w:t>S.A.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D1C9154" w:rsidR="0031129B" w:rsidRPr="004D2F04" w:rsidRDefault="00E268D1"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04D6809C" w14:textId="77777777" w:rsidR="00383113" w:rsidRDefault="00383113" w:rsidP="003D5A6B">
      <w:pPr>
        <w:pStyle w:val="Ttulo1"/>
        <w:spacing w:line="312" w:lineRule="auto"/>
        <w:jc w:val="center"/>
        <w:rPr>
          <w:rFonts w:ascii="Times New Roman" w:hAnsi="Times New Roman"/>
          <w:b/>
          <w:bCs/>
          <w:szCs w:val="24"/>
          <w:lang w:val="pt-BR"/>
        </w:rPr>
        <w:sectPr w:rsidR="00383113"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68CFBEC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34108982" w:rsidR="003D5A6B" w:rsidRPr="004D2F04" w:rsidRDefault="003D5A6B" w:rsidP="003D5A6B">
      <w:pPr>
        <w:spacing w:line="312" w:lineRule="auto"/>
        <w:rPr>
          <w:sz w:val="24"/>
          <w:szCs w:val="24"/>
          <w:lang w:eastAsia="x-none"/>
        </w:rPr>
      </w:pPr>
    </w:p>
    <w:tbl>
      <w:tblPr>
        <w:tblW w:w="1284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tblGrid>
      <w:tr w:rsidR="00E268D1" w:rsidRPr="00743639" w14:paraId="465870C7" w14:textId="77777777" w:rsidTr="00E268D1">
        <w:trPr>
          <w:trHeight w:val="300"/>
        </w:trPr>
        <w:tc>
          <w:tcPr>
            <w:tcW w:w="12840" w:type="dxa"/>
            <w:gridSpan w:val="9"/>
            <w:tcBorders>
              <w:top w:val="single" w:sz="8" w:space="0" w:color="auto"/>
              <w:left w:val="single" w:sz="8" w:space="0" w:color="auto"/>
              <w:bottom w:val="single" w:sz="8" w:space="0" w:color="auto"/>
              <w:right w:val="nil"/>
            </w:tcBorders>
            <w:shd w:val="clear" w:color="auto" w:fill="auto"/>
            <w:vAlign w:val="center"/>
            <w:hideMark/>
          </w:tcPr>
          <w:p w14:paraId="44666726" w14:textId="77777777" w:rsidR="00E268D1" w:rsidRPr="00743639" w:rsidRDefault="00E268D1" w:rsidP="00743639">
            <w:pPr>
              <w:jc w:val="center"/>
              <w:rPr>
                <w:rFonts w:ascii="Calibri" w:hAnsi="Calibri" w:cs="Calibri"/>
                <w:b/>
                <w:bCs/>
              </w:rPr>
            </w:pPr>
            <w:r w:rsidRPr="00743639">
              <w:rPr>
                <w:rFonts w:ascii="Calibri" w:hAnsi="Calibri" w:cs="Calibri"/>
                <w:b/>
                <w:bCs/>
              </w:rPr>
              <w:t>Unidades Aprovadas - Substituição</w:t>
            </w:r>
          </w:p>
        </w:tc>
      </w:tr>
      <w:tr w:rsidR="00E268D1" w:rsidRPr="00743639" w14:paraId="718560CA" w14:textId="77777777" w:rsidTr="00E268D1">
        <w:trPr>
          <w:trHeight w:val="510"/>
        </w:trPr>
        <w:tc>
          <w:tcPr>
            <w:tcW w:w="2940" w:type="dxa"/>
            <w:tcBorders>
              <w:top w:val="nil"/>
              <w:left w:val="nil"/>
              <w:bottom w:val="nil"/>
              <w:right w:val="nil"/>
            </w:tcBorders>
            <w:shd w:val="clear" w:color="000000" w:fill="002060"/>
            <w:vAlign w:val="center"/>
            <w:hideMark/>
          </w:tcPr>
          <w:p w14:paraId="49EB5011"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E268D1" w:rsidRPr="00743639" w:rsidRDefault="00E268D1"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E268D1" w:rsidRPr="00743639" w14:paraId="78D8AEF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329B034"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003C4D2E"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F030C49"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0DE670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4A3348E8"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0D2A9A5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974ABE3"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56732DF3"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0F4B9A17"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082B1AC"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858C33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533051BC"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596AE60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8C00D56"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23211E0E"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6508B61B"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FF04FEA"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3B360AFA"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A6E6E52"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B3E594F"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636818B"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5076B91"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23A86072"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93CDCF5"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74ACD992"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E268D1" w:rsidRPr="00743639" w:rsidRDefault="00E268D1" w:rsidP="00743639">
            <w:pPr>
              <w:jc w:val="center"/>
              <w:rPr>
                <w:rFonts w:ascii="Calibri" w:hAnsi="Calibri" w:cs="Calibri"/>
              </w:rPr>
            </w:pPr>
            <w:r w:rsidRPr="00743639">
              <w:rPr>
                <w:rFonts w:ascii="Calibri" w:hAnsi="Calibri" w:cs="Calibri"/>
              </w:rPr>
              <w:t>R$ 852.501,44</w:t>
            </w:r>
          </w:p>
        </w:tc>
      </w:tr>
      <w:tr w:rsidR="00E268D1" w:rsidRPr="00743639" w14:paraId="11F1B0BF"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573812F7"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23F7D937"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14592DFF"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E268D1" w:rsidRPr="00743639" w:rsidRDefault="00E268D1" w:rsidP="00743639">
            <w:pPr>
              <w:jc w:val="center"/>
              <w:rPr>
                <w:rFonts w:ascii="Calibri" w:hAnsi="Calibri" w:cs="Calibri"/>
              </w:rPr>
            </w:pPr>
            <w:r w:rsidRPr="00743639">
              <w:rPr>
                <w:rFonts w:ascii="Calibri" w:hAnsi="Calibri" w:cs="Calibri"/>
              </w:rPr>
              <w:t>R$ 1.637.424,93</w:t>
            </w:r>
          </w:p>
        </w:tc>
      </w:tr>
      <w:tr w:rsidR="00E268D1" w:rsidRPr="00743639" w14:paraId="35816F9C"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E268D1" w:rsidRPr="00743639" w:rsidRDefault="00E268D1" w:rsidP="00743639">
            <w:pPr>
              <w:jc w:val="center"/>
              <w:rPr>
                <w:rFonts w:ascii="Calibri" w:hAnsi="Calibri" w:cs="Calibri"/>
              </w:rPr>
            </w:pPr>
            <w:r w:rsidRPr="00743639">
              <w:rPr>
                <w:rFonts w:ascii="Calibri" w:hAnsi="Calibri" w:cs="Calibri"/>
              </w:rPr>
              <w:t>R$ 959.858,38</w:t>
            </w:r>
          </w:p>
        </w:tc>
      </w:tr>
      <w:tr w:rsidR="00E268D1" w:rsidRPr="00743639" w14:paraId="592659FD" w14:textId="77777777" w:rsidTr="00E268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E268D1" w:rsidRPr="00743639" w:rsidRDefault="00E268D1"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2D3F7C5" w:rsidR="00E268D1" w:rsidRPr="00743639" w:rsidRDefault="00E268D1"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E268D1" w:rsidRPr="00743639" w:rsidRDefault="00E268D1"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E268D1" w:rsidRPr="00743639" w:rsidRDefault="00E268D1"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E268D1" w:rsidRPr="00743639" w:rsidRDefault="00E268D1" w:rsidP="00743639">
            <w:pPr>
              <w:jc w:val="center"/>
              <w:rPr>
                <w:rFonts w:ascii="Calibri" w:hAnsi="Calibri" w:cs="Calibri"/>
              </w:rPr>
            </w:pPr>
            <w:r w:rsidRPr="00743639">
              <w:rPr>
                <w:rFonts w:ascii="Calibri" w:hAnsi="Calibri" w:cs="Calibri"/>
              </w:rPr>
              <w:t>R$ 959.858,38</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399DA0B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E268D1">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69E108B" w:rsidR="00B23DC5" w:rsidRDefault="00B23DC5" w:rsidP="000D0A70">
      <w:pPr>
        <w:spacing w:line="312" w:lineRule="auto"/>
        <w:jc w:val="both"/>
        <w:rPr>
          <w:sz w:val="24"/>
          <w:szCs w:val="24"/>
        </w:rPr>
      </w:pPr>
      <w:r>
        <w:rPr>
          <w:sz w:val="24"/>
          <w:szCs w:val="24"/>
          <w:lang w:eastAsia="x-none"/>
        </w:rPr>
        <w:t xml:space="preserve">A </w:t>
      </w:r>
      <w:r w:rsidR="00E268D1">
        <w:rPr>
          <w:rFonts w:eastAsia="Batang"/>
          <w:b/>
          <w:sz w:val="24"/>
          <w:szCs w:val="24"/>
        </w:rPr>
        <w:t>VIRGO COMPANHIA DE SECURITIZAÇÃO</w:t>
      </w:r>
      <w:r w:rsidR="00E268D1" w:rsidRPr="004D2F04">
        <w:rPr>
          <w:rFonts w:eastAsia="Batang"/>
          <w:b/>
          <w:sz w:val="24"/>
          <w:szCs w:val="24"/>
        </w:rPr>
        <w:t xml:space="preserve"> </w:t>
      </w:r>
      <w:r w:rsidR="00E268D1">
        <w:rPr>
          <w:rFonts w:eastAsia="Batang"/>
          <w:sz w:val="24"/>
          <w:szCs w:val="24"/>
        </w:rPr>
        <w:t>(</w:t>
      </w:r>
      <w:r w:rsidR="00F442FB">
        <w:rPr>
          <w:rFonts w:eastAsia="Batang"/>
          <w:sz w:val="24"/>
          <w:szCs w:val="24"/>
        </w:rPr>
        <w:t>atual</w:t>
      </w:r>
      <w:r w:rsidR="00E268D1">
        <w:rPr>
          <w:rFonts w:eastAsia="Batang"/>
          <w:sz w:val="24"/>
          <w:szCs w:val="24"/>
        </w:rPr>
        <w:t xml:space="preserve"> denominação social da </w:t>
      </w:r>
      <w:r w:rsidR="00E268D1" w:rsidRPr="00E268D1">
        <w:rPr>
          <w:rFonts w:eastAsia="Batang"/>
          <w:sz w:val="24"/>
          <w:szCs w:val="24"/>
        </w:rPr>
        <w:t>ISEC SECURITIZADORA S.A.</w:t>
      </w:r>
      <w:r w:rsidR="00E268D1">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E268D1">
        <w:rPr>
          <w:b/>
          <w:sz w:val="24"/>
          <w:szCs w:val="24"/>
        </w:rPr>
        <w:t>S.A.</w:t>
      </w:r>
      <w:r w:rsidRPr="004D2F04">
        <w:rPr>
          <w:sz w:val="24"/>
          <w:szCs w:val="24"/>
        </w:rPr>
        <w:t xml:space="preserve">, </w:t>
      </w:r>
      <w:r w:rsidRPr="004D2F04">
        <w:rPr>
          <w:sz w:val="24"/>
          <w:szCs w:val="24"/>
        </w:rPr>
        <w:lastRenderedPageBreak/>
        <w:t xml:space="preserve">sociedade </w:t>
      </w:r>
      <w:r w:rsidR="00E268D1">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Sendo o que nos cabia para o momento, colocamo-nos à disposição de V.Sas. para quaisquer esclarecimentos necessários.</w:t>
      </w:r>
    </w:p>
    <w:p w14:paraId="02289B5F" w14:textId="77777777" w:rsidR="006C6B0D" w:rsidRPr="00E268D1" w:rsidRDefault="006C6B0D" w:rsidP="006C6B0D">
      <w:pPr>
        <w:spacing w:line="312" w:lineRule="auto"/>
        <w:jc w:val="both"/>
        <w:rPr>
          <w:bCs/>
          <w:iCs/>
          <w:sz w:val="24"/>
          <w:szCs w:val="24"/>
          <w:lang w:eastAsia="x-none"/>
        </w:rPr>
      </w:pPr>
    </w:p>
    <w:p w14:paraId="6ADD36D2"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7582312C" w:rsidR="006C6B0D" w:rsidRPr="006C6B0D" w:rsidRDefault="00E268D1" w:rsidP="00C0657E">
      <w:pPr>
        <w:spacing w:line="312" w:lineRule="auto"/>
        <w:jc w:val="center"/>
        <w:rPr>
          <w:b/>
          <w:bCs/>
          <w:i/>
          <w:iCs/>
          <w:sz w:val="24"/>
          <w:szCs w:val="24"/>
          <w:lang w:eastAsia="x-none"/>
        </w:rPr>
      </w:pPr>
      <w:r>
        <w:rPr>
          <w:rFonts w:eastAsia="Batang"/>
          <w:b/>
          <w:sz w:val="24"/>
          <w:szCs w:val="24"/>
        </w:rPr>
        <w:t>VIRGO COMPANHIA DE SECURITIZAÇÃO</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E268D1"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E268D1" w14:paraId="441051B6" w14:textId="77777777" w:rsidTr="00775678">
        <w:tc>
          <w:tcPr>
            <w:tcW w:w="4188" w:type="dxa"/>
            <w:tcBorders>
              <w:top w:val="single" w:sz="4" w:space="0" w:color="000000"/>
              <w:left w:val="nil"/>
              <w:bottom w:val="nil"/>
              <w:right w:val="nil"/>
            </w:tcBorders>
          </w:tcPr>
          <w:p w14:paraId="3A3B0607"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Nome:</w:t>
            </w:r>
            <w:r w:rsidRPr="00E268D1">
              <w:rPr>
                <w:bCs/>
                <w:iCs/>
                <w:sz w:val="24"/>
                <w:szCs w:val="24"/>
                <w:lang w:eastAsia="x-none"/>
              </w:rPr>
              <w:tab/>
            </w:r>
          </w:p>
        </w:tc>
        <w:tc>
          <w:tcPr>
            <w:tcW w:w="468" w:type="dxa"/>
          </w:tcPr>
          <w:p w14:paraId="05631476" w14:textId="77777777" w:rsidR="006C6B0D" w:rsidRPr="00E268D1"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 xml:space="preserve">Nome: </w:t>
            </w:r>
          </w:p>
        </w:tc>
      </w:tr>
      <w:tr w:rsidR="006C6B0D" w:rsidRPr="00E268D1" w14:paraId="5D0E65F8" w14:textId="77777777" w:rsidTr="00775678">
        <w:tc>
          <w:tcPr>
            <w:tcW w:w="4188" w:type="dxa"/>
          </w:tcPr>
          <w:p w14:paraId="411B81B8"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 xml:space="preserve">Cargo: </w:t>
            </w:r>
          </w:p>
        </w:tc>
        <w:tc>
          <w:tcPr>
            <w:tcW w:w="468" w:type="dxa"/>
          </w:tcPr>
          <w:p w14:paraId="574C3813" w14:textId="77777777" w:rsidR="006C6B0D" w:rsidRPr="00E268D1" w:rsidRDefault="006C6B0D" w:rsidP="006C6B0D">
            <w:pPr>
              <w:spacing w:line="312" w:lineRule="auto"/>
              <w:jc w:val="both"/>
              <w:rPr>
                <w:bCs/>
                <w:iCs/>
                <w:sz w:val="24"/>
                <w:szCs w:val="24"/>
                <w:lang w:eastAsia="x-none"/>
              </w:rPr>
            </w:pPr>
          </w:p>
        </w:tc>
        <w:tc>
          <w:tcPr>
            <w:tcW w:w="4368" w:type="dxa"/>
          </w:tcPr>
          <w:p w14:paraId="22100EA4" w14:textId="77777777" w:rsidR="006C6B0D" w:rsidRPr="00E268D1" w:rsidRDefault="006C6B0D" w:rsidP="006C6B0D">
            <w:pPr>
              <w:spacing w:line="312" w:lineRule="auto"/>
              <w:jc w:val="both"/>
              <w:rPr>
                <w:bCs/>
                <w:iCs/>
                <w:sz w:val="24"/>
                <w:szCs w:val="24"/>
                <w:lang w:eastAsia="x-none"/>
              </w:rPr>
            </w:pPr>
            <w:r w:rsidRPr="00E268D1">
              <w:rPr>
                <w:bCs/>
                <w:iCs/>
                <w:sz w:val="24"/>
                <w:szCs w:val="24"/>
                <w:lang w:eastAsia="x-none"/>
              </w:rPr>
              <w:t xml:space="preserve">Cargo: </w:t>
            </w:r>
          </w:p>
        </w:tc>
      </w:tr>
    </w:tbl>
    <w:p w14:paraId="6392454B" w14:textId="77777777" w:rsidR="00B23DC5" w:rsidRPr="00E268D1" w:rsidRDefault="00B23DC5" w:rsidP="00C0657E">
      <w:pPr>
        <w:spacing w:line="312" w:lineRule="auto"/>
        <w:jc w:val="both"/>
        <w:rPr>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2D5930" w:rsidRDefault="002D5930">
      <w:r>
        <w:separator/>
      </w:r>
    </w:p>
  </w:endnote>
  <w:endnote w:type="continuationSeparator" w:id="0">
    <w:p w14:paraId="364A365F" w14:textId="77777777" w:rsidR="002D5930" w:rsidRDefault="002D5930">
      <w:r>
        <w:continuationSeparator/>
      </w:r>
    </w:p>
  </w:endnote>
  <w:endnote w:type="continuationNotice" w:id="1">
    <w:p w14:paraId="2AF08E0B" w14:textId="77777777" w:rsidR="002D5930" w:rsidRDefault="002D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2D5930" w:rsidRDefault="002D5930"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2D5930" w:rsidRDefault="002D5930" w:rsidP="009F2A46">
    <w:pPr>
      <w:pStyle w:val="Rodap"/>
      <w:framePr w:wrap="around" w:vAnchor="text" w:hAnchor="margin" w:xAlign="right" w:y="1"/>
      <w:rPr>
        <w:rStyle w:val="Nmerodepgina"/>
      </w:rPr>
    </w:pPr>
  </w:p>
  <w:p w14:paraId="1B38E78E" w14:textId="77777777" w:rsidR="002D5930" w:rsidRDefault="002D5930"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2D5930" w:rsidRDefault="002D5930" w:rsidP="009F2A46">
    <w:pPr>
      <w:pStyle w:val="Rodap"/>
      <w:framePr w:wrap="around" w:vAnchor="text" w:hAnchor="margin" w:xAlign="right" w:y="1"/>
      <w:ind w:right="360"/>
      <w:rPr>
        <w:rStyle w:val="Nmerodepgina"/>
      </w:rPr>
    </w:pPr>
  </w:p>
  <w:p w14:paraId="413193D3" w14:textId="77777777" w:rsidR="002D5930" w:rsidRDefault="002D5930" w:rsidP="009F2A46">
    <w:pPr>
      <w:pStyle w:val="Rodap"/>
      <w:ind w:right="360"/>
    </w:pPr>
  </w:p>
  <w:p w14:paraId="2600D59A" w14:textId="77777777" w:rsidR="002D5930" w:rsidRDefault="002D5930" w:rsidP="009F2A46">
    <w:pPr>
      <w:pStyle w:val="Rodap"/>
      <w:ind w:right="360"/>
    </w:pPr>
  </w:p>
  <w:p w14:paraId="090F4785" w14:textId="77777777" w:rsidR="002D5930" w:rsidRDefault="002D5930"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2D5930" w:rsidRPr="001F0E9B" w:rsidRDefault="002D5930"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2D5930" w:rsidRDefault="002D5930">
      <w:r>
        <w:separator/>
      </w:r>
    </w:p>
  </w:footnote>
  <w:footnote w:type="continuationSeparator" w:id="0">
    <w:p w14:paraId="39EB4DFB" w14:textId="77777777" w:rsidR="002D5930" w:rsidRDefault="002D5930">
      <w:r>
        <w:continuationSeparator/>
      </w:r>
    </w:p>
  </w:footnote>
  <w:footnote w:type="continuationNotice" w:id="1">
    <w:p w14:paraId="1AD413D3" w14:textId="77777777" w:rsidR="002D5930" w:rsidRDefault="002D5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2D5930" w:rsidRDefault="002D5930">
    <w:pPr>
      <w:pStyle w:val="Cabealho"/>
    </w:pPr>
  </w:p>
  <w:p w14:paraId="43A4705F" w14:textId="77777777" w:rsidR="002D5930" w:rsidRDefault="002D5930">
    <w:pPr>
      <w:pStyle w:val="Cabealho"/>
    </w:pPr>
  </w:p>
  <w:p w14:paraId="1677BB0A" w14:textId="77777777" w:rsidR="002D5930" w:rsidRDefault="002D59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E6DE" w14:textId="6898BB11" w:rsidR="00383113" w:rsidRPr="006B017F" w:rsidRDefault="00383113" w:rsidP="006B017F">
    <w:pPr>
      <w:pStyle w:val="Cabealho"/>
      <w:jc w:val="right"/>
      <w:rPr>
        <w:i/>
        <w:sz w:val="24"/>
        <w:lang w:val="pt-BR"/>
      </w:rPr>
    </w:pPr>
    <w:r w:rsidRPr="006B017F">
      <w:rPr>
        <w:i/>
        <w:sz w:val="24"/>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2D5930" w:rsidRPr="001F0E9B" w:rsidRDefault="002D5930"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97033"/>
    <w:rsid w:val="000A01C9"/>
    <w:rsid w:val="000A7BD8"/>
    <w:rsid w:val="000C2809"/>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2D2B"/>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5930"/>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55B4F"/>
    <w:rsid w:val="003630FA"/>
    <w:rsid w:val="00366F0D"/>
    <w:rsid w:val="00367720"/>
    <w:rsid w:val="00370EC4"/>
    <w:rsid w:val="00376B28"/>
    <w:rsid w:val="003801E1"/>
    <w:rsid w:val="00383113"/>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017F"/>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268D1"/>
    <w:rsid w:val="00E31293"/>
    <w:rsid w:val="00E34FAE"/>
    <w:rsid w:val="00E36815"/>
    <w:rsid w:val="00E432A9"/>
    <w:rsid w:val="00E467FC"/>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442FB"/>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7640574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 S P ! 3 1 4 1 5 8 0 1 . 1 < / d o c u m e n t i d >  
     < s e n d e r i d > S F 0 4 4 6 0 < / s e n d e r i d >  
     < s e n d e r e m a i l > S T E P H A N I E . F U G I T A @ M A T T O S F I L H O . C O M . B R < / s e n d e r e m a i l >  
     < l a s t m o d i f i e d > 2 0 2 1 - 0 9 - 1 0 T 1 6 : 4 9 : 0 0 . 0 0 0 0 0 0 0 - 0 3 : 0 0 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D188-2245-4371-A351-8E757AAD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15124</Words>
  <Characters>86515</Characters>
  <Application>Microsoft Office Word</Application>
  <DocSecurity>0</DocSecurity>
  <Lines>1663</Lines>
  <Paragraphs>344</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6</cp:revision>
  <dcterms:created xsi:type="dcterms:W3CDTF">2021-09-10T03:01:00Z</dcterms:created>
  <dcterms:modified xsi:type="dcterms:W3CDTF">2021-09-10T19:49:00Z</dcterms:modified>
</cp:coreProperties>
</file>