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645C9F99" w:rsidR="003A4497" w:rsidRPr="007B1E7A" w:rsidRDefault="007B1E7A" w:rsidP="00DC450F">
      <w:pPr>
        <w:spacing w:line="312" w:lineRule="auto"/>
        <w:jc w:val="both"/>
        <w:rPr>
          <w:color w:val="000000"/>
          <w:sz w:val="24"/>
          <w:szCs w:val="24"/>
        </w:rPr>
      </w:pPr>
      <w:r w:rsidRPr="0017181C">
        <w:rPr>
          <w:b/>
          <w:bCs/>
          <w:sz w:val="24"/>
          <w:szCs w:val="24"/>
        </w:rPr>
        <w:t>EXTO IRIS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56,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Pr="0017181C">
        <w:rPr>
          <w:bCs/>
          <w:iCs/>
          <w:sz w:val="24"/>
          <w:szCs w:val="24"/>
        </w:rPr>
        <w:t>15.772.438/0001-65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00617453" w:rsidRPr="0017181C">
        <w:rPr>
          <w:color w:val="000000"/>
          <w:sz w:val="24"/>
          <w:szCs w:val="24"/>
        </w:rPr>
        <w:t>(“</w:t>
      </w:r>
      <w:r w:rsidR="00617453" w:rsidRPr="0017181C">
        <w:rPr>
          <w:color w:val="000000"/>
          <w:sz w:val="24"/>
          <w:szCs w:val="24"/>
          <w:u w:val="single"/>
        </w:rPr>
        <w:t xml:space="preserve">SPE </w:t>
      </w:r>
      <w:r w:rsidRPr="007B1E7A">
        <w:rPr>
          <w:color w:val="000000"/>
          <w:sz w:val="24"/>
          <w:szCs w:val="24"/>
          <w:u w:val="single"/>
        </w:rPr>
        <w:t>Iris</w:t>
      </w:r>
      <w:r w:rsidR="00617453" w:rsidRPr="0017181C">
        <w:rPr>
          <w:color w:val="000000"/>
          <w:sz w:val="24"/>
          <w:szCs w:val="24"/>
        </w:rPr>
        <w:t>”)</w:t>
      </w:r>
      <w:r w:rsidR="00820DB8" w:rsidRPr="007B1E7A">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6744B9EB" w:rsidR="00617453" w:rsidRPr="007B1E7A" w:rsidRDefault="007B1E7A" w:rsidP="00DC450F">
      <w:pPr>
        <w:spacing w:line="312" w:lineRule="auto"/>
        <w:jc w:val="both"/>
        <w:rPr>
          <w:color w:val="000000"/>
          <w:sz w:val="24"/>
          <w:szCs w:val="24"/>
        </w:rPr>
      </w:pPr>
      <w:r w:rsidRPr="0017181C">
        <w:rPr>
          <w:b/>
          <w:bCs/>
          <w:sz w:val="24"/>
          <w:szCs w:val="24"/>
        </w:rPr>
        <w:t xml:space="preserve">EXTO </w:t>
      </w:r>
      <w:r w:rsidR="00F63195">
        <w:rPr>
          <w:b/>
          <w:bCs/>
          <w:sz w:val="24"/>
          <w:szCs w:val="24"/>
        </w:rPr>
        <w:t>ANIS</w:t>
      </w:r>
      <w:r w:rsidR="00F63195" w:rsidRPr="0017181C">
        <w:rPr>
          <w:b/>
          <w:bCs/>
          <w:sz w:val="24"/>
          <w:szCs w:val="24"/>
        </w:rPr>
        <w:t xml:space="preserve"> </w:t>
      </w:r>
      <w:r w:rsidRPr="0017181C">
        <w:rPr>
          <w:b/>
          <w:bCs/>
          <w:sz w:val="24"/>
          <w:szCs w:val="24"/>
        </w:rPr>
        <w:t>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w:t>
      </w:r>
      <w:r w:rsidR="00F63195" w:rsidRPr="0017181C">
        <w:rPr>
          <w:sz w:val="24"/>
          <w:szCs w:val="24"/>
        </w:rPr>
        <w:t>5</w:t>
      </w:r>
      <w:r w:rsidR="00F63195">
        <w:rPr>
          <w:sz w:val="24"/>
          <w:szCs w:val="24"/>
        </w:rPr>
        <w:t>5</w:t>
      </w:r>
      <w:r w:rsidRPr="0017181C">
        <w:rPr>
          <w:sz w:val="24"/>
          <w:szCs w:val="24"/>
        </w:rPr>
        <w:t xml:space="preserve">, CEP 05533-000, inscrita no CNPJ sob o nº </w:t>
      </w:r>
      <w:r w:rsidR="00F63195">
        <w:rPr>
          <w:bCs/>
          <w:iCs/>
          <w:sz w:val="24"/>
          <w:szCs w:val="24"/>
        </w:rPr>
        <w:t>15</w:t>
      </w:r>
      <w:r w:rsidRPr="0017181C">
        <w:rPr>
          <w:bCs/>
          <w:iCs/>
          <w:sz w:val="24"/>
          <w:szCs w:val="24"/>
        </w:rPr>
        <w:t>.</w:t>
      </w:r>
      <w:r w:rsidR="00F63195">
        <w:rPr>
          <w:bCs/>
          <w:iCs/>
          <w:sz w:val="24"/>
          <w:szCs w:val="24"/>
        </w:rPr>
        <w:t>772</w:t>
      </w:r>
      <w:r w:rsidRPr="0017181C">
        <w:rPr>
          <w:bCs/>
          <w:iCs/>
          <w:sz w:val="24"/>
          <w:szCs w:val="24"/>
        </w:rPr>
        <w:t>.</w:t>
      </w:r>
      <w:r w:rsidR="00F63195">
        <w:rPr>
          <w:bCs/>
          <w:iCs/>
          <w:sz w:val="24"/>
          <w:szCs w:val="24"/>
        </w:rPr>
        <w:t>410</w:t>
      </w:r>
      <w:r w:rsidRPr="0017181C">
        <w:rPr>
          <w:bCs/>
          <w:iCs/>
          <w:sz w:val="24"/>
          <w:szCs w:val="24"/>
        </w:rPr>
        <w:t>/0001-</w:t>
      </w:r>
      <w:r w:rsidR="00F63195">
        <w:rPr>
          <w:bCs/>
          <w:iCs/>
          <w:sz w:val="24"/>
          <w:szCs w:val="24"/>
        </w:rPr>
        <w:t>2</w:t>
      </w:r>
      <w:r w:rsidR="00F63195" w:rsidRPr="0017181C">
        <w:rPr>
          <w:bCs/>
          <w:iCs/>
          <w:sz w:val="24"/>
          <w:szCs w:val="24"/>
        </w:rPr>
        <w:t>8</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 xml:space="preserve">SPE </w:t>
      </w:r>
      <w:r w:rsidR="00F63195">
        <w:rPr>
          <w:color w:val="000000"/>
          <w:sz w:val="24"/>
          <w:szCs w:val="24"/>
          <w:u w:val="single"/>
        </w:rPr>
        <w:t>Anis</w:t>
      </w:r>
      <w:r w:rsidRPr="0017181C">
        <w:rPr>
          <w:color w:val="000000"/>
          <w:sz w:val="24"/>
          <w:szCs w:val="24"/>
        </w:rPr>
        <w:t>”</w:t>
      </w:r>
      <w:r>
        <w:rPr>
          <w:color w:val="000000"/>
          <w:sz w:val="24"/>
          <w:szCs w:val="24"/>
        </w:rPr>
        <w:t>, em conjunto com a SPE Iris, “</w:t>
      </w:r>
      <w:r w:rsidRPr="0017181C">
        <w:rPr>
          <w:color w:val="000000"/>
          <w:sz w:val="24"/>
          <w:szCs w:val="24"/>
          <w:u w:val="single"/>
        </w:rPr>
        <w:t>Fiduciantes</w:t>
      </w:r>
      <w:r>
        <w:rPr>
          <w:color w:val="000000"/>
          <w:sz w:val="24"/>
          <w:szCs w:val="24"/>
        </w:rPr>
        <w:t>”</w:t>
      </w:r>
      <w:r w:rsidRPr="0017181C">
        <w:rPr>
          <w:color w:val="000000"/>
          <w:sz w:val="24"/>
          <w:szCs w:val="24"/>
        </w:rPr>
        <w:t>)</w:t>
      </w:r>
      <w:r w:rsidR="00617453" w:rsidRPr="0017181C">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7C583533" w:rsidR="00FA30F6" w:rsidRPr="004D2F04" w:rsidRDefault="00224C5B" w:rsidP="00DC450F">
      <w:pPr>
        <w:spacing w:line="312" w:lineRule="auto"/>
        <w:jc w:val="both"/>
        <w:rPr>
          <w:b/>
          <w:bCs/>
          <w:sz w:val="24"/>
          <w:szCs w:val="24"/>
        </w:rPr>
      </w:pPr>
      <w:r>
        <w:rPr>
          <w:rFonts w:eastAsia="Batang"/>
          <w:b/>
          <w:sz w:val="24"/>
          <w:szCs w:val="24"/>
        </w:rPr>
        <w:t>VIRGO</w:t>
      </w:r>
      <w:r w:rsidR="007010B8">
        <w:rPr>
          <w:rFonts w:eastAsia="Batang"/>
          <w:b/>
          <w:sz w:val="24"/>
          <w:szCs w:val="24"/>
        </w:rPr>
        <w:t xml:space="preserve"> COMPANHIA DE SECURITIZAÇÃO</w:t>
      </w:r>
      <w:r w:rsidR="005D14EA">
        <w:rPr>
          <w:rFonts w:eastAsia="Batang"/>
          <w:b/>
          <w:sz w:val="24"/>
          <w:szCs w:val="24"/>
        </w:rPr>
        <w:t xml:space="preserve"> </w:t>
      </w:r>
      <w:r w:rsidR="005D14EA" w:rsidRPr="000A1BA0">
        <w:rPr>
          <w:rFonts w:eastAsia="Batang"/>
          <w:sz w:val="24"/>
          <w:szCs w:val="24"/>
        </w:rPr>
        <w:t xml:space="preserve">(atual denominação social da </w:t>
      </w:r>
      <w:r w:rsidR="005D14EA" w:rsidRPr="000A1BA0">
        <w:rPr>
          <w:bCs/>
          <w:sz w:val="24"/>
          <w:szCs w:val="24"/>
        </w:rPr>
        <w:t>ISEC Securitizadora S.A.</w:t>
      </w:r>
      <w:r w:rsidR="005D14EA">
        <w:rPr>
          <w:bCs/>
          <w:sz w:val="24"/>
          <w:szCs w:val="24"/>
        </w:rPr>
        <w:t>)</w:t>
      </w:r>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2A662F14"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bookmarkEnd w:id="1"/>
      <w:r w:rsidR="00F63195">
        <w:rPr>
          <w:b/>
          <w:sz w:val="24"/>
          <w:szCs w:val="24"/>
        </w:rPr>
        <w:t>S.A.</w:t>
      </w:r>
      <w:r w:rsidR="00D44959" w:rsidRPr="004D2F04">
        <w:rPr>
          <w:sz w:val="24"/>
          <w:szCs w:val="24"/>
        </w:rPr>
        <w:t xml:space="preserve">, sociedade </w:t>
      </w:r>
      <w:r w:rsidR="00F63195">
        <w:rPr>
          <w:sz w:val="24"/>
          <w:szCs w:val="24"/>
        </w:rPr>
        <w:t>por ações</w:t>
      </w:r>
      <w:r w:rsidR="00F63195" w:rsidRPr="004D2F04">
        <w:rPr>
          <w:sz w:val="24"/>
          <w:szCs w:val="24"/>
        </w:rPr>
        <w:t xml:space="preserve"> </w:t>
      </w:r>
      <w:r w:rsidR="00D44959" w:rsidRPr="004D2F04">
        <w:rPr>
          <w:sz w:val="24"/>
          <w:szCs w:val="24"/>
        </w:rPr>
        <w:t xml:space="preserve">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xml:space="preserve">, neste ato representada na forma de seu </w:t>
      </w:r>
      <w:r w:rsidR="00F63195">
        <w:rPr>
          <w:sz w:val="24"/>
          <w:szCs w:val="24"/>
        </w:rPr>
        <w:t>Estatuto</w:t>
      </w:r>
      <w:r w:rsidR="00F63195" w:rsidRPr="004D2F04">
        <w:rPr>
          <w:sz w:val="24"/>
          <w:szCs w:val="24"/>
        </w:rPr>
        <w:t xml:space="preserve"> </w:t>
      </w:r>
      <w:r w:rsidR="00D44959" w:rsidRPr="004D2F04">
        <w:rPr>
          <w:sz w:val="24"/>
          <w:szCs w:val="24"/>
        </w:rPr>
        <w:t>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0C6E3F56" w14:textId="77777777" w:rsidR="00AD2912" w:rsidRPr="004D2F04" w:rsidRDefault="00AD2912" w:rsidP="00DC450F">
      <w:pPr>
        <w:spacing w:line="312" w:lineRule="auto"/>
        <w:jc w:val="both"/>
        <w:rPr>
          <w:i/>
          <w:color w:val="000000"/>
          <w:sz w:val="24"/>
          <w:szCs w:val="24"/>
        </w:rPr>
      </w:pPr>
    </w:p>
    <w:p w14:paraId="7C806C14" w14:textId="2D28D3FB" w:rsidR="00AD2912" w:rsidRPr="004D2F04" w:rsidRDefault="00946CD7"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Pr>
          <w:rFonts w:ascii="Times New Roman" w:hAnsi="Times New Roman"/>
          <w:b w:val="0"/>
          <w:sz w:val="24"/>
          <w:szCs w:val="24"/>
          <w:lang w:val="pt-BR"/>
        </w:rPr>
        <w:t>em 26 de janeiro de 2021</w:t>
      </w:r>
      <w:r w:rsidR="00AD2912" w:rsidRPr="004D2F04">
        <w:rPr>
          <w:rFonts w:ascii="Times New Roman" w:hAnsi="Times New Roman"/>
          <w:b w:val="0"/>
          <w:sz w:val="24"/>
          <w:szCs w:val="24"/>
        </w:rPr>
        <w:t xml:space="preserve">, 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w:t>
      </w:r>
      <w:r w:rsidR="00FA30F6" w:rsidRPr="004D2F04">
        <w:rPr>
          <w:rFonts w:ascii="Times New Roman" w:hAnsi="Times New Roman"/>
          <w:b w:val="0"/>
          <w:sz w:val="24"/>
          <w:szCs w:val="24"/>
          <w:lang w:val="pt-BR"/>
        </w:rPr>
        <w:lastRenderedPageBreak/>
        <w:t xml:space="preserve">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12590320" w:rsidR="00AD2912" w:rsidRPr="004D2F04" w:rsidRDefault="00946CD7"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Pr>
          <w:rFonts w:ascii="Times New Roman" w:hAnsi="Times New Roman"/>
          <w:b w:val="0"/>
          <w:sz w:val="24"/>
          <w:szCs w:val="24"/>
          <w:lang w:val="pt-BR"/>
        </w:rPr>
        <w:t>em 26 de janeiro de 2021</w:t>
      </w:r>
      <w:r w:rsidR="00820DB8" w:rsidRPr="004D2F04">
        <w:rPr>
          <w:rFonts w:ascii="Times New Roman" w:hAnsi="Times New Roman"/>
          <w:b w:val="0"/>
          <w:bCs/>
          <w:sz w:val="24"/>
          <w:szCs w:val="24"/>
          <w:lang w:val="pt-BR"/>
        </w:rPr>
        <w:t xml:space="preserve">, 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5"/>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4"/>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384D0913"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00946CD7" w:rsidRPr="004D2F04">
        <w:rPr>
          <w:rFonts w:ascii="Times New Roman" w:hAnsi="Times New Roman"/>
          <w:b w:val="0"/>
          <w:bCs/>
          <w:sz w:val="24"/>
          <w:szCs w:val="24"/>
          <w:lang w:val="pt-BR"/>
        </w:rPr>
        <w:t>utiliz</w:t>
      </w:r>
      <w:r w:rsidR="00946CD7">
        <w:rPr>
          <w:rFonts w:ascii="Times New Roman" w:hAnsi="Times New Roman"/>
          <w:b w:val="0"/>
          <w:bCs/>
          <w:sz w:val="24"/>
          <w:szCs w:val="24"/>
          <w:lang w:val="pt-BR"/>
        </w:rPr>
        <w:t>ou</w:t>
      </w:r>
      <w:r w:rsidR="00946CD7" w:rsidRPr="004D2F04">
        <w:rPr>
          <w:rFonts w:ascii="Times New Roman" w:hAnsi="Times New Roman"/>
          <w:b w:val="0"/>
          <w:bCs/>
          <w:sz w:val="24"/>
          <w:szCs w:val="24"/>
          <w:lang w:val="pt-BR"/>
        </w:rPr>
        <w:t xml:space="preserve"> </w:t>
      </w:r>
      <w:r w:rsidRPr="004D2F04">
        <w:rPr>
          <w:rFonts w:ascii="Times New Roman" w:hAnsi="Times New Roman"/>
          <w:b w:val="0"/>
          <w:bCs/>
          <w:sz w:val="24"/>
          <w:szCs w:val="24"/>
          <w:lang w:val="pt-BR"/>
        </w:rPr>
        <w:t xml:space="preserve">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7C0AE1A0"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7B1E7A">
        <w:rPr>
          <w:rFonts w:ascii="Times New Roman" w:hAnsi="Times New Roman"/>
          <w:b w:val="0"/>
          <w:sz w:val="24"/>
          <w:szCs w:val="24"/>
          <w:lang w:val="pt-BR"/>
        </w:rPr>
        <w:t>11</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E61F5DD"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lastRenderedPageBreak/>
        <w:t xml:space="preserve">a Emissão </w:t>
      </w:r>
      <w:r w:rsidR="00946CD7">
        <w:rPr>
          <w:sz w:val="24"/>
          <w:szCs w:val="24"/>
        </w:rPr>
        <w:t>foi</w:t>
      </w:r>
      <w:r w:rsidR="00946CD7" w:rsidRPr="00FA037A">
        <w:rPr>
          <w:sz w:val="24"/>
          <w:szCs w:val="24"/>
        </w:rPr>
        <w:t xml:space="preserve"> </w:t>
      </w:r>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w:t>
      </w:r>
      <w:r w:rsidR="00946CD7" w:rsidRPr="00946CD7">
        <w:rPr>
          <w:sz w:val="24"/>
          <w:szCs w:val="24"/>
        </w:rPr>
        <w:t>em 26 de janeiro de 2021</w:t>
      </w:r>
      <w:r w:rsidR="00946CD7">
        <w:rPr>
          <w:sz w:val="24"/>
          <w:szCs w:val="24"/>
        </w:rPr>
        <w:t xml:space="preserve"> </w:t>
      </w:r>
      <w:r w:rsidRPr="00FA037A">
        <w:rPr>
          <w:sz w:val="24"/>
          <w:szCs w:val="24"/>
        </w:rPr>
        <w:t xml:space="preserve">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7"/>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2C88FFDD"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5A7B61">
        <w:rPr>
          <w:rFonts w:ascii="Times New Roman" w:hAnsi="Times New Roman"/>
          <w:b w:val="0"/>
          <w:sz w:val="24"/>
          <w:szCs w:val="24"/>
          <w:lang w:val="pt-BR"/>
        </w:rPr>
        <w:t xml:space="preserve">em 26 de janeiro de 2021 </w:t>
      </w:r>
      <w:r w:rsidR="00086966" w:rsidRPr="004D2F04">
        <w:rPr>
          <w:rFonts w:ascii="Times New Roman" w:hAnsi="Times New Roman"/>
          <w:b w:val="0"/>
          <w:bCs/>
          <w:sz w:val="24"/>
          <w:szCs w:val="24"/>
          <w:lang w:val="pt-BR"/>
        </w:rPr>
        <w:t>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r w:rsidR="00946CD7">
        <w:rPr>
          <w:rFonts w:ascii="Times New Roman" w:hAnsi="Times New Roman"/>
          <w:b w:val="0"/>
          <w:sz w:val="24"/>
          <w:szCs w:val="24"/>
          <w:lang w:val="pt-BR"/>
        </w:rPr>
        <w:t xml:space="preserve">em 26 de janeiro de 2021 bem como </w:t>
      </w:r>
      <w:r w:rsidR="0018390D">
        <w:rPr>
          <w:rFonts w:ascii="Times New Roman" w:hAnsi="Times New Roman"/>
          <w:b w:val="0"/>
          <w:sz w:val="24"/>
          <w:szCs w:val="24"/>
          <w:lang w:val="pt-BR"/>
        </w:rPr>
        <w:t>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w:t>
      </w:r>
      <w:r w:rsidRPr="004D2F04">
        <w:rPr>
          <w:sz w:val="24"/>
          <w:szCs w:val="24"/>
        </w:rPr>
        <w:lastRenderedPageBreak/>
        <w:t>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7" w:name="_DV_M18"/>
      <w:bookmarkEnd w:id="27"/>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8" w:name="_Hlk56014691"/>
      <w:r w:rsidR="003328AC" w:rsidRPr="004D2F04">
        <w:rPr>
          <w:rFonts w:ascii="Times New Roman" w:hAnsi="Times New Roman"/>
          <w:b w:val="0"/>
          <w:sz w:val="24"/>
          <w:szCs w:val="24"/>
          <w:lang w:val="pt-BR"/>
        </w:rPr>
        <w:t xml:space="preserve">ao Termo de Endosso, </w:t>
      </w:r>
      <w:bookmarkEnd w:id="28"/>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5"/>
      <w:bookmarkEnd w:id="26"/>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0"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0"/>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lastRenderedPageBreak/>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29"/>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0045F049"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1"/>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52DB83C5" w:rsidR="00294D24" w:rsidRPr="004D2F04" w:rsidRDefault="00294D24" w:rsidP="00DC450F">
      <w:pPr>
        <w:pStyle w:val="Corpodetexto3"/>
        <w:numPr>
          <w:ilvl w:val="0"/>
          <w:numId w:val="20"/>
        </w:numPr>
        <w:spacing w:after="0" w:line="312" w:lineRule="auto"/>
        <w:ind w:left="709" w:hanging="709"/>
        <w:jc w:val="both"/>
        <w:rPr>
          <w:sz w:val="24"/>
          <w:szCs w:val="24"/>
        </w:rPr>
      </w:pPr>
      <w:bookmarkStart w:id="32"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 xml:space="preserve">alor das Obrigações Garantidas, </w:t>
      </w:r>
      <w:r w:rsidR="00E01EB4">
        <w:rPr>
          <w:sz w:val="24"/>
          <w:szCs w:val="24"/>
          <w:lang w:val="pt-BR"/>
        </w:rPr>
        <w:t>em 26 de janeiro de 2021</w:t>
      </w:r>
      <w:r w:rsidRPr="004D2F04">
        <w:rPr>
          <w:sz w:val="24"/>
          <w:szCs w:val="24"/>
        </w:rPr>
        <w:t>,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3" w:name="_Hlk59569279"/>
      <w:bookmarkStart w:id="34"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3"/>
    </w:p>
    <w:bookmarkEnd w:id="34"/>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w:t>
      </w:r>
      <w:r w:rsidRPr="004D2F04">
        <w:rPr>
          <w:snapToGrid w:val="0"/>
          <w:sz w:val="24"/>
          <w:szCs w:val="24"/>
        </w:rPr>
        <w:lastRenderedPageBreak/>
        <w:t xml:space="preserve">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32"/>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5" w:name="_DV_M57"/>
      <w:bookmarkStart w:id="36" w:name="_Toc510869699"/>
      <w:bookmarkEnd w:id="35"/>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6"/>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7" w:name="_DV_C112"/>
      <w:bookmarkStart w:id="38"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39" w:name="_DV_C113"/>
      <w:bookmarkEnd w:id="37"/>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8"/>
      <w:bookmarkEnd w:id="39"/>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0"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0"/>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w:t>
      </w:r>
      <w:r w:rsidRPr="004D2F04">
        <w:rPr>
          <w:rFonts w:ascii="Times New Roman" w:hAnsi="Times New Roman"/>
          <w:b w:val="0"/>
          <w:sz w:val="24"/>
          <w:szCs w:val="24"/>
        </w:rPr>
        <w:lastRenderedPageBreak/>
        <w:t xml:space="preserve">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1B4FD17D"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bookmarkStart w:id="41" w:name="_Hlk62320601"/>
      <w:r w:rsidR="00F30820">
        <w:rPr>
          <w:sz w:val="24"/>
          <w:szCs w:val="24"/>
        </w:rPr>
        <w:t>de 30 de setembro de 2021</w:t>
      </w:r>
      <w:bookmarkEnd w:id="41"/>
      <w:r w:rsidR="007116B9">
        <w:rPr>
          <w:sz w:val="24"/>
          <w:szCs w:val="24"/>
        </w:rPr>
        <w:t xml:space="preserve">, </w:t>
      </w:r>
      <w:bookmarkStart w:id="42"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2"/>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1F485885"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36F5E592"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161FD951"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w:t>
      </w:r>
      <w:r w:rsidR="00B3521F" w:rsidRPr="00E01EB4">
        <w:rPr>
          <w:sz w:val="24"/>
          <w:szCs w:val="24"/>
        </w:rPr>
        <w:t>memória de cálculo e a respectiva documentação comprobatória que fundamentou</w:t>
      </w:r>
      <w:r w:rsidR="00B3521F" w:rsidRPr="004D2F04">
        <w:rPr>
          <w:sz w:val="24"/>
          <w:szCs w:val="24"/>
        </w:rPr>
        <w:t xml:space="preserve">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3578A8EE"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1414BA2D"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 xml:space="preserve">no </w:t>
      </w:r>
      <w:r w:rsidR="00F30820" w:rsidRPr="00F30820">
        <w:rPr>
          <w:sz w:val="24"/>
          <w:szCs w:val="24"/>
        </w:rPr>
        <w:t>dia 19 (dezenove)</w:t>
      </w:r>
      <w:r w:rsidR="00303C03" w:rsidRPr="00303C03">
        <w:rPr>
          <w:sz w:val="24"/>
          <w:szCs w:val="24"/>
        </w:rPr>
        <w:t xml:space="preserve">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F30820" w:rsidRPr="00F30820">
        <w:rPr>
          <w:sz w:val="24"/>
          <w:szCs w:val="24"/>
        </w:rPr>
        <w:t>, até o dia 10 (dez) de cada mês</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3" w:name="_DV_M239"/>
      <w:bookmarkStart w:id="44" w:name="_DV_M319"/>
      <w:bookmarkEnd w:id="43"/>
      <w:bookmarkEnd w:id="44"/>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5"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45"/>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 xml:space="preserve">seja </w:t>
      </w:r>
      <w:r w:rsidR="0087363D">
        <w:rPr>
          <w:sz w:val="24"/>
          <w:szCs w:val="24"/>
        </w:rPr>
        <w:lastRenderedPageBreak/>
        <w:t>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6"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46"/>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7"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w:t>
      </w:r>
      <w:r w:rsidR="000911DA" w:rsidRPr="00206A47">
        <w:rPr>
          <w:sz w:val="24"/>
          <w:szCs w:val="24"/>
        </w:rPr>
        <w:lastRenderedPageBreak/>
        <w:t xml:space="preserve">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7"/>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8"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 xml:space="preserve">as </w:t>
      </w:r>
      <w:r w:rsidR="00617453">
        <w:rPr>
          <w:sz w:val="24"/>
          <w:szCs w:val="24"/>
          <w:lang w:val="pt-PT"/>
        </w:rPr>
        <w:lastRenderedPageBreak/>
        <w:t>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48"/>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49"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49"/>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0" w:name="_Ref432187715"/>
      <w:bookmarkStart w:id="51" w:name="_Ref432391370"/>
      <w:bookmarkStart w:id="52"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3"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3"/>
      <w:r w:rsidRPr="004D2F04">
        <w:rPr>
          <w:rFonts w:ascii="Times New Roman" w:hAnsi="Times New Roman"/>
          <w:b w:val="0"/>
          <w:sz w:val="24"/>
          <w:szCs w:val="24"/>
        </w:rPr>
        <w:t xml:space="preserve">, </w:t>
      </w:r>
      <w:bookmarkEnd w:id="50"/>
      <w:bookmarkEnd w:id="51"/>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w:t>
      </w:r>
      <w:r w:rsidR="001F4818" w:rsidRPr="0021783F">
        <w:rPr>
          <w:rFonts w:ascii="Times New Roman" w:hAnsi="Times New Roman"/>
          <w:b w:val="0"/>
          <w:sz w:val="24"/>
          <w:szCs w:val="24"/>
          <w:lang w:val="pt-BR"/>
        </w:rPr>
        <w:lastRenderedPageBreak/>
        <w:t>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4" w:name="_Ref426466986"/>
      <w:bookmarkStart w:id="55"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6" w:name="_Ref432185029"/>
      <w:bookmarkStart w:id="57" w:name="_Ref435645852"/>
      <w:bookmarkStart w:id="58" w:name="_Ref435985286"/>
      <w:r w:rsidRPr="004D2F04">
        <w:rPr>
          <w:rFonts w:ascii="Times New Roman" w:hAnsi="Times New Roman"/>
          <w:b w:val="0"/>
          <w:sz w:val="24"/>
          <w:szCs w:val="24"/>
        </w:rPr>
        <w:t>3.</w:t>
      </w:r>
      <w:bookmarkEnd w:id="56"/>
      <w:bookmarkEnd w:id="57"/>
      <w:bookmarkEnd w:id="58"/>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59" w:name="_Ref435639069"/>
      <w:bookmarkEnd w:id="54"/>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59"/>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0"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0"/>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61" w:name="_Ref424767719"/>
      <w:bookmarkEnd w:id="52"/>
      <w:bookmarkEnd w:id="55"/>
    </w:p>
    <w:bookmarkEnd w:id="61"/>
    <w:p w14:paraId="42228567" w14:textId="7A371D9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r w:rsidR="00617453">
        <w:rPr>
          <w:rFonts w:ascii="Times New Roman" w:hAnsi="Times New Roman"/>
          <w:b w:val="0"/>
          <w:sz w:val="24"/>
          <w:szCs w:val="24"/>
          <w:lang w:val="pt-BR"/>
        </w:rPr>
        <w:t>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 xml:space="preserve">assegurada, nesta hipótese, a </w:t>
      </w:r>
      <w:r w:rsidR="00B7361A" w:rsidRPr="004D2F04">
        <w:rPr>
          <w:rFonts w:ascii="Times New Roman" w:hAnsi="Times New Roman"/>
          <w:b w:val="0"/>
          <w:sz w:val="24"/>
          <w:szCs w:val="24"/>
          <w:lang w:val="pt-BR"/>
        </w:rPr>
        <w:lastRenderedPageBreak/>
        <w:t>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2" w:name="_Ref424768784"/>
      <w:bookmarkStart w:id="63"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lastRenderedPageBreak/>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2"/>
      <w:bookmarkEnd w:id="63"/>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4" w:name="_DV_M103"/>
      <w:bookmarkStart w:id="65" w:name="_DV_M104"/>
      <w:bookmarkStart w:id="66" w:name="_DV_M105"/>
      <w:bookmarkStart w:id="67" w:name="_Ref432391002"/>
      <w:bookmarkStart w:id="68" w:name="_Ref424768689"/>
      <w:bookmarkStart w:id="69" w:name="_Ref426501953"/>
      <w:bookmarkEnd w:id="64"/>
      <w:bookmarkEnd w:id="65"/>
      <w:bookmarkEnd w:id="66"/>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7"/>
      <w:r w:rsidRPr="004D2F04">
        <w:rPr>
          <w:rFonts w:ascii="Times New Roman" w:hAnsi="Times New Roman"/>
          <w:b w:val="0"/>
          <w:sz w:val="24"/>
          <w:szCs w:val="24"/>
        </w:rPr>
        <w:t xml:space="preserve"> </w:t>
      </w:r>
      <w:bookmarkEnd w:id="68"/>
      <w:bookmarkEnd w:id="69"/>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0"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0"/>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w:t>
      </w:r>
      <w:r w:rsidRPr="004D2F04">
        <w:rPr>
          <w:rFonts w:ascii="Times New Roman" w:hAnsi="Times New Roman"/>
          <w:b w:val="0"/>
          <w:sz w:val="24"/>
          <w:szCs w:val="24"/>
        </w:rPr>
        <w:lastRenderedPageBreak/>
        <w:t>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w:t>
      </w:r>
      <w:r w:rsidR="00AD2912" w:rsidRPr="004D2F04">
        <w:rPr>
          <w:rFonts w:ascii="Times New Roman" w:hAnsi="Times New Roman"/>
          <w:b w:val="0"/>
          <w:sz w:val="24"/>
          <w:szCs w:val="24"/>
        </w:rPr>
        <w:lastRenderedPageBreak/>
        <w:t>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 xml:space="preserve">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w:t>
      </w:r>
      <w:r w:rsidR="00572211" w:rsidRPr="004D2F04">
        <w:rPr>
          <w:rFonts w:ascii="Times New Roman" w:hAnsi="Times New Roman"/>
          <w:b w:val="0"/>
          <w:sz w:val="24"/>
          <w:szCs w:val="24"/>
          <w:lang w:val="pt-BR"/>
        </w:rPr>
        <w:lastRenderedPageBreak/>
        <w:t>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1" w:name="_DV_M42"/>
      <w:bookmarkStart w:id="72" w:name="_Toc510869701"/>
      <w:bookmarkEnd w:id="71"/>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2"/>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3"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3"/>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4"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4"/>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5"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5"/>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xml:space="preserve">) </w:t>
      </w:r>
      <w:r w:rsidRPr="004D2F04">
        <w:rPr>
          <w:rFonts w:ascii="Times New Roman" w:hAnsi="Times New Roman"/>
          <w:b w:val="0"/>
          <w:sz w:val="24"/>
          <w:szCs w:val="24"/>
          <w:lang w:val="pt-BR" w:eastAsia="en-US"/>
        </w:rPr>
        <w:lastRenderedPageBreak/>
        <w:t>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6"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6"/>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7" w:name="_Ref424769868"/>
      <w:r w:rsidRPr="004D2F04">
        <w:rPr>
          <w:rFonts w:ascii="Times New Roman" w:hAnsi="Times New Roman"/>
          <w:b w:val="0"/>
          <w:sz w:val="24"/>
          <w:szCs w:val="24"/>
        </w:rPr>
        <w:lastRenderedPageBreak/>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7"/>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8"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8"/>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w:t>
      </w:r>
      <w:r w:rsidRPr="004D2F04">
        <w:rPr>
          <w:sz w:val="24"/>
          <w:szCs w:val="24"/>
        </w:rPr>
        <w:lastRenderedPageBreak/>
        <w:t>da data de realização do segundo leilão, a Fiduciária disponibilizará à Fiduciante o respectivo termo de quitação, sob pena de multa legal.</w:t>
      </w:r>
      <w:bookmarkStart w:id="79"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0"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0"/>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79"/>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1" w:name="_Ref424766587"/>
      <w:bookmarkStart w:id="82"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1"/>
    <w:bookmarkEnd w:id="82"/>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3"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w:t>
      </w:r>
      <w:r w:rsidRPr="004D2F04">
        <w:rPr>
          <w:rFonts w:ascii="Times New Roman" w:hAnsi="Times New Roman"/>
          <w:b w:val="0"/>
          <w:sz w:val="24"/>
          <w:szCs w:val="24"/>
        </w:rPr>
        <w:lastRenderedPageBreak/>
        <w:t xml:space="preserve">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4" w:name="_Ref432387642"/>
      <w:bookmarkStart w:id="85"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4"/>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6"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6"/>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lastRenderedPageBreak/>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rPr>
        <w:lastRenderedPageBreak/>
        <w:t>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 xml:space="preserve">de </w:t>
      </w:r>
      <w:r w:rsidRPr="004D2F04">
        <w:rPr>
          <w:rFonts w:ascii="Times New Roman" w:hAnsi="Times New Roman"/>
          <w:b w:val="0"/>
          <w:sz w:val="24"/>
          <w:szCs w:val="24"/>
        </w:rPr>
        <w:lastRenderedPageBreak/>
        <w:t>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xml:space="preserve">) criação de </w:t>
      </w:r>
      <w:r w:rsidRPr="004D2F04">
        <w:rPr>
          <w:rFonts w:ascii="Times New Roman" w:hAnsi="Times New Roman"/>
          <w:b w:val="0"/>
          <w:sz w:val="24"/>
          <w:szCs w:val="24"/>
        </w:rPr>
        <w:lastRenderedPageBreak/>
        <w:t>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nenhuma aprovação, autorização, consentimento, ordem, registro ou habilitação de crédito ou perante qualquer </w:t>
      </w:r>
      <w:r w:rsidRPr="004D2F04">
        <w:rPr>
          <w:rFonts w:ascii="Times New Roman" w:hAnsi="Times New Roman"/>
          <w:b w:val="0"/>
          <w:sz w:val="24"/>
          <w:szCs w:val="24"/>
        </w:rPr>
        <w:lastRenderedPageBreak/>
        <w:t>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7"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7"/>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w:t>
      </w:r>
      <w:r w:rsidRPr="004D2F04">
        <w:rPr>
          <w:rFonts w:ascii="Times New Roman" w:hAnsi="Times New Roman"/>
          <w:b w:val="0"/>
          <w:sz w:val="24"/>
          <w:szCs w:val="24"/>
        </w:rPr>
        <w:lastRenderedPageBreak/>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lastRenderedPageBreak/>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lastRenderedPageBreak/>
        <w:t>11.3.</w:t>
      </w:r>
      <w:r w:rsidR="00667294">
        <w:rPr>
          <w:sz w:val="24"/>
          <w:szCs w:val="24"/>
          <w:lang w:eastAsia="en-US"/>
        </w:rPr>
        <w:t>1</w:t>
      </w:r>
      <w:r>
        <w:rPr>
          <w:sz w:val="24"/>
          <w:szCs w:val="24"/>
          <w:lang w:eastAsia="en-US"/>
        </w:rPr>
        <w:tab/>
      </w:r>
      <w:r>
        <w:rPr>
          <w:sz w:val="24"/>
          <w:szCs w:val="24"/>
          <w:lang w:eastAsia="en-US"/>
        </w:rPr>
        <w:tab/>
      </w:r>
      <w:bookmarkStart w:id="88"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8"/>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89" w:name="_Ref55491002"/>
      <w:bookmarkStart w:id="90"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89"/>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0"/>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lastRenderedPageBreak/>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1" w:name="_Ref429510878"/>
      <w:bookmarkStart w:id="92"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1"/>
      <w:bookmarkEnd w:id="92"/>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3"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3"/>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4" w:name="_Hlk59575523"/>
      <w:r w:rsidRPr="004D2F04">
        <w:rPr>
          <w:iCs/>
          <w:szCs w:val="24"/>
        </w:rPr>
        <w:t>Eliana Florindo</w:t>
      </w:r>
      <w:bookmarkEnd w:id="94"/>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5" w:name="_DV_M366"/>
      <w:bookmarkEnd w:id="95"/>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6" w:name="_DV_M367"/>
      <w:bookmarkStart w:id="97" w:name="_DV_M368"/>
      <w:bookmarkStart w:id="98" w:name="_DV_M369"/>
      <w:bookmarkStart w:id="99" w:name="_DV_M370"/>
      <w:bookmarkStart w:id="100" w:name="_DV_M372"/>
      <w:bookmarkStart w:id="101" w:name="_DV_M373"/>
      <w:bookmarkStart w:id="102" w:name="_DV_M374"/>
      <w:bookmarkStart w:id="103" w:name="_DV_M375"/>
      <w:bookmarkEnd w:id="96"/>
      <w:bookmarkEnd w:id="97"/>
      <w:bookmarkEnd w:id="98"/>
      <w:bookmarkEnd w:id="99"/>
      <w:bookmarkEnd w:id="100"/>
      <w:bookmarkEnd w:id="101"/>
      <w:bookmarkEnd w:id="102"/>
      <w:bookmarkEnd w:id="103"/>
    </w:p>
    <w:p w14:paraId="09B49125" w14:textId="2F775AD6" w:rsidR="00FB3013" w:rsidRPr="004D2F04" w:rsidRDefault="00B41857" w:rsidP="00DC450F">
      <w:pPr>
        <w:shd w:val="clear" w:color="auto" w:fill="FFFFFF"/>
        <w:spacing w:line="312" w:lineRule="auto"/>
        <w:rPr>
          <w:rFonts w:eastAsia="Arial Unicode MS"/>
          <w:b/>
          <w:sz w:val="24"/>
          <w:szCs w:val="24"/>
        </w:rPr>
      </w:pPr>
      <w:bookmarkStart w:id="104" w:name="_Hlk55315213"/>
      <w:r>
        <w:rPr>
          <w:rFonts w:eastAsia="Batang"/>
          <w:b/>
          <w:sz w:val="24"/>
          <w:szCs w:val="24"/>
        </w:rPr>
        <w:t>VIRGO COMPANHIA DE SECURITIZAÇÃO</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4"/>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0D86C002"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hyperlink r:id="rId8" w:history="1">
        <w:r w:rsidR="00E01EB4" w:rsidRPr="00802CDB">
          <w:rPr>
            <w:rStyle w:val="Hyperlink"/>
            <w:iCs/>
            <w:w w:val="0"/>
            <w:sz w:val="24"/>
            <w:szCs w:val="24"/>
          </w:rPr>
          <w:t>juridico@virgo.inc</w:t>
        </w:r>
      </w:hyperlink>
      <w:r w:rsidR="00E01EB4">
        <w:rPr>
          <w:iCs/>
          <w:w w:val="0"/>
          <w:sz w:val="24"/>
          <w:szCs w:val="24"/>
        </w:rPr>
        <w:t xml:space="preserve"> / gestao@virgo.inc</w:t>
      </w:r>
      <w:r w:rsidR="00E01EB4" w:rsidRPr="004D2F04">
        <w:rPr>
          <w:iCs/>
          <w:w w:val="0"/>
          <w:sz w:val="24"/>
          <w:szCs w:val="24"/>
        </w:rPr>
        <w:t xml:space="preserve"> </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lastRenderedPageBreak/>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A568DAC"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F30820">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05"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6" w:name="_DV_M376"/>
      <w:bookmarkEnd w:id="105"/>
      <w:bookmarkEnd w:id="106"/>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7"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3"/>
      <w:bookmarkEnd w:id="85"/>
      <w:bookmarkEnd w:id="107"/>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8" w:name="_DV_M173"/>
      <w:bookmarkEnd w:id="108"/>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09" w:name="_DV_M95"/>
      <w:bookmarkStart w:id="110" w:name="_DV_M96"/>
      <w:bookmarkStart w:id="111" w:name="_DV_M97"/>
      <w:bookmarkStart w:id="112" w:name="_DV_M98"/>
      <w:bookmarkEnd w:id="109"/>
      <w:bookmarkEnd w:id="110"/>
      <w:bookmarkEnd w:id="111"/>
      <w:bookmarkEnd w:id="112"/>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w:t>
      </w:r>
      <w:r w:rsidRPr="004D2F04">
        <w:rPr>
          <w:rFonts w:ascii="Times New Roman" w:hAnsi="Times New Roman"/>
          <w:b w:val="0"/>
          <w:color w:val="000000"/>
          <w:sz w:val="24"/>
          <w:szCs w:val="24"/>
          <w:lang w:val="pt-BR"/>
        </w:rPr>
        <w:lastRenderedPageBreak/>
        <w:t xml:space="preserve">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3"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3"/>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2BC0E912"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AD3C62">
        <w:rPr>
          <w:bCs/>
          <w:color w:val="000000"/>
          <w:sz w:val="24"/>
          <w:szCs w:val="24"/>
        </w:rPr>
        <w:t>10</w:t>
      </w:r>
      <w:r w:rsidR="00D00DB2" w:rsidRPr="00D00DB2">
        <w:rPr>
          <w:bCs/>
          <w:color w:val="000000"/>
          <w:sz w:val="24"/>
          <w:szCs w:val="24"/>
        </w:rPr>
        <w:t xml:space="preserve"> de setembro</w:t>
      </w:r>
      <w:r w:rsidR="00D00DB2">
        <w:rPr>
          <w:bCs/>
          <w:i/>
          <w:color w:val="000000"/>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14" w:name="_DV_M285"/>
      <w:bookmarkStart w:id="115" w:name="_DV_M286"/>
      <w:bookmarkStart w:id="116" w:name="_DV_M250"/>
      <w:bookmarkStart w:id="117" w:name="_DV_M251"/>
      <w:bookmarkStart w:id="118" w:name="_DV_M269"/>
      <w:bookmarkStart w:id="119" w:name="_DV_M270"/>
      <w:bookmarkStart w:id="120" w:name="_DV_M271"/>
      <w:bookmarkStart w:id="121" w:name="_DV_M240"/>
      <w:bookmarkStart w:id="122" w:name="_DV_M241"/>
      <w:bookmarkStart w:id="123" w:name="_DV_M242"/>
      <w:bookmarkStart w:id="124" w:name="_DV_M243"/>
      <w:bookmarkStart w:id="125" w:name="_DV_M244"/>
      <w:bookmarkStart w:id="126" w:name="_DV_M245"/>
      <w:bookmarkStart w:id="127" w:name="_DV_M246"/>
      <w:bookmarkStart w:id="128" w:name="_DV_M247"/>
      <w:bookmarkStart w:id="129" w:name="_DV_M249"/>
      <w:bookmarkStart w:id="130" w:name="_DV_M252"/>
      <w:bookmarkStart w:id="131" w:name="_DV_M253"/>
      <w:bookmarkStart w:id="132" w:name="_DV_M254"/>
      <w:bookmarkStart w:id="133" w:name="_DV_M255"/>
      <w:bookmarkStart w:id="134" w:name="_DV_M256"/>
      <w:bookmarkStart w:id="135" w:name="_DV_M257"/>
      <w:bookmarkStart w:id="136" w:name="_DV_M258"/>
      <w:bookmarkStart w:id="137" w:name="_DV_M259"/>
      <w:bookmarkStart w:id="138" w:name="_DV_M260"/>
      <w:bookmarkStart w:id="139" w:name="_DV_M261"/>
      <w:bookmarkStart w:id="140" w:name="_DV_M262"/>
      <w:bookmarkStart w:id="141" w:name="_DV_M263"/>
      <w:bookmarkStart w:id="142" w:name="_DV_M265"/>
      <w:bookmarkStart w:id="143" w:name="_DV_M266"/>
      <w:bookmarkStart w:id="144" w:name="_DV_M267"/>
      <w:bookmarkStart w:id="145" w:name="_DV_M268"/>
      <w:bookmarkStart w:id="146" w:name="_DV_M272"/>
      <w:bookmarkStart w:id="147" w:name="_DV_M27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22BA1A61"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7B1E7A">
        <w:rPr>
          <w:rFonts w:ascii="Times New Roman" w:hAnsi="Times New Roman"/>
          <w:b w:val="0"/>
          <w:bCs/>
          <w:i/>
          <w:sz w:val="24"/>
          <w:szCs w:val="24"/>
          <w:u w:val="none"/>
          <w:lang w:val="pt-BR"/>
        </w:rPr>
        <w:t>5</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D3C62">
        <w:rPr>
          <w:rFonts w:ascii="Times New Roman" w:hAnsi="Times New Roman"/>
          <w:b w:val="0"/>
          <w:bCs/>
          <w:i/>
          <w:color w:val="000000"/>
          <w:sz w:val="24"/>
          <w:szCs w:val="24"/>
          <w:u w:val="none"/>
          <w:lang w:val="pt-BR"/>
        </w:rPr>
        <w:t>10</w:t>
      </w:r>
      <w:r w:rsidR="00D00DB2" w:rsidRPr="00D00DB2">
        <w:rPr>
          <w:rFonts w:ascii="Times New Roman" w:hAnsi="Times New Roman"/>
          <w:b w:val="0"/>
          <w:bCs/>
          <w:i/>
          <w:color w:val="000000"/>
          <w:sz w:val="24"/>
          <w:szCs w:val="24"/>
          <w:u w:val="none"/>
          <w:lang w:val="pt-BR"/>
        </w:rPr>
        <w:t xml:space="preserve"> de setembro </w:t>
      </w:r>
      <w:r w:rsidR="00B41857" w:rsidRPr="00B41857">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 xml:space="preserve">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74B82A4A" w:rsidR="00466E84" w:rsidRPr="00127C92" w:rsidRDefault="00127C92" w:rsidP="00DC450F">
      <w:pPr>
        <w:pStyle w:val="Corpodetexto"/>
        <w:tabs>
          <w:tab w:val="left" w:pos="8647"/>
        </w:tabs>
        <w:spacing w:after="0" w:line="312" w:lineRule="auto"/>
        <w:jc w:val="center"/>
        <w:rPr>
          <w:sz w:val="24"/>
          <w:szCs w:val="24"/>
          <w:lang w:val="pt-BR"/>
        </w:rPr>
      </w:pPr>
      <w:r w:rsidRPr="0017181C">
        <w:rPr>
          <w:b/>
          <w:bCs/>
          <w:sz w:val="24"/>
          <w:szCs w:val="24"/>
        </w:rPr>
        <w:t xml:space="preserve">EXTO </w:t>
      </w:r>
      <w:r w:rsidR="007B1E7A">
        <w:rPr>
          <w:b/>
          <w:bCs/>
          <w:sz w:val="24"/>
          <w:szCs w:val="24"/>
          <w:lang w:val="pt-BR"/>
        </w:rPr>
        <w:t>IRIS</w:t>
      </w:r>
      <w:r w:rsidRPr="0017181C">
        <w:rPr>
          <w:b/>
          <w:bCs/>
          <w:sz w:val="24"/>
          <w:szCs w:val="24"/>
        </w:rPr>
        <w:t xml:space="preserve">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37992107" w14:textId="583B5D34"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17181C">
              <w:rPr>
                <w:bCs/>
                <w:sz w:val="24"/>
                <w:szCs w:val="24"/>
              </w:rPr>
              <w:t xml:space="preserve">CPF: </w:t>
            </w:r>
            <w:r w:rsidRPr="0017181C">
              <w:rPr>
                <w:sz w:val="24"/>
                <w:szCs w:val="24"/>
              </w:rPr>
              <w:t>010.434.248-06</w:t>
            </w:r>
          </w:p>
        </w:tc>
      </w:tr>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5892AF9D"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D3C62">
        <w:rPr>
          <w:rFonts w:ascii="Times New Roman" w:hAnsi="Times New Roman"/>
          <w:b w:val="0"/>
          <w:bCs/>
          <w:i/>
          <w:color w:val="000000"/>
          <w:sz w:val="24"/>
          <w:szCs w:val="24"/>
          <w:u w:val="none"/>
          <w:lang w:val="pt-BR"/>
        </w:rPr>
        <w:t>10</w:t>
      </w:r>
      <w:r w:rsidR="00D00DB2" w:rsidRPr="00D00DB2">
        <w:rPr>
          <w:rFonts w:ascii="Times New Roman" w:hAnsi="Times New Roman"/>
          <w:b w:val="0"/>
          <w:bCs/>
          <w:i/>
          <w:color w:val="000000"/>
          <w:sz w:val="24"/>
          <w:szCs w:val="24"/>
          <w:u w:val="none"/>
          <w:lang w:val="pt-BR"/>
        </w:rPr>
        <w:t xml:space="preserve"> de setembro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7FAFB346"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sidR="00B41857">
        <w:rPr>
          <w:b/>
          <w:bCs/>
          <w:sz w:val="24"/>
          <w:szCs w:val="24"/>
          <w:lang w:val="pt-BR"/>
        </w:rPr>
        <w:t xml:space="preserve">ANIS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7B1E7A">
        <w:trPr>
          <w:jc w:val="center"/>
        </w:trPr>
        <w:tc>
          <w:tcPr>
            <w:tcW w:w="4420" w:type="dxa"/>
            <w:tcBorders>
              <w:top w:val="nil"/>
              <w:left w:val="nil"/>
              <w:bottom w:val="nil"/>
              <w:right w:val="nil"/>
            </w:tcBorders>
          </w:tcPr>
          <w:p w14:paraId="5903A54C" w14:textId="77777777" w:rsidR="00F267D9" w:rsidRPr="004D2F04" w:rsidRDefault="00F267D9"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7B1E7A">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7B1E7A">
        <w:trPr>
          <w:trHeight w:val="666"/>
          <w:jc w:val="center"/>
        </w:trPr>
        <w:tc>
          <w:tcPr>
            <w:tcW w:w="4420" w:type="dxa"/>
            <w:tcBorders>
              <w:top w:val="nil"/>
              <w:left w:val="nil"/>
              <w:bottom w:val="nil"/>
              <w:right w:val="nil"/>
            </w:tcBorders>
          </w:tcPr>
          <w:p w14:paraId="049BD9B2" w14:textId="77777777" w:rsidR="00F267D9" w:rsidRPr="004D2F04" w:rsidRDefault="00F267D9"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7B1E7A">
            <w:pPr>
              <w:spacing w:line="312" w:lineRule="auto"/>
              <w:rPr>
                <w:sz w:val="24"/>
                <w:szCs w:val="24"/>
              </w:rPr>
            </w:pPr>
            <w:r w:rsidRPr="00F07DFE">
              <w:rPr>
                <w:sz w:val="24"/>
                <w:szCs w:val="24"/>
              </w:rPr>
              <w:t>Cargo: Diretor</w:t>
            </w:r>
          </w:p>
          <w:p w14:paraId="66E48438" w14:textId="77777777" w:rsidR="00F267D9" w:rsidRPr="004D2F04" w:rsidRDefault="00F267D9"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7B1E7A">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848B3EC" w14:textId="77777777" w:rsidR="00F267D9" w:rsidRDefault="00F267D9" w:rsidP="007B1E7A">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29AF2087" w14:textId="526E8777" w:rsidR="00BA7785" w:rsidRDefault="00BA7785">
      <w:pPr>
        <w:spacing w:after="200" w:line="276" w:lineRule="auto"/>
        <w:rPr>
          <w:b/>
          <w:i/>
          <w:sz w:val="24"/>
          <w:szCs w:val="24"/>
        </w:rPr>
      </w:pPr>
    </w:p>
    <w:p w14:paraId="754FCAED" w14:textId="77777777" w:rsidR="00BA7785" w:rsidRDefault="00BA7785">
      <w:pPr>
        <w:spacing w:after="200" w:line="276" w:lineRule="auto"/>
        <w:rPr>
          <w:b/>
          <w:i/>
          <w:sz w:val="24"/>
          <w:szCs w:val="24"/>
        </w:rPr>
      </w:pPr>
      <w:r>
        <w:rPr>
          <w:b/>
          <w:i/>
          <w:sz w:val="24"/>
          <w:szCs w:val="24"/>
        </w:rPr>
        <w:br w:type="page"/>
      </w:r>
    </w:p>
    <w:p w14:paraId="0C15E636" w14:textId="0E67F29B"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D3C62">
        <w:rPr>
          <w:rFonts w:ascii="Times New Roman" w:hAnsi="Times New Roman"/>
          <w:b w:val="0"/>
          <w:bCs/>
          <w:i/>
          <w:color w:val="000000"/>
          <w:sz w:val="24"/>
          <w:szCs w:val="24"/>
          <w:u w:val="none"/>
          <w:lang w:val="pt-BR"/>
        </w:rPr>
        <w:t>10</w:t>
      </w:r>
      <w:r w:rsidR="00D00DB2" w:rsidRPr="00D00DB2">
        <w:rPr>
          <w:rFonts w:ascii="Times New Roman" w:hAnsi="Times New Roman"/>
          <w:b w:val="0"/>
          <w:bCs/>
          <w:i/>
          <w:color w:val="000000"/>
          <w:sz w:val="24"/>
          <w:szCs w:val="24"/>
          <w:u w:val="none"/>
          <w:lang w:val="pt-BR"/>
        </w:rPr>
        <w:t xml:space="preserve"> de setembro </w:t>
      </w:r>
      <w:r w:rsidR="00B41857" w:rsidRPr="00B41857">
        <w:rPr>
          <w:rFonts w:ascii="Times New Roman" w:hAnsi="Times New Roman"/>
          <w:b w:val="0"/>
          <w:bCs/>
          <w:i/>
          <w:color w:val="000000"/>
          <w:sz w:val="24"/>
          <w:szCs w:val="24"/>
          <w:u w:val="none"/>
          <w:lang w:val="pt-BR"/>
        </w:rPr>
        <w:t xml:space="preserve">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2591F174" w:rsidR="00466E84" w:rsidRPr="004D2F04" w:rsidRDefault="00B41857" w:rsidP="00DC450F">
      <w:pPr>
        <w:pStyle w:val="Corpodetexto"/>
        <w:tabs>
          <w:tab w:val="left" w:pos="8647"/>
        </w:tabs>
        <w:spacing w:after="0" w:line="312" w:lineRule="auto"/>
        <w:jc w:val="center"/>
        <w:rPr>
          <w:sz w:val="24"/>
          <w:szCs w:val="24"/>
          <w:lang w:val="pt-BR"/>
        </w:rPr>
      </w:pPr>
      <w:bookmarkStart w:id="148" w:name="_Hlk62469039"/>
      <w:r>
        <w:rPr>
          <w:b/>
          <w:sz w:val="24"/>
          <w:szCs w:val="24"/>
          <w:lang w:val="pt-BR"/>
        </w:rPr>
        <w:t>VIRGO COMPANHIA DE SECURITIZAÇÃO</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2E7D0F6D" w:rsidR="00466E84" w:rsidRDefault="00466E84" w:rsidP="00DC450F">
      <w:pPr>
        <w:pStyle w:val="Corpodetexto"/>
        <w:tabs>
          <w:tab w:val="left" w:pos="8647"/>
        </w:tabs>
        <w:spacing w:after="0" w:line="312" w:lineRule="auto"/>
        <w:rPr>
          <w:sz w:val="24"/>
          <w:szCs w:val="24"/>
          <w:lang w:val="pt-BR"/>
        </w:rPr>
      </w:pPr>
    </w:p>
    <w:p w14:paraId="0EC58511" w14:textId="77777777" w:rsidR="00AD3C62" w:rsidRPr="004D2F04" w:rsidRDefault="00AD3C62"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AD3C62" w:rsidRPr="004D2F04" w14:paraId="337AC152" w14:textId="77777777" w:rsidTr="00AD3C62">
        <w:trPr>
          <w:jc w:val="center"/>
        </w:trPr>
        <w:tc>
          <w:tcPr>
            <w:tcW w:w="4420" w:type="dxa"/>
            <w:tcBorders>
              <w:top w:val="nil"/>
              <w:left w:val="nil"/>
              <w:bottom w:val="nil"/>
              <w:right w:val="nil"/>
            </w:tcBorders>
          </w:tcPr>
          <w:p w14:paraId="3B0ABBF8" w14:textId="77777777" w:rsidR="00AD3C62" w:rsidRPr="004D2F04" w:rsidRDefault="00AD3C62" w:rsidP="00AD3C62">
            <w:pPr>
              <w:spacing w:line="312" w:lineRule="auto"/>
              <w:rPr>
                <w:sz w:val="24"/>
                <w:szCs w:val="24"/>
              </w:rPr>
            </w:pPr>
            <w:r w:rsidRPr="004D2F04">
              <w:rPr>
                <w:sz w:val="24"/>
                <w:szCs w:val="24"/>
              </w:rPr>
              <w:t>___________________________________</w:t>
            </w:r>
          </w:p>
        </w:tc>
        <w:tc>
          <w:tcPr>
            <w:tcW w:w="4490" w:type="dxa"/>
            <w:tcBorders>
              <w:top w:val="nil"/>
              <w:left w:val="nil"/>
              <w:bottom w:val="nil"/>
              <w:right w:val="nil"/>
            </w:tcBorders>
          </w:tcPr>
          <w:p w14:paraId="25D9E6DF" w14:textId="77777777" w:rsidR="00AD3C62" w:rsidRPr="004D2F04" w:rsidRDefault="00AD3C62" w:rsidP="00AD3C62">
            <w:pPr>
              <w:spacing w:line="312" w:lineRule="auto"/>
              <w:rPr>
                <w:sz w:val="24"/>
                <w:szCs w:val="24"/>
              </w:rPr>
            </w:pPr>
            <w:r w:rsidRPr="004D2F04">
              <w:rPr>
                <w:sz w:val="24"/>
                <w:szCs w:val="24"/>
              </w:rPr>
              <w:t>____________________________________</w:t>
            </w:r>
          </w:p>
        </w:tc>
      </w:tr>
      <w:tr w:rsidR="00AD3C62" w:rsidRPr="004D2F04" w14:paraId="34C0AF49" w14:textId="77777777" w:rsidTr="00AD3C62">
        <w:trPr>
          <w:jc w:val="center"/>
        </w:trPr>
        <w:tc>
          <w:tcPr>
            <w:tcW w:w="4420" w:type="dxa"/>
            <w:tcBorders>
              <w:top w:val="nil"/>
              <w:left w:val="nil"/>
              <w:bottom w:val="nil"/>
              <w:right w:val="nil"/>
            </w:tcBorders>
          </w:tcPr>
          <w:p w14:paraId="07572522" w14:textId="77777777" w:rsidR="00AD3C62" w:rsidRPr="00E57B6D" w:rsidRDefault="00AD3C62" w:rsidP="00AD3C62">
            <w:pPr>
              <w:spacing w:line="312" w:lineRule="auto"/>
              <w:rPr>
                <w:sz w:val="24"/>
                <w:szCs w:val="24"/>
              </w:rPr>
            </w:pPr>
            <w:r w:rsidRPr="004D2F04">
              <w:rPr>
                <w:sz w:val="24"/>
                <w:szCs w:val="24"/>
              </w:rPr>
              <w:t xml:space="preserve">Nome: </w:t>
            </w:r>
            <w:r>
              <w:rPr>
                <w:sz w:val="24"/>
                <w:szCs w:val="24"/>
              </w:rPr>
              <w:t>Daniel Monteiro Coelho de Magalhães</w:t>
            </w:r>
          </w:p>
          <w:p w14:paraId="353841A0" w14:textId="77777777" w:rsidR="00AD3C62" w:rsidRDefault="00AD3C62" w:rsidP="00AD3C62">
            <w:pPr>
              <w:spacing w:line="312" w:lineRule="auto"/>
              <w:rPr>
                <w:sz w:val="24"/>
                <w:szCs w:val="24"/>
              </w:rPr>
            </w:pPr>
            <w:r w:rsidRPr="004D2F04">
              <w:rPr>
                <w:sz w:val="24"/>
                <w:szCs w:val="24"/>
              </w:rPr>
              <w:t xml:space="preserve">Cargo: </w:t>
            </w:r>
            <w:r>
              <w:rPr>
                <w:sz w:val="24"/>
                <w:szCs w:val="24"/>
              </w:rPr>
              <w:t>Diretor</w:t>
            </w:r>
          </w:p>
          <w:p w14:paraId="4A3A5A69" w14:textId="77777777" w:rsidR="00AD3C62" w:rsidRPr="004D2F04" w:rsidRDefault="00AD3C62" w:rsidP="00AD3C62">
            <w:pPr>
              <w:spacing w:line="312" w:lineRule="auto"/>
              <w:rPr>
                <w:sz w:val="24"/>
                <w:szCs w:val="24"/>
              </w:rPr>
            </w:pPr>
            <w:r>
              <w:rPr>
                <w:sz w:val="24"/>
                <w:szCs w:val="24"/>
              </w:rPr>
              <w:t xml:space="preserve">CPF: </w:t>
            </w:r>
            <w:r w:rsidRPr="00E8021A">
              <w:rPr>
                <w:sz w:val="24"/>
                <w:szCs w:val="24"/>
              </w:rPr>
              <w:t>353.261.498-77</w:t>
            </w:r>
          </w:p>
        </w:tc>
        <w:tc>
          <w:tcPr>
            <w:tcW w:w="4490" w:type="dxa"/>
            <w:tcBorders>
              <w:top w:val="nil"/>
              <w:left w:val="nil"/>
              <w:bottom w:val="nil"/>
              <w:right w:val="nil"/>
            </w:tcBorders>
          </w:tcPr>
          <w:p w14:paraId="3BAB4C54" w14:textId="77777777" w:rsidR="00AD3C62" w:rsidRPr="004D2F04" w:rsidRDefault="00AD3C62" w:rsidP="00D94A5C">
            <w:pPr>
              <w:spacing w:line="312" w:lineRule="auto"/>
              <w:rPr>
                <w:sz w:val="24"/>
                <w:szCs w:val="24"/>
              </w:rPr>
            </w:pPr>
            <w:r w:rsidRPr="004D2F04">
              <w:rPr>
                <w:sz w:val="24"/>
                <w:szCs w:val="24"/>
              </w:rPr>
              <w:t xml:space="preserve">Nome: </w:t>
            </w:r>
            <w:r w:rsidRPr="00E8021A">
              <w:rPr>
                <w:sz w:val="24"/>
                <w:szCs w:val="24"/>
              </w:rPr>
              <w:t>Henrique Carvalho Silva</w:t>
            </w:r>
          </w:p>
          <w:p w14:paraId="359C18B8" w14:textId="77777777" w:rsidR="00AD3C62" w:rsidRDefault="00AD3C62" w:rsidP="00D94A5C">
            <w:pPr>
              <w:spacing w:line="312" w:lineRule="auto"/>
              <w:rPr>
                <w:sz w:val="24"/>
                <w:szCs w:val="24"/>
              </w:rPr>
            </w:pPr>
            <w:r w:rsidRPr="004D2F04">
              <w:rPr>
                <w:sz w:val="24"/>
                <w:szCs w:val="24"/>
              </w:rPr>
              <w:t>Cargo:</w:t>
            </w:r>
            <w:r w:rsidRPr="00AD3C62">
              <w:rPr>
                <w:sz w:val="24"/>
                <w:szCs w:val="24"/>
              </w:rPr>
              <w:t xml:space="preserve"> </w:t>
            </w:r>
            <w:r w:rsidRPr="00E8021A">
              <w:rPr>
                <w:sz w:val="24"/>
                <w:szCs w:val="24"/>
              </w:rPr>
              <w:t xml:space="preserve">Procurador  </w:t>
            </w:r>
          </w:p>
          <w:p w14:paraId="406D1B64" w14:textId="77777777" w:rsidR="00AD3C62" w:rsidRPr="004D2F04" w:rsidRDefault="00AD3C62" w:rsidP="00AD3C62">
            <w:pPr>
              <w:spacing w:line="312" w:lineRule="auto"/>
              <w:rPr>
                <w:sz w:val="24"/>
                <w:szCs w:val="24"/>
              </w:rPr>
            </w:pPr>
            <w:r>
              <w:rPr>
                <w:sz w:val="24"/>
                <w:szCs w:val="24"/>
              </w:rPr>
              <w:t xml:space="preserve">CPF: </w:t>
            </w:r>
            <w:r w:rsidRPr="00E8021A">
              <w:rPr>
                <w:sz w:val="24"/>
                <w:szCs w:val="24"/>
              </w:rPr>
              <w:t>354.873.988-10</w:t>
            </w:r>
          </w:p>
        </w:tc>
      </w:tr>
      <w:bookmarkEnd w:id="148"/>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1E4AAB88"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D3C62">
        <w:rPr>
          <w:rFonts w:ascii="Times New Roman" w:hAnsi="Times New Roman"/>
          <w:b w:val="0"/>
          <w:bCs/>
          <w:i/>
          <w:color w:val="000000"/>
          <w:sz w:val="24"/>
          <w:szCs w:val="24"/>
          <w:u w:val="none"/>
          <w:lang w:val="pt-BR"/>
        </w:rPr>
        <w:t>10</w:t>
      </w:r>
      <w:r w:rsidR="00D00DB2" w:rsidRPr="00D00DB2">
        <w:rPr>
          <w:rFonts w:ascii="Times New Roman" w:hAnsi="Times New Roman"/>
          <w:b w:val="0"/>
          <w:bCs/>
          <w:i/>
          <w:color w:val="000000"/>
          <w:sz w:val="24"/>
          <w:szCs w:val="24"/>
          <w:u w:val="none"/>
          <w:lang w:val="pt-BR"/>
        </w:rPr>
        <w:t xml:space="preserve"> de setembro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3675E251"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w:t>
      </w:r>
      <w:r w:rsidR="007010B8">
        <w:rPr>
          <w:b/>
          <w:sz w:val="24"/>
          <w:szCs w:val="24"/>
          <w:lang w:val="pt-BR"/>
        </w:rPr>
        <w:t>S.A</w:t>
      </w:r>
      <w:r w:rsidR="00DD3CCA" w:rsidRPr="00FA037A">
        <w:rPr>
          <w:b/>
          <w:sz w:val="24"/>
          <w:szCs w:val="24"/>
        </w:rPr>
        <w:t>.</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7B1E7A">
        <w:trPr>
          <w:jc w:val="center"/>
        </w:trPr>
        <w:tc>
          <w:tcPr>
            <w:tcW w:w="4420" w:type="dxa"/>
            <w:tcBorders>
              <w:top w:val="nil"/>
              <w:left w:val="nil"/>
              <w:bottom w:val="nil"/>
              <w:right w:val="nil"/>
            </w:tcBorders>
          </w:tcPr>
          <w:p w14:paraId="5E0A3C54" w14:textId="77777777" w:rsidR="00127C92" w:rsidRPr="004D2F04" w:rsidRDefault="00127C92"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7B1E7A">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7B1E7A">
        <w:trPr>
          <w:trHeight w:val="666"/>
          <w:jc w:val="center"/>
        </w:trPr>
        <w:tc>
          <w:tcPr>
            <w:tcW w:w="4420" w:type="dxa"/>
            <w:tcBorders>
              <w:top w:val="nil"/>
              <w:left w:val="nil"/>
              <w:bottom w:val="nil"/>
              <w:right w:val="nil"/>
            </w:tcBorders>
          </w:tcPr>
          <w:p w14:paraId="69C8F30C" w14:textId="77777777" w:rsidR="00127C92" w:rsidRPr="004D2F04" w:rsidRDefault="00127C92"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7B1E7A">
            <w:pPr>
              <w:spacing w:line="312" w:lineRule="auto"/>
              <w:rPr>
                <w:sz w:val="24"/>
                <w:szCs w:val="24"/>
              </w:rPr>
            </w:pPr>
            <w:r w:rsidRPr="00F07DFE">
              <w:rPr>
                <w:sz w:val="24"/>
                <w:szCs w:val="24"/>
              </w:rPr>
              <w:t>Cargo: Diretor</w:t>
            </w:r>
          </w:p>
          <w:p w14:paraId="5831F5E8" w14:textId="77777777" w:rsidR="00127C92" w:rsidRPr="004D2F04" w:rsidRDefault="00127C92"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7B1E7A">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7B1E7A">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31A33B4D"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7B1E7A">
        <w:rPr>
          <w:i/>
          <w:sz w:val="24"/>
          <w:szCs w:val="24"/>
          <w:lang w:val="pt-BR"/>
        </w:rPr>
        <w:t>5</w:t>
      </w:r>
      <w:r w:rsidRPr="004D2F04">
        <w:rPr>
          <w:i/>
          <w:sz w:val="24"/>
          <w:szCs w:val="24"/>
          <w:lang w:val="pt-BR"/>
        </w:rPr>
        <w:t>/</w:t>
      </w:r>
      <w:r w:rsidR="007B1E7A">
        <w:rPr>
          <w:i/>
          <w:sz w:val="24"/>
          <w:szCs w:val="24"/>
          <w:lang w:val="pt-BR"/>
        </w:rPr>
        <w:t>5</w:t>
      </w:r>
      <w:r w:rsidR="00F267D9"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AD3C62">
        <w:rPr>
          <w:bCs/>
          <w:i/>
          <w:color w:val="000000"/>
          <w:sz w:val="24"/>
          <w:szCs w:val="24"/>
        </w:rPr>
        <w:t>10</w:t>
      </w:r>
      <w:r w:rsidR="00D00DB2">
        <w:rPr>
          <w:bCs/>
          <w:i/>
          <w:color w:val="000000"/>
          <w:sz w:val="24"/>
          <w:szCs w:val="24"/>
        </w:rPr>
        <w:t xml:space="preserve"> de setembro </w:t>
      </w:r>
      <w:r w:rsidR="005452A7" w:rsidRPr="005452A7">
        <w:rPr>
          <w:i/>
          <w:color w:val="000000"/>
          <w:sz w:val="24"/>
          <w:szCs w:val="24"/>
          <w:lang w:val="pt-BR"/>
        </w:rPr>
        <w:t>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49" w:name="_Hlk62233550"/>
      <w:r w:rsidRPr="004D2F04">
        <w:rPr>
          <w:sz w:val="24"/>
          <w:szCs w:val="24"/>
          <w:u w:val="single"/>
        </w:rPr>
        <w:t>Testemunhas</w:t>
      </w:r>
      <w:r w:rsidRPr="004D2F04">
        <w:rPr>
          <w:iCs/>
          <w:sz w:val="24"/>
          <w:szCs w:val="24"/>
        </w:rPr>
        <w:t>:</w:t>
      </w:r>
    </w:p>
    <w:p w14:paraId="7AF76705" w14:textId="46C2D7CC" w:rsidR="00466E84" w:rsidRDefault="00466E84" w:rsidP="00DC450F">
      <w:pPr>
        <w:pStyle w:val="Corpodetexto"/>
        <w:tabs>
          <w:tab w:val="left" w:pos="8647"/>
        </w:tabs>
        <w:spacing w:after="0" w:line="312" w:lineRule="auto"/>
        <w:jc w:val="both"/>
        <w:rPr>
          <w:iCs/>
          <w:sz w:val="24"/>
          <w:szCs w:val="24"/>
          <w:lang w:val="pt-BR"/>
        </w:rPr>
      </w:pPr>
    </w:p>
    <w:p w14:paraId="3BDD9124" w14:textId="71C251EB" w:rsidR="004A5F58" w:rsidRDefault="004A5F58" w:rsidP="00DC450F">
      <w:pPr>
        <w:pStyle w:val="Corpodetexto"/>
        <w:tabs>
          <w:tab w:val="left" w:pos="8647"/>
        </w:tabs>
        <w:spacing w:after="0" w:line="312" w:lineRule="auto"/>
        <w:jc w:val="both"/>
        <w:rPr>
          <w:iCs/>
          <w:sz w:val="24"/>
          <w:szCs w:val="24"/>
          <w:lang w:val="pt-BR"/>
        </w:rPr>
      </w:pPr>
    </w:p>
    <w:p w14:paraId="46CDAA45" w14:textId="77777777" w:rsidR="004A5F58" w:rsidRPr="004D2F04" w:rsidRDefault="004A5F58" w:rsidP="00DC450F">
      <w:pPr>
        <w:pStyle w:val="Corpodetexto"/>
        <w:tabs>
          <w:tab w:val="left" w:pos="8647"/>
        </w:tabs>
        <w:spacing w:after="0" w:line="312" w:lineRule="auto"/>
        <w:jc w:val="both"/>
        <w:rPr>
          <w:iCs/>
          <w:sz w:val="24"/>
          <w:szCs w:val="24"/>
          <w:lang w:val="pt-BR"/>
        </w:rPr>
      </w:pPr>
      <w:bookmarkStart w:id="150" w:name="_GoBack"/>
      <w:bookmarkEnd w:id="150"/>
    </w:p>
    <w:tbl>
      <w:tblPr>
        <w:tblW w:w="0" w:type="auto"/>
        <w:jc w:val="center"/>
        <w:tblLook w:val="01E0" w:firstRow="1" w:lastRow="1" w:firstColumn="1" w:lastColumn="1" w:noHBand="0" w:noVBand="0"/>
      </w:tblPr>
      <w:tblGrid>
        <w:gridCol w:w="3903"/>
        <w:gridCol w:w="815"/>
        <w:gridCol w:w="3786"/>
      </w:tblGrid>
      <w:tr w:rsidR="004A5F58" w:rsidRPr="004D2F04" w14:paraId="399BB8CF" w14:textId="77777777" w:rsidTr="00D94A5C">
        <w:trPr>
          <w:jc w:val="center"/>
        </w:trPr>
        <w:tc>
          <w:tcPr>
            <w:tcW w:w="4248" w:type="dxa"/>
            <w:tcBorders>
              <w:top w:val="single" w:sz="4" w:space="0" w:color="auto"/>
            </w:tcBorders>
          </w:tcPr>
          <w:p w14:paraId="065E245B" w14:textId="77777777" w:rsidR="004A5F58" w:rsidRPr="004D2F04" w:rsidRDefault="004A5F58" w:rsidP="00D94A5C">
            <w:pPr>
              <w:pStyle w:val="Corpodetexto"/>
              <w:spacing w:after="0" w:line="312" w:lineRule="auto"/>
              <w:jc w:val="both"/>
              <w:rPr>
                <w:sz w:val="24"/>
                <w:szCs w:val="24"/>
                <w:lang w:val="it-IT"/>
              </w:rPr>
            </w:pPr>
            <w:bookmarkStart w:id="151" w:name="_Hlk82184593"/>
            <w:r w:rsidRPr="004D2F04">
              <w:rPr>
                <w:sz w:val="24"/>
                <w:szCs w:val="24"/>
                <w:lang w:val="it-IT"/>
              </w:rPr>
              <w:t>Nome:</w:t>
            </w:r>
            <w:r>
              <w:rPr>
                <w:sz w:val="24"/>
                <w:szCs w:val="24"/>
                <w:lang w:val="it-IT"/>
              </w:rPr>
              <w:t xml:space="preserve"> </w:t>
            </w:r>
            <w:r w:rsidRPr="00970C07">
              <w:rPr>
                <w:sz w:val="24"/>
                <w:szCs w:val="24"/>
                <w:lang w:val="it-IT"/>
              </w:rPr>
              <w:t>Andressa Maciel Scerni</w:t>
            </w:r>
          </w:p>
          <w:p w14:paraId="64A56A62" w14:textId="77777777" w:rsidR="004A5F58" w:rsidRPr="004D2F04" w:rsidRDefault="004A5F58" w:rsidP="00D94A5C">
            <w:pPr>
              <w:spacing w:line="312" w:lineRule="auto"/>
              <w:jc w:val="both"/>
              <w:rPr>
                <w:sz w:val="24"/>
                <w:szCs w:val="24"/>
                <w:lang w:val="it-IT"/>
              </w:rPr>
            </w:pPr>
            <w:r w:rsidRPr="004D2F04">
              <w:rPr>
                <w:sz w:val="24"/>
                <w:szCs w:val="24"/>
                <w:lang w:val="it-IT"/>
              </w:rPr>
              <w:t>CPF:</w:t>
            </w:r>
            <w:r>
              <w:rPr>
                <w:sz w:val="24"/>
                <w:szCs w:val="24"/>
              </w:rPr>
              <w:t xml:space="preserve"> </w:t>
            </w:r>
            <w:r w:rsidRPr="00970C07">
              <w:rPr>
                <w:sz w:val="24"/>
                <w:szCs w:val="24"/>
              </w:rPr>
              <w:t>999</w:t>
            </w:r>
            <w:r>
              <w:rPr>
                <w:sz w:val="24"/>
                <w:szCs w:val="24"/>
              </w:rPr>
              <w:t>.</w:t>
            </w:r>
            <w:r w:rsidRPr="00970C07">
              <w:rPr>
                <w:sz w:val="24"/>
                <w:szCs w:val="24"/>
              </w:rPr>
              <w:t>442</w:t>
            </w:r>
            <w:r>
              <w:rPr>
                <w:sz w:val="24"/>
                <w:szCs w:val="24"/>
              </w:rPr>
              <w:t>.</w:t>
            </w:r>
            <w:r w:rsidRPr="00970C07">
              <w:rPr>
                <w:sz w:val="24"/>
                <w:szCs w:val="24"/>
              </w:rPr>
              <w:t>002</w:t>
            </w:r>
            <w:r>
              <w:rPr>
                <w:sz w:val="24"/>
                <w:szCs w:val="24"/>
              </w:rPr>
              <w:t>-</w:t>
            </w:r>
            <w:r w:rsidRPr="00970C07">
              <w:rPr>
                <w:sz w:val="24"/>
                <w:szCs w:val="24"/>
              </w:rPr>
              <w:t>04</w:t>
            </w:r>
          </w:p>
        </w:tc>
        <w:tc>
          <w:tcPr>
            <w:tcW w:w="900" w:type="dxa"/>
          </w:tcPr>
          <w:p w14:paraId="38EF1BB3" w14:textId="77777777" w:rsidR="004A5F58" w:rsidRPr="004D2F04" w:rsidRDefault="004A5F58" w:rsidP="00D94A5C">
            <w:pPr>
              <w:spacing w:line="312" w:lineRule="auto"/>
              <w:jc w:val="both"/>
              <w:outlineLvl w:val="2"/>
              <w:rPr>
                <w:sz w:val="24"/>
                <w:szCs w:val="24"/>
                <w:lang w:val="it-IT"/>
              </w:rPr>
            </w:pPr>
          </w:p>
        </w:tc>
        <w:tc>
          <w:tcPr>
            <w:tcW w:w="4115" w:type="dxa"/>
            <w:tcBorders>
              <w:top w:val="single" w:sz="4" w:space="0" w:color="auto"/>
            </w:tcBorders>
          </w:tcPr>
          <w:p w14:paraId="480683A9" w14:textId="77777777" w:rsidR="004A5F58" w:rsidRPr="004D2F04" w:rsidRDefault="004A5F58" w:rsidP="00D94A5C">
            <w:pPr>
              <w:spacing w:line="312" w:lineRule="auto"/>
              <w:jc w:val="both"/>
              <w:rPr>
                <w:sz w:val="24"/>
                <w:szCs w:val="24"/>
                <w:lang w:val="it-IT"/>
              </w:rPr>
            </w:pPr>
            <w:r w:rsidRPr="004D2F04">
              <w:rPr>
                <w:sz w:val="24"/>
                <w:szCs w:val="24"/>
                <w:lang w:val="it-IT"/>
              </w:rPr>
              <w:t>Nome:</w:t>
            </w:r>
            <w:r>
              <w:rPr>
                <w:sz w:val="24"/>
                <w:szCs w:val="24"/>
                <w:lang w:val="it-IT"/>
              </w:rPr>
              <w:t xml:space="preserve"> </w:t>
            </w:r>
            <w:r w:rsidRPr="00970C07">
              <w:rPr>
                <w:sz w:val="24"/>
                <w:szCs w:val="24"/>
                <w:lang w:val="it-IT"/>
              </w:rPr>
              <w:t>Ana Carla Moliterno</w:t>
            </w:r>
          </w:p>
          <w:p w14:paraId="3CF5B7DF" w14:textId="77777777" w:rsidR="004A5F58" w:rsidRPr="004D2F04" w:rsidRDefault="004A5F58" w:rsidP="00D94A5C">
            <w:pPr>
              <w:spacing w:line="312" w:lineRule="auto"/>
              <w:jc w:val="both"/>
              <w:rPr>
                <w:sz w:val="24"/>
                <w:szCs w:val="24"/>
                <w:lang w:val="de-DE"/>
              </w:rPr>
            </w:pPr>
            <w:r w:rsidRPr="004D2F04">
              <w:rPr>
                <w:sz w:val="24"/>
                <w:szCs w:val="24"/>
                <w:lang w:val="de-DE"/>
              </w:rPr>
              <w:t>CPF:</w:t>
            </w:r>
            <w:r>
              <w:rPr>
                <w:sz w:val="24"/>
                <w:szCs w:val="24"/>
                <w:lang w:val="de-DE"/>
              </w:rPr>
              <w:t xml:space="preserve"> </w:t>
            </w:r>
            <w:r w:rsidRPr="00970C07">
              <w:rPr>
                <w:sz w:val="24"/>
                <w:szCs w:val="24"/>
                <w:lang w:val="de-DE"/>
              </w:rPr>
              <w:t>297.319.798-83</w:t>
            </w:r>
          </w:p>
        </w:tc>
      </w:tr>
      <w:bookmarkEnd w:id="151"/>
    </w:tbl>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bookmarkEnd w:id="149"/>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52"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2"/>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43600EBF"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3902A936" w14:textId="77777777" w:rsidR="00E01AC5" w:rsidRPr="00E01AC5" w:rsidRDefault="00E01AC5" w:rsidP="00E01AC5">
      <w:pPr>
        <w:rPr>
          <w:lang w:val="it-IT"/>
        </w:rPr>
      </w:pPr>
    </w:p>
    <w:tbl>
      <w:tblPr>
        <w:tblW w:w="7497" w:type="dxa"/>
        <w:jc w:val="center"/>
        <w:tblCellMar>
          <w:left w:w="70" w:type="dxa"/>
          <w:right w:w="70" w:type="dxa"/>
        </w:tblCellMar>
        <w:tblLook w:val="04A0" w:firstRow="1" w:lastRow="0" w:firstColumn="1" w:lastColumn="0" w:noHBand="0" w:noVBand="1"/>
      </w:tblPr>
      <w:tblGrid>
        <w:gridCol w:w="762"/>
        <w:gridCol w:w="1507"/>
        <w:gridCol w:w="1700"/>
        <w:gridCol w:w="1265"/>
        <w:gridCol w:w="2263"/>
      </w:tblGrid>
      <w:tr w:rsidR="00E01AC5" w:rsidRPr="00E01AC5" w14:paraId="59989427" w14:textId="77777777" w:rsidTr="000A1BA0">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3FDC74" w14:textId="77777777" w:rsidR="00E01AC5" w:rsidRPr="00E01AC5" w:rsidRDefault="00E01AC5" w:rsidP="00E01AC5">
            <w:pPr>
              <w:jc w:val="center"/>
              <w:rPr>
                <w:b/>
                <w:bCs/>
                <w:color w:val="FFFFFF"/>
                <w:sz w:val="24"/>
                <w:szCs w:val="24"/>
              </w:rPr>
            </w:pPr>
            <w:r w:rsidRPr="00E01AC5">
              <w:rPr>
                <w:b/>
                <w:bCs/>
                <w:color w:val="FFFFFF"/>
                <w:sz w:val="24"/>
                <w:szCs w:val="24"/>
              </w:rPr>
              <w:t>#</w:t>
            </w:r>
          </w:p>
        </w:tc>
        <w:tc>
          <w:tcPr>
            <w:tcW w:w="1507" w:type="dxa"/>
            <w:tcBorders>
              <w:top w:val="single" w:sz="4" w:space="0" w:color="auto"/>
              <w:left w:val="nil"/>
              <w:bottom w:val="single" w:sz="4" w:space="0" w:color="auto"/>
              <w:right w:val="single" w:sz="4" w:space="0" w:color="auto"/>
            </w:tcBorders>
            <w:shd w:val="clear" w:color="000000" w:fill="000000"/>
            <w:vAlign w:val="center"/>
            <w:hideMark/>
          </w:tcPr>
          <w:p w14:paraId="1FF9007F" w14:textId="77777777" w:rsidR="00E01AC5" w:rsidRPr="00E01AC5" w:rsidRDefault="00E01AC5" w:rsidP="00E01AC5">
            <w:pPr>
              <w:jc w:val="center"/>
              <w:rPr>
                <w:b/>
                <w:bCs/>
                <w:color w:val="FFFFFF"/>
                <w:sz w:val="24"/>
                <w:szCs w:val="24"/>
              </w:rPr>
            </w:pPr>
            <w:r w:rsidRPr="00E01AC5">
              <w:rPr>
                <w:b/>
                <w:bCs/>
                <w:color w:val="FFFFFF"/>
                <w:sz w:val="24"/>
                <w:szCs w:val="24"/>
              </w:rPr>
              <w:t>Município</w:t>
            </w:r>
          </w:p>
        </w:tc>
        <w:tc>
          <w:tcPr>
            <w:tcW w:w="1700" w:type="dxa"/>
            <w:tcBorders>
              <w:top w:val="single" w:sz="4" w:space="0" w:color="auto"/>
              <w:left w:val="nil"/>
              <w:bottom w:val="single" w:sz="4" w:space="0" w:color="auto"/>
              <w:right w:val="single" w:sz="4" w:space="0" w:color="auto"/>
            </w:tcBorders>
            <w:shd w:val="clear" w:color="000000" w:fill="000000"/>
            <w:vAlign w:val="center"/>
            <w:hideMark/>
          </w:tcPr>
          <w:p w14:paraId="2E94BE03" w14:textId="77777777" w:rsidR="00E01AC5" w:rsidRPr="00E01AC5" w:rsidRDefault="00E01AC5" w:rsidP="00E01AC5">
            <w:pPr>
              <w:jc w:val="center"/>
              <w:rPr>
                <w:b/>
                <w:bCs/>
                <w:color w:val="FFFFFF"/>
                <w:sz w:val="24"/>
                <w:szCs w:val="24"/>
              </w:rPr>
            </w:pPr>
            <w:r w:rsidRPr="00E01AC5">
              <w:rPr>
                <w:b/>
                <w:bCs/>
                <w:color w:val="FFFFFF"/>
                <w:sz w:val="24"/>
                <w:szCs w:val="24"/>
              </w:rPr>
              <w:t>Nº de Matrícula</w:t>
            </w:r>
          </w:p>
        </w:tc>
        <w:tc>
          <w:tcPr>
            <w:tcW w:w="1265" w:type="dxa"/>
            <w:tcBorders>
              <w:top w:val="single" w:sz="4" w:space="0" w:color="auto"/>
              <w:left w:val="nil"/>
              <w:bottom w:val="single" w:sz="4" w:space="0" w:color="auto"/>
              <w:right w:val="single" w:sz="4" w:space="0" w:color="auto"/>
            </w:tcBorders>
            <w:shd w:val="clear" w:color="000000" w:fill="000000"/>
            <w:vAlign w:val="center"/>
            <w:hideMark/>
          </w:tcPr>
          <w:p w14:paraId="1B4A4392" w14:textId="77777777" w:rsidR="00E01AC5" w:rsidRPr="00E01AC5" w:rsidRDefault="00E01AC5" w:rsidP="00E01AC5">
            <w:pPr>
              <w:jc w:val="center"/>
              <w:rPr>
                <w:b/>
                <w:bCs/>
                <w:color w:val="FFFFFF"/>
                <w:sz w:val="24"/>
                <w:szCs w:val="24"/>
              </w:rPr>
            </w:pPr>
            <w:r w:rsidRPr="00E01AC5">
              <w:rPr>
                <w:b/>
                <w:bCs/>
                <w:color w:val="FFFFFF"/>
                <w:sz w:val="24"/>
                <w:szCs w:val="24"/>
              </w:rPr>
              <w:t>Percentual Garantido</w:t>
            </w:r>
          </w:p>
        </w:tc>
        <w:tc>
          <w:tcPr>
            <w:tcW w:w="2263" w:type="dxa"/>
            <w:tcBorders>
              <w:top w:val="single" w:sz="4" w:space="0" w:color="auto"/>
              <w:left w:val="nil"/>
              <w:bottom w:val="single" w:sz="4" w:space="0" w:color="auto"/>
              <w:right w:val="single" w:sz="4" w:space="0" w:color="auto"/>
            </w:tcBorders>
            <w:shd w:val="clear" w:color="000000" w:fill="000000"/>
            <w:vAlign w:val="center"/>
            <w:hideMark/>
          </w:tcPr>
          <w:p w14:paraId="0B0F00A6" w14:textId="77777777" w:rsidR="00E01AC5" w:rsidRPr="00E01AC5" w:rsidRDefault="00E01AC5" w:rsidP="00E01AC5">
            <w:pPr>
              <w:jc w:val="center"/>
              <w:rPr>
                <w:b/>
                <w:bCs/>
                <w:color w:val="FFFFFF"/>
                <w:sz w:val="24"/>
                <w:szCs w:val="24"/>
              </w:rPr>
            </w:pPr>
            <w:r w:rsidRPr="00E01AC5">
              <w:rPr>
                <w:b/>
                <w:bCs/>
                <w:color w:val="FFFFFF"/>
                <w:sz w:val="24"/>
                <w:szCs w:val="24"/>
              </w:rPr>
              <w:t>Valor do Imóvel para fins do Contrato</w:t>
            </w:r>
          </w:p>
        </w:tc>
      </w:tr>
      <w:tr w:rsidR="00E01AC5" w:rsidRPr="00E01AC5" w14:paraId="721BB78C"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D7890AE" w14:textId="77777777" w:rsidR="00E01AC5" w:rsidRPr="00E01AC5" w:rsidRDefault="00E01AC5" w:rsidP="00E01AC5">
            <w:pPr>
              <w:jc w:val="center"/>
              <w:rPr>
                <w:color w:val="000000"/>
                <w:sz w:val="24"/>
                <w:szCs w:val="24"/>
              </w:rPr>
            </w:pPr>
            <w:r w:rsidRPr="00E01AC5">
              <w:rPr>
                <w:color w:val="000000"/>
                <w:sz w:val="24"/>
                <w:szCs w:val="24"/>
              </w:rPr>
              <w:t>1</w:t>
            </w:r>
          </w:p>
        </w:tc>
        <w:tc>
          <w:tcPr>
            <w:tcW w:w="1507" w:type="dxa"/>
            <w:tcBorders>
              <w:top w:val="nil"/>
              <w:left w:val="nil"/>
              <w:bottom w:val="single" w:sz="4" w:space="0" w:color="auto"/>
              <w:right w:val="single" w:sz="4" w:space="0" w:color="auto"/>
            </w:tcBorders>
            <w:shd w:val="clear" w:color="auto" w:fill="auto"/>
            <w:noWrap/>
            <w:vAlign w:val="bottom"/>
            <w:hideMark/>
          </w:tcPr>
          <w:p w14:paraId="25534E5C"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bottom"/>
            <w:hideMark/>
          </w:tcPr>
          <w:p w14:paraId="07F1EF86" w14:textId="1BCC7521" w:rsidR="00E01AC5" w:rsidRPr="005D14EA" w:rsidRDefault="005D14EA" w:rsidP="00E01AC5">
            <w:pPr>
              <w:jc w:val="center"/>
              <w:rPr>
                <w:sz w:val="24"/>
                <w:szCs w:val="24"/>
              </w:rPr>
            </w:pPr>
            <w:r w:rsidRPr="005D14EA">
              <w:rPr>
                <w:sz w:val="24"/>
                <w:szCs w:val="24"/>
              </w:rPr>
              <w:t>451.971</w:t>
            </w:r>
          </w:p>
        </w:tc>
        <w:tc>
          <w:tcPr>
            <w:tcW w:w="1265" w:type="dxa"/>
            <w:tcBorders>
              <w:top w:val="nil"/>
              <w:left w:val="nil"/>
              <w:bottom w:val="single" w:sz="4" w:space="0" w:color="auto"/>
              <w:right w:val="single" w:sz="4" w:space="0" w:color="auto"/>
            </w:tcBorders>
            <w:shd w:val="clear" w:color="auto" w:fill="auto"/>
            <w:noWrap/>
            <w:vAlign w:val="bottom"/>
            <w:hideMark/>
          </w:tcPr>
          <w:p w14:paraId="677EA1D2" w14:textId="1E41E362" w:rsidR="00E01AC5" w:rsidRPr="00E01AC5" w:rsidRDefault="00C21702" w:rsidP="00E01AC5">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0012F3B3" w14:textId="49EFACF4" w:rsidR="00E01AC5" w:rsidRPr="00E01AC5" w:rsidRDefault="00C21702" w:rsidP="00E01AC5">
            <w:pPr>
              <w:jc w:val="center"/>
              <w:rPr>
                <w:sz w:val="24"/>
                <w:szCs w:val="24"/>
              </w:rPr>
            </w:pPr>
            <w:r w:rsidRPr="00C21702">
              <w:rPr>
                <w:sz w:val="24"/>
                <w:szCs w:val="24"/>
              </w:rPr>
              <w:t>R$ 409.074,64</w:t>
            </w:r>
          </w:p>
        </w:tc>
      </w:tr>
      <w:tr w:rsidR="00C21702" w:rsidRPr="00E01AC5" w14:paraId="55C4D0FC"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C5D656E" w14:textId="77777777" w:rsidR="00C21702" w:rsidRPr="00E01AC5" w:rsidRDefault="00C21702" w:rsidP="00C21702">
            <w:pPr>
              <w:jc w:val="center"/>
              <w:rPr>
                <w:color w:val="000000"/>
                <w:sz w:val="24"/>
                <w:szCs w:val="24"/>
              </w:rPr>
            </w:pPr>
            <w:r w:rsidRPr="00E01AC5">
              <w:rPr>
                <w:color w:val="000000"/>
                <w:sz w:val="24"/>
                <w:szCs w:val="24"/>
              </w:rPr>
              <w:t>2</w:t>
            </w:r>
          </w:p>
        </w:tc>
        <w:tc>
          <w:tcPr>
            <w:tcW w:w="1507" w:type="dxa"/>
            <w:tcBorders>
              <w:top w:val="nil"/>
              <w:left w:val="nil"/>
              <w:bottom w:val="single" w:sz="4" w:space="0" w:color="auto"/>
              <w:right w:val="single" w:sz="4" w:space="0" w:color="auto"/>
            </w:tcBorders>
            <w:shd w:val="clear" w:color="auto" w:fill="auto"/>
            <w:noWrap/>
            <w:vAlign w:val="bottom"/>
            <w:hideMark/>
          </w:tcPr>
          <w:p w14:paraId="1608FFE9"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724E440A" w14:textId="4B477867" w:rsidR="00C21702" w:rsidRPr="005D14EA" w:rsidRDefault="00C21702" w:rsidP="00C21702">
            <w:pPr>
              <w:jc w:val="center"/>
              <w:rPr>
                <w:sz w:val="24"/>
                <w:szCs w:val="24"/>
              </w:rPr>
            </w:pPr>
            <w:r w:rsidRPr="000A1BA0">
              <w:rPr>
                <w:sz w:val="24"/>
                <w:szCs w:val="24"/>
              </w:rPr>
              <w:t>452.061</w:t>
            </w:r>
          </w:p>
        </w:tc>
        <w:tc>
          <w:tcPr>
            <w:tcW w:w="1265" w:type="dxa"/>
            <w:tcBorders>
              <w:top w:val="nil"/>
              <w:left w:val="nil"/>
              <w:bottom w:val="single" w:sz="4" w:space="0" w:color="auto"/>
              <w:right w:val="single" w:sz="4" w:space="0" w:color="auto"/>
            </w:tcBorders>
            <w:shd w:val="clear" w:color="auto" w:fill="auto"/>
            <w:noWrap/>
            <w:vAlign w:val="bottom"/>
            <w:hideMark/>
          </w:tcPr>
          <w:p w14:paraId="3F952EE4" w14:textId="23666077"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5934B306" w14:textId="298F69C2" w:rsidR="00C21702" w:rsidRPr="00E01AC5" w:rsidRDefault="00C21702" w:rsidP="00C21702">
            <w:pPr>
              <w:jc w:val="center"/>
              <w:rPr>
                <w:sz w:val="24"/>
                <w:szCs w:val="24"/>
              </w:rPr>
            </w:pPr>
            <w:r w:rsidRPr="00C21702">
              <w:rPr>
                <w:sz w:val="24"/>
                <w:szCs w:val="24"/>
              </w:rPr>
              <w:t>R$ 409.074,64</w:t>
            </w:r>
          </w:p>
        </w:tc>
      </w:tr>
      <w:tr w:rsidR="00C21702" w:rsidRPr="00E01AC5" w14:paraId="47B7FCAF"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A922B49" w14:textId="77777777" w:rsidR="00C21702" w:rsidRPr="00E01AC5" w:rsidRDefault="00C21702" w:rsidP="00C21702">
            <w:pPr>
              <w:jc w:val="center"/>
              <w:rPr>
                <w:color w:val="000000"/>
                <w:sz w:val="24"/>
                <w:szCs w:val="24"/>
              </w:rPr>
            </w:pPr>
            <w:r w:rsidRPr="00E01AC5">
              <w:rPr>
                <w:color w:val="000000"/>
                <w:sz w:val="24"/>
                <w:szCs w:val="24"/>
              </w:rPr>
              <w:t>3</w:t>
            </w:r>
          </w:p>
        </w:tc>
        <w:tc>
          <w:tcPr>
            <w:tcW w:w="1507" w:type="dxa"/>
            <w:tcBorders>
              <w:top w:val="nil"/>
              <w:left w:val="nil"/>
              <w:bottom w:val="single" w:sz="4" w:space="0" w:color="auto"/>
              <w:right w:val="single" w:sz="4" w:space="0" w:color="auto"/>
            </w:tcBorders>
            <w:shd w:val="clear" w:color="auto" w:fill="auto"/>
            <w:noWrap/>
            <w:vAlign w:val="bottom"/>
            <w:hideMark/>
          </w:tcPr>
          <w:p w14:paraId="54938442"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3A45B1D1" w14:textId="5B20581B" w:rsidR="00C21702" w:rsidRPr="005D14EA" w:rsidRDefault="00C21702" w:rsidP="00C21702">
            <w:pPr>
              <w:jc w:val="center"/>
              <w:rPr>
                <w:sz w:val="24"/>
                <w:szCs w:val="24"/>
              </w:rPr>
            </w:pPr>
            <w:r w:rsidRPr="000A1BA0">
              <w:rPr>
                <w:sz w:val="24"/>
                <w:szCs w:val="24"/>
              </w:rPr>
              <w:t>452.069</w:t>
            </w:r>
          </w:p>
        </w:tc>
        <w:tc>
          <w:tcPr>
            <w:tcW w:w="1265" w:type="dxa"/>
            <w:tcBorders>
              <w:top w:val="nil"/>
              <w:left w:val="nil"/>
              <w:bottom w:val="single" w:sz="4" w:space="0" w:color="auto"/>
              <w:right w:val="single" w:sz="4" w:space="0" w:color="auto"/>
            </w:tcBorders>
            <w:shd w:val="clear" w:color="auto" w:fill="auto"/>
            <w:noWrap/>
            <w:vAlign w:val="bottom"/>
            <w:hideMark/>
          </w:tcPr>
          <w:p w14:paraId="1EC3709A" w14:textId="07A02E76"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4AC376F9" w14:textId="2723120D" w:rsidR="00C21702" w:rsidRPr="00E01AC5" w:rsidRDefault="00C21702" w:rsidP="00C21702">
            <w:pPr>
              <w:jc w:val="center"/>
              <w:rPr>
                <w:sz w:val="24"/>
                <w:szCs w:val="24"/>
              </w:rPr>
            </w:pPr>
            <w:r w:rsidRPr="00C21702">
              <w:rPr>
                <w:sz w:val="24"/>
                <w:szCs w:val="24"/>
              </w:rPr>
              <w:t>R$ 409.074,64</w:t>
            </w:r>
          </w:p>
        </w:tc>
      </w:tr>
      <w:tr w:rsidR="00C21702" w:rsidRPr="00E01AC5" w14:paraId="02544A07"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8659153" w14:textId="77777777" w:rsidR="00C21702" w:rsidRPr="00E01AC5" w:rsidRDefault="00C21702" w:rsidP="00C21702">
            <w:pPr>
              <w:jc w:val="center"/>
              <w:rPr>
                <w:color w:val="000000"/>
                <w:sz w:val="24"/>
                <w:szCs w:val="24"/>
              </w:rPr>
            </w:pPr>
            <w:r w:rsidRPr="00E01AC5">
              <w:rPr>
                <w:color w:val="000000"/>
                <w:sz w:val="24"/>
                <w:szCs w:val="24"/>
              </w:rPr>
              <w:t>4</w:t>
            </w:r>
          </w:p>
        </w:tc>
        <w:tc>
          <w:tcPr>
            <w:tcW w:w="1507" w:type="dxa"/>
            <w:tcBorders>
              <w:top w:val="nil"/>
              <w:left w:val="nil"/>
              <w:bottom w:val="single" w:sz="4" w:space="0" w:color="auto"/>
              <w:right w:val="single" w:sz="4" w:space="0" w:color="auto"/>
            </w:tcBorders>
            <w:shd w:val="clear" w:color="auto" w:fill="auto"/>
            <w:noWrap/>
            <w:vAlign w:val="bottom"/>
            <w:hideMark/>
          </w:tcPr>
          <w:p w14:paraId="6B850F7E"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AB035CE" w14:textId="12CB634B" w:rsidR="00C21702" w:rsidRPr="005D14EA" w:rsidRDefault="00C21702" w:rsidP="00C21702">
            <w:pPr>
              <w:jc w:val="center"/>
              <w:rPr>
                <w:sz w:val="24"/>
                <w:szCs w:val="24"/>
              </w:rPr>
            </w:pPr>
            <w:r w:rsidRPr="000A1BA0">
              <w:rPr>
                <w:sz w:val="24"/>
                <w:szCs w:val="24"/>
              </w:rPr>
              <w:t>451.958</w:t>
            </w:r>
          </w:p>
        </w:tc>
        <w:tc>
          <w:tcPr>
            <w:tcW w:w="1265" w:type="dxa"/>
            <w:tcBorders>
              <w:top w:val="nil"/>
              <w:left w:val="nil"/>
              <w:bottom w:val="single" w:sz="4" w:space="0" w:color="auto"/>
              <w:right w:val="single" w:sz="4" w:space="0" w:color="auto"/>
            </w:tcBorders>
            <w:shd w:val="clear" w:color="auto" w:fill="auto"/>
            <w:noWrap/>
            <w:vAlign w:val="bottom"/>
            <w:hideMark/>
          </w:tcPr>
          <w:p w14:paraId="050D025F" w14:textId="2BE8E327"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5F20A484" w14:textId="205F244A" w:rsidR="00C21702" w:rsidRPr="00E01AC5" w:rsidRDefault="00C21702" w:rsidP="00C21702">
            <w:pPr>
              <w:jc w:val="center"/>
              <w:rPr>
                <w:sz w:val="24"/>
                <w:szCs w:val="24"/>
              </w:rPr>
            </w:pPr>
            <w:r w:rsidRPr="00C21702">
              <w:rPr>
                <w:sz w:val="24"/>
                <w:szCs w:val="24"/>
              </w:rPr>
              <w:t>R$ 409.074,64</w:t>
            </w:r>
          </w:p>
        </w:tc>
      </w:tr>
      <w:tr w:rsidR="00C21702" w:rsidRPr="00E01AC5" w14:paraId="4C9F1C86"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6A89B7F" w14:textId="77777777" w:rsidR="00C21702" w:rsidRPr="00E01AC5" w:rsidRDefault="00C21702" w:rsidP="00C21702">
            <w:pPr>
              <w:jc w:val="center"/>
              <w:rPr>
                <w:color w:val="000000"/>
                <w:sz w:val="24"/>
                <w:szCs w:val="24"/>
              </w:rPr>
            </w:pPr>
            <w:r w:rsidRPr="00E01AC5">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3D6256BE"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00A68E52" w14:textId="5600A58F" w:rsidR="00C21702" w:rsidRPr="005D14EA" w:rsidRDefault="00C21702" w:rsidP="00C21702">
            <w:pPr>
              <w:jc w:val="center"/>
              <w:rPr>
                <w:sz w:val="24"/>
                <w:szCs w:val="24"/>
              </w:rPr>
            </w:pPr>
            <w:r w:rsidRPr="000A1BA0">
              <w:rPr>
                <w:sz w:val="24"/>
                <w:szCs w:val="24"/>
              </w:rPr>
              <w:t>451.970</w:t>
            </w:r>
          </w:p>
        </w:tc>
        <w:tc>
          <w:tcPr>
            <w:tcW w:w="1265" w:type="dxa"/>
            <w:tcBorders>
              <w:top w:val="nil"/>
              <w:left w:val="nil"/>
              <w:bottom w:val="single" w:sz="4" w:space="0" w:color="auto"/>
              <w:right w:val="single" w:sz="4" w:space="0" w:color="auto"/>
            </w:tcBorders>
            <w:shd w:val="clear" w:color="auto" w:fill="auto"/>
            <w:noWrap/>
            <w:vAlign w:val="bottom"/>
            <w:hideMark/>
          </w:tcPr>
          <w:p w14:paraId="10AE845B" w14:textId="00FC2A56"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1218631D" w14:textId="64F0DC03" w:rsidR="00C21702" w:rsidRPr="00E01AC5" w:rsidRDefault="00C21702" w:rsidP="00C21702">
            <w:pPr>
              <w:jc w:val="center"/>
              <w:rPr>
                <w:sz w:val="24"/>
                <w:szCs w:val="24"/>
              </w:rPr>
            </w:pPr>
            <w:r w:rsidRPr="00C21702">
              <w:rPr>
                <w:sz w:val="24"/>
                <w:szCs w:val="24"/>
              </w:rPr>
              <w:t>R$ 409.074,64</w:t>
            </w:r>
          </w:p>
        </w:tc>
      </w:tr>
      <w:tr w:rsidR="00C21702" w:rsidRPr="00E01AC5" w14:paraId="06C5C3D2"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161FBB" w14:textId="77777777" w:rsidR="00C21702" w:rsidRPr="00E01AC5" w:rsidRDefault="00C21702" w:rsidP="00C21702">
            <w:pPr>
              <w:jc w:val="center"/>
              <w:rPr>
                <w:color w:val="000000"/>
                <w:sz w:val="24"/>
                <w:szCs w:val="24"/>
              </w:rPr>
            </w:pPr>
            <w:r w:rsidRPr="00E01AC5">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ECBF909"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521DBFA3" w14:textId="55A623D0" w:rsidR="00C21702" w:rsidRPr="005D14EA" w:rsidRDefault="00C21702" w:rsidP="00C21702">
            <w:pPr>
              <w:jc w:val="center"/>
              <w:rPr>
                <w:sz w:val="24"/>
                <w:szCs w:val="24"/>
              </w:rPr>
            </w:pPr>
            <w:r w:rsidRPr="000A1BA0">
              <w:rPr>
                <w:sz w:val="24"/>
                <w:szCs w:val="24"/>
              </w:rPr>
              <w:t>451.990</w:t>
            </w:r>
          </w:p>
        </w:tc>
        <w:tc>
          <w:tcPr>
            <w:tcW w:w="1265" w:type="dxa"/>
            <w:tcBorders>
              <w:top w:val="nil"/>
              <w:left w:val="nil"/>
              <w:bottom w:val="single" w:sz="4" w:space="0" w:color="auto"/>
              <w:right w:val="single" w:sz="4" w:space="0" w:color="auto"/>
            </w:tcBorders>
            <w:shd w:val="clear" w:color="auto" w:fill="auto"/>
            <w:noWrap/>
            <w:vAlign w:val="bottom"/>
            <w:hideMark/>
          </w:tcPr>
          <w:p w14:paraId="5A4DA33C" w14:textId="2450CBFF"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6F7C1886" w14:textId="4AAECC54" w:rsidR="00C21702" w:rsidRPr="00E01AC5" w:rsidRDefault="00C21702" w:rsidP="00C21702">
            <w:pPr>
              <w:jc w:val="center"/>
              <w:rPr>
                <w:sz w:val="24"/>
                <w:szCs w:val="24"/>
              </w:rPr>
            </w:pPr>
            <w:r w:rsidRPr="00C21702">
              <w:rPr>
                <w:sz w:val="24"/>
                <w:szCs w:val="24"/>
              </w:rPr>
              <w:t>R$ 409.074,64</w:t>
            </w:r>
          </w:p>
        </w:tc>
      </w:tr>
      <w:tr w:rsidR="00C21702" w:rsidRPr="00E01AC5" w14:paraId="7F9BFDD7"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BF5FB92" w14:textId="77777777" w:rsidR="00C21702" w:rsidRPr="00E01AC5" w:rsidRDefault="00C21702" w:rsidP="00C21702">
            <w:pPr>
              <w:jc w:val="center"/>
              <w:rPr>
                <w:color w:val="000000"/>
                <w:sz w:val="24"/>
                <w:szCs w:val="24"/>
              </w:rPr>
            </w:pPr>
            <w:r w:rsidRPr="00E01AC5">
              <w:rPr>
                <w:color w:val="000000"/>
                <w:sz w:val="24"/>
                <w:szCs w:val="24"/>
              </w:rPr>
              <w:t>7</w:t>
            </w:r>
          </w:p>
        </w:tc>
        <w:tc>
          <w:tcPr>
            <w:tcW w:w="1507" w:type="dxa"/>
            <w:tcBorders>
              <w:top w:val="nil"/>
              <w:left w:val="nil"/>
              <w:bottom w:val="single" w:sz="4" w:space="0" w:color="auto"/>
              <w:right w:val="single" w:sz="4" w:space="0" w:color="auto"/>
            </w:tcBorders>
            <w:shd w:val="clear" w:color="auto" w:fill="auto"/>
            <w:noWrap/>
            <w:vAlign w:val="bottom"/>
            <w:hideMark/>
          </w:tcPr>
          <w:p w14:paraId="56C0F74A"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43DBB769" w14:textId="5EF4FEDD" w:rsidR="00C21702" w:rsidRPr="005D14EA" w:rsidRDefault="00C21702" w:rsidP="00C21702">
            <w:pPr>
              <w:jc w:val="center"/>
              <w:rPr>
                <w:sz w:val="24"/>
                <w:szCs w:val="24"/>
              </w:rPr>
            </w:pPr>
            <w:r w:rsidRPr="000A1BA0">
              <w:rPr>
                <w:sz w:val="24"/>
                <w:szCs w:val="24"/>
              </w:rPr>
              <w:t>451.991</w:t>
            </w:r>
          </w:p>
        </w:tc>
        <w:tc>
          <w:tcPr>
            <w:tcW w:w="1265" w:type="dxa"/>
            <w:tcBorders>
              <w:top w:val="nil"/>
              <w:left w:val="nil"/>
              <w:bottom w:val="single" w:sz="4" w:space="0" w:color="auto"/>
              <w:right w:val="single" w:sz="4" w:space="0" w:color="auto"/>
            </w:tcBorders>
            <w:shd w:val="clear" w:color="auto" w:fill="auto"/>
            <w:noWrap/>
            <w:vAlign w:val="bottom"/>
            <w:hideMark/>
          </w:tcPr>
          <w:p w14:paraId="5F1815B4" w14:textId="1EBB2642"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3A057D12" w14:textId="0CB77078" w:rsidR="00C21702" w:rsidRPr="00E01AC5" w:rsidRDefault="00C21702" w:rsidP="00C21702">
            <w:pPr>
              <w:jc w:val="center"/>
              <w:rPr>
                <w:sz w:val="24"/>
                <w:szCs w:val="24"/>
              </w:rPr>
            </w:pPr>
            <w:r w:rsidRPr="00C21702">
              <w:rPr>
                <w:sz w:val="24"/>
                <w:szCs w:val="24"/>
              </w:rPr>
              <w:t>R$ 409.074,64</w:t>
            </w:r>
          </w:p>
        </w:tc>
      </w:tr>
      <w:tr w:rsidR="00C21702" w:rsidRPr="00E01AC5" w14:paraId="7B9E5769"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E662D4C" w14:textId="77777777" w:rsidR="00C21702" w:rsidRPr="00E01AC5" w:rsidRDefault="00C21702" w:rsidP="00C21702">
            <w:pPr>
              <w:jc w:val="center"/>
              <w:rPr>
                <w:color w:val="000000"/>
                <w:sz w:val="24"/>
                <w:szCs w:val="24"/>
              </w:rPr>
            </w:pPr>
            <w:r w:rsidRPr="00E01AC5">
              <w:rPr>
                <w:color w:val="000000"/>
                <w:sz w:val="24"/>
                <w:szCs w:val="24"/>
              </w:rPr>
              <w:t>8</w:t>
            </w:r>
          </w:p>
        </w:tc>
        <w:tc>
          <w:tcPr>
            <w:tcW w:w="1507" w:type="dxa"/>
            <w:tcBorders>
              <w:top w:val="nil"/>
              <w:left w:val="nil"/>
              <w:bottom w:val="single" w:sz="4" w:space="0" w:color="auto"/>
              <w:right w:val="single" w:sz="4" w:space="0" w:color="auto"/>
            </w:tcBorders>
            <w:shd w:val="clear" w:color="auto" w:fill="auto"/>
            <w:noWrap/>
            <w:vAlign w:val="bottom"/>
            <w:hideMark/>
          </w:tcPr>
          <w:p w14:paraId="50E490C1"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B921547" w14:textId="70AED316" w:rsidR="00C21702" w:rsidRPr="005D14EA" w:rsidRDefault="00AD3C62" w:rsidP="00C21702">
            <w:pPr>
              <w:jc w:val="center"/>
              <w:rPr>
                <w:sz w:val="24"/>
                <w:szCs w:val="24"/>
              </w:rPr>
            </w:pPr>
            <w:r w:rsidRPr="000A1BA0">
              <w:rPr>
                <w:sz w:val="24"/>
                <w:szCs w:val="24"/>
              </w:rPr>
              <w:t>45</w:t>
            </w:r>
            <w:r>
              <w:rPr>
                <w:sz w:val="24"/>
                <w:szCs w:val="24"/>
              </w:rPr>
              <w:t>2</w:t>
            </w:r>
            <w:r w:rsidR="00C21702" w:rsidRPr="000A1BA0">
              <w:rPr>
                <w:sz w:val="24"/>
                <w:szCs w:val="24"/>
              </w:rPr>
              <w:t>.077</w:t>
            </w:r>
          </w:p>
        </w:tc>
        <w:tc>
          <w:tcPr>
            <w:tcW w:w="1265" w:type="dxa"/>
            <w:tcBorders>
              <w:top w:val="nil"/>
              <w:left w:val="nil"/>
              <w:bottom w:val="single" w:sz="4" w:space="0" w:color="auto"/>
              <w:right w:val="single" w:sz="4" w:space="0" w:color="auto"/>
            </w:tcBorders>
            <w:shd w:val="clear" w:color="auto" w:fill="auto"/>
            <w:noWrap/>
            <w:vAlign w:val="bottom"/>
            <w:hideMark/>
          </w:tcPr>
          <w:p w14:paraId="5E47247A" w14:textId="7FB4A6E0"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6A4F3482" w14:textId="5072E4AC" w:rsidR="00C21702" w:rsidRPr="00E01AC5" w:rsidRDefault="00C21702" w:rsidP="00C21702">
            <w:pPr>
              <w:jc w:val="center"/>
              <w:rPr>
                <w:sz w:val="24"/>
                <w:szCs w:val="24"/>
              </w:rPr>
            </w:pPr>
            <w:r w:rsidRPr="00C21702">
              <w:rPr>
                <w:sz w:val="24"/>
                <w:szCs w:val="24"/>
              </w:rPr>
              <w:t>R$ 409.074,64</w:t>
            </w:r>
          </w:p>
        </w:tc>
      </w:tr>
      <w:tr w:rsidR="005D14EA" w:rsidRPr="00E01AC5" w14:paraId="3CEE40D5"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48C3E79" w14:textId="77777777" w:rsidR="005D14EA" w:rsidRPr="00E01AC5" w:rsidRDefault="005D14EA" w:rsidP="005D14EA">
            <w:pPr>
              <w:jc w:val="center"/>
              <w:rPr>
                <w:color w:val="000000"/>
                <w:sz w:val="24"/>
                <w:szCs w:val="24"/>
              </w:rPr>
            </w:pPr>
            <w:r w:rsidRPr="00E01AC5">
              <w:rPr>
                <w:color w:val="000000"/>
                <w:sz w:val="24"/>
                <w:szCs w:val="24"/>
              </w:rPr>
              <w:t>9</w:t>
            </w:r>
          </w:p>
        </w:tc>
        <w:tc>
          <w:tcPr>
            <w:tcW w:w="1507" w:type="dxa"/>
            <w:tcBorders>
              <w:top w:val="nil"/>
              <w:left w:val="nil"/>
              <w:bottom w:val="single" w:sz="4" w:space="0" w:color="auto"/>
              <w:right w:val="single" w:sz="4" w:space="0" w:color="auto"/>
            </w:tcBorders>
            <w:shd w:val="clear" w:color="auto" w:fill="auto"/>
            <w:noWrap/>
            <w:vAlign w:val="bottom"/>
            <w:hideMark/>
          </w:tcPr>
          <w:p w14:paraId="13456E05"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99A62EC" w14:textId="0620B00F" w:rsidR="005D14EA" w:rsidRPr="005D14EA" w:rsidRDefault="005D14EA" w:rsidP="005D14EA">
            <w:pPr>
              <w:jc w:val="center"/>
              <w:rPr>
                <w:sz w:val="24"/>
                <w:szCs w:val="24"/>
              </w:rPr>
            </w:pPr>
            <w:r w:rsidRPr="000A1BA0">
              <w:rPr>
                <w:sz w:val="24"/>
                <w:szCs w:val="24"/>
              </w:rPr>
              <w:t>465.292</w:t>
            </w:r>
          </w:p>
        </w:tc>
        <w:tc>
          <w:tcPr>
            <w:tcW w:w="1265" w:type="dxa"/>
            <w:tcBorders>
              <w:top w:val="nil"/>
              <w:left w:val="nil"/>
              <w:bottom w:val="single" w:sz="4" w:space="0" w:color="auto"/>
              <w:right w:val="single" w:sz="4" w:space="0" w:color="auto"/>
            </w:tcBorders>
            <w:shd w:val="clear" w:color="auto" w:fill="auto"/>
            <w:noWrap/>
            <w:vAlign w:val="bottom"/>
            <w:hideMark/>
          </w:tcPr>
          <w:p w14:paraId="62D1DEE9" w14:textId="4D395C83" w:rsidR="005D14EA" w:rsidRPr="00E01AC5" w:rsidRDefault="00C21702" w:rsidP="005D14EA">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28616F0E" w14:textId="6896E7D1" w:rsidR="005D14EA" w:rsidRPr="00E01AC5" w:rsidRDefault="00C21702" w:rsidP="005D14EA">
            <w:pPr>
              <w:jc w:val="center"/>
              <w:rPr>
                <w:sz w:val="24"/>
                <w:szCs w:val="24"/>
              </w:rPr>
            </w:pPr>
            <w:r w:rsidRPr="00C21702">
              <w:rPr>
                <w:sz w:val="24"/>
                <w:szCs w:val="24"/>
              </w:rPr>
              <w:t>R$ 852.501,44</w:t>
            </w:r>
          </w:p>
        </w:tc>
      </w:tr>
      <w:tr w:rsidR="00C21702" w:rsidRPr="00E01AC5" w14:paraId="368661E3"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B39EF91" w14:textId="77777777" w:rsidR="00C21702" w:rsidRPr="00E01AC5" w:rsidRDefault="00C21702" w:rsidP="00C21702">
            <w:pPr>
              <w:jc w:val="center"/>
              <w:rPr>
                <w:color w:val="000000"/>
                <w:sz w:val="24"/>
                <w:szCs w:val="24"/>
              </w:rPr>
            </w:pPr>
            <w:r w:rsidRPr="00E01AC5">
              <w:rPr>
                <w:color w:val="000000"/>
                <w:sz w:val="24"/>
                <w:szCs w:val="24"/>
              </w:rPr>
              <w:t>10</w:t>
            </w:r>
          </w:p>
        </w:tc>
        <w:tc>
          <w:tcPr>
            <w:tcW w:w="1507" w:type="dxa"/>
            <w:tcBorders>
              <w:top w:val="nil"/>
              <w:left w:val="nil"/>
              <w:bottom w:val="single" w:sz="4" w:space="0" w:color="auto"/>
              <w:right w:val="single" w:sz="4" w:space="0" w:color="auto"/>
            </w:tcBorders>
            <w:shd w:val="clear" w:color="auto" w:fill="auto"/>
            <w:noWrap/>
            <w:vAlign w:val="bottom"/>
            <w:hideMark/>
          </w:tcPr>
          <w:p w14:paraId="18A84C65"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0B877372" w14:textId="49DE8373" w:rsidR="00C21702" w:rsidRPr="005D14EA" w:rsidRDefault="00C21702" w:rsidP="00C21702">
            <w:pPr>
              <w:jc w:val="center"/>
              <w:rPr>
                <w:sz w:val="24"/>
                <w:szCs w:val="24"/>
              </w:rPr>
            </w:pPr>
            <w:r w:rsidRPr="000A1BA0">
              <w:rPr>
                <w:sz w:val="24"/>
                <w:szCs w:val="24"/>
              </w:rPr>
              <w:t>465.306</w:t>
            </w:r>
          </w:p>
        </w:tc>
        <w:tc>
          <w:tcPr>
            <w:tcW w:w="1265" w:type="dxa"/>
            <w:tcBorders>
              <w:top w:val="nil"/>
              <w:left w:val="nil"/>
              <w:bottom w:val="single" w:sz="4" w:space="0" w:color="auto"/>
              <w:right w:val="single" w:sz="4" w:space="0" w:color="auto"/>
            </w:tcBorders>
            <w:shd w:val="clear" w:color="auto" w:fill="auto"/>
            <w:noWrap/>
            <w:vAlign w:val="bottom"/>
            <w:hideMark/>
          </w:tcPr>
          <w:p w14:paraId="66648B18" w14:textId="6E806B1B"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3A38F7C7" w14:textId="4F99DF79" w:rsidR="00C21702" w:rsidRPr="00E01AC5" w:rsidRDefault="00C21702" w:rsidP="00C21702">
            <w:pPr>
              <w:jc w:val="center"/>
              <w:rPr>
                <w:sz w:val="24"/>
                <w:szCs w:val="24"/>
              </w:rPr>
            </w:pPr>
            <w:r w:rsidRPr="00C21702">
              <w:rPr>
                <w:sz w:val="24"/>
                <w:szCs w:val="24"/>
              </w:rPr>
              <w:t>R$ 852.501,44</w:t>
            </w:r>
          </w:p>
        </w:tc>
      </w:tr>
      <w:tr w:rsidR="00C21702" w:rsidRPr="00E01AC5" w14:paraId="37BC2FC1"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C661E13" w14:textId="77777777" w:rsidR="00C21702" w:rsidRPr="00E01AC5" w:rsidRDefault="00C21702" w:rsidP="00C21702">
            <w:pPr>
              <w:jc w:val="center"/>
              <w:rPr>
                <w:color w:val="000000"/>
                <w:sz w:val="24"/>
                <w:szCs w:val="24"/>
              </w:rPr>
            </w:pPr>
            <w:r w:rsidRPr="00E01AC5">
              <w:rPr>
                <w:color w:val="000000"/>
                <w:sz w:val="24"/>
                <w:szCs w:val="24"/>
              </w:rPr>
              <w:t>11</w:t>
            </w:r>
          </w:p>
        </w:tc>
        <w:tc>
          <w:tcPr>
            <w:tcW w:w="1507" w:type="dxa"/>
            <w:tcBorders>
              <w:top w:val="nil"/>
              <w:left w:val="nil"/>
              <w:bottom w:val="single" w:sz="4" w:space="0" w:color="auto"/>
              <w:right w:val="single" w:sz="4" w:space="0" w:color="auto"/>
            </w:tcBorders>
            <w:shd w:val="clear" w:color="auto" w:fill="auto"/>
            <w:noWrap/>
            <w:vAlign w:val="bottom"/>
            <w:hideMark/>
          </w:tcPr>
          <w:p w14:paraId="549CAC39"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1987E113" w14:textId="06F64577" w:rsidR="00C21702" w:rsidRPr="005D14EA" w:rsidRDefault="00C21702" w:rsidP="00C21702">
            <w:pPr>
              <w:jc w:val="center"/>
              <w:rPr>
                <w:sz w:val="24"/>
                <w:szCs w:val="24"/>
              </w:rPr>
            </w:pPr>
            <w:r w:rsidRPr="000A1BA0">
              <w:rPr>
                <w:sz w:val="24"/>
                <w:szCs w:val="24"/>
              </w:rPr>
              <w:t>465.314</w:t>
            </w:r>
          </w:p>
        </w:tc>
        <w:tc>
          <w:tcPr>
            <w:tcW w:w="1265" w:type="dxa"/>
            <w:tcBorders>
              <w:top w:val="nil"/>
              <w:left w:val="nil"/>
              <w:bottom w:val="single" w:sz="4" w:space="0" w:color="auto"/>
              <w:right w:val="single" w:sz="4" w:space="0" w:color="auto"/>
            </w:tcBorders>
            <w:shd w:val="clear" w:color="auto" w:fill="auto"/>
            <w:noWrap/>
            <w:vAlign w:val="bottom"/>
            <w:hideMark/>
          </w:tcPr>
          <w:p w14:paraId="0CD24BA1" w14:textId="0A3B5D1C"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7AAC1C07" w14:textId="226FC055" w:rsidR="00C21702" w:rsidRPr="00E01AC5" w:rsidRDefault="00C21702" w:rsidP="00C21702">
            <w:pPr>
              <w:jc w:val="center"/>
              <w:rPr>
                <w:sz w:val="24"/>
                <w:szCs w:val="24"/>
              </w:rPr>
            </w:pPr>
            <w:r w:rsidRPr="00C21702">
              <w:rPr>
                <w:sz w:val="24"/>
                <w:szCs w:val="24"/>
              </w:rPr>
              <w:t>R$ 852.501,44</w:t>
            </w:r>
          </w:p>
        </w:tc>
      </w:tr>
      <w:tr w:rsidR="00C21702" w:rsidRPr="00E01AC5" w14:paraId="3F7D5D29"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980D8A7" w14:textId="77777777" w:rsidR="00C21702" w:rsidRPr="00E01AC5" w:rsidRDefault="00C21702" w:rsidP="00C21702">
            <w:pPr>
              <w:jc w:val="center"/>
              <w:rPr>
                <w:color w:val="000000"/>
                <w:sz w:val="24"/>
                <w:szCs w:val="24"/>
              </w:rPr>
            </w:pPr>
            <w:r w:rsidRPr="00E01AC5">
              <w:rPr>
                <w:color w:val="000000"/>
                <w:sz w:val="24"/>
                <w:szCs w:val="24"/>
              </w:rPr>
              <w:t>12</w:t>
            </w:r>
          </w:p>
        </w:tc>
        <w:tc>
          <w:tcPr>
            <w:tcW w:w="1507" w:type="dxa"/>
            <w:tcBorders>
              <w:top w:val="nil"/>
              <w:left w:val="nil"/>
              <w:bottom w:val="single" w:sz="4" w:space="0" w:color="auto"/>
              <w:right w:val="single" w:sz="4" w:space="0" w:color="auto"/>
            </w:tcBorders>
            <w:shd w:val="clear" w:color="auto" w:fill="auto"/>
            <w:noWrap/>
            <w:vAlign w:val="bottom"/>
            <w:hideMark/>
          </w:tcPr>
          <w:p w14:paraId="6F045AD4"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151D60E4" w14:textId="64C78DEA" w:rsidR="00C21702" w:rsidRPr="005D14EA" w:rsidRDefault="00C21702" w:rsidP="00C21702">
            <w:pPr>
              <w:jc w:val="center"/>
              <w:rPr>
                <w:sz w:val="24"/>
                <w:szCs w:val="24"/>
              </w:rPr>
            </w:pPr>
            <w:r w:rsidRPr="000A1BA0">
              <w:rPr>
                <w:sz w:val="24"/>
                <w:szCs w:val="24"/>
              </w:rPr>
              <w:t>465.316</w:t>
            </w:r>
          </w:p>
        </w:tc>
        <w:tc>
          <w:tcPr>
            <w:tcW w:w="1265" w:type="dxa"/>
            <w:tcBorders>
              <w:top w:val="nil"/>
              <w:left w:val="nil"/>
              <w:bottom w:val="single" w:sz="4" w:space="0" w:color="auto"/>
              <w:right w:val="single" w:sz="4" w:space="0" w:color="auto"/>
            </w:tcBorders>
            <w:shd w:val="clear" w:color="auto" w:fill="auto"/>
            <w:noWrap/>
            <w:vAlign w:val="bottom"/>
            <w:hideMark/>
          </w:tcPr>
          <w:p w14:paraId="231AD7A2" w14:textId="0838D969"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57CF1C4B" w14:textId="07F944B3" w:rsidR="00C21702" w:rsidRPr="00E01AC5" w:rsidRDefault="00C21702" w:rsidP="00C21702">
            <w:pPr>
              <w:jc w:val="center"/>
              <w:rPr>
                <w:sz w:val="24"/>
                <w:szCs w:val="24"/>
              </w:rPr>
            </w:pPr>
            <w:r w:rsidRPr="00C21702">
              <w:rPr>
                <w:sz w:val="24"/>
                <w:szCs w:val="24"/>
              </w:rPr>
              <w:t>R$ 852.501,44</w:t>
            </w:r>
          </w:p>
        </w:tc>
      </w:tr>
      <w:tr w:rsidR="00C21702" w:rsidRPr="00E01AC5" w14:paraId="5833AB25"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76BC7A9" w14:textId="77777777" w:rsidR="00C21702" w:rsidRPr="00E01AC5" w:rsidRDefault="00C21702" w:rsidP="00C21702">
            <w:pPr>
              <w:jc w:val="center"/>
              <w:rPr>
                <w:color w:val="000000"/>
                <w:sz w:val="24"/>
                <w:szCs w:val="24"/>
              </w:rPr>
            </w:pPr>
            <w:r w:rsidRPr="00E01AC5">
              <w:rPr>
                <w:color w:val="000000"/>
                <w:sz w:val="24"/>
                <w:szCs w:val="24"/>
              </w:rPr>
              <w:t>13</w:t>
            </w:r>
          </w:p>
        </w:tc>
        <w:tc>
          <w:tcPr>
            <w:tcW w:w="1507" w:type="dxa"/>
            <w:tcBorders>
              <w:top w:val="nil"/>
              <w:left w:val="nil"/>
              <w:bottom w:val="single" w:sz="4" w:space="0" w:color="auto"/>
              <w:right w:val="single" w:sz="4" w:space="0" w:color="auto"/>
            </w:tcBorders>
            <w:shd w:val="clear" w:color="auto" w:fill="auto"/>
            <w:noWrap/>
            <w:vAlign w:val="bottom"/>
            <w:hideMark/>
          </w:tcPr>
          <w:p w14:paraId="0CD7691A"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3EE7C198" w14:textId="691496E6" w:rsidR="00C21702" w:rsidRPr="005D14EA" w:rsidRDefault="00C21702" w:rsidP="00C21702">
            <w:pPr>
              <w:jc w:val="center"/>
              <w:rPr>
                <w:sz w:val="24"/>
                <w:szCs w:val="24"/>
              </w:rPr>
            </w:pPr>
            <w:r w:rsidRPr="000A1BA0">
              <w:rPr>
                <w:sz w:val="24"/>
                <w:szCs w:val="24"/>
              </w:rPr>
              <w:t>465.318</w:t>
            </w:r>
          </w:p>
        </w:tc>
        <w:tc>
          <w:tcPr>
            <w:tcW w:w="1265" w:type="dxa"/>
            <w:tcBorders>
              <w:top w:val="nil"/>
              <w:left w:val="nil"/>
              <w:bottom w:val="single" w:sz="4" w:space="0" w:color="auto"/>
              <w:right w:val="single" w:sz="4" w:space="0" w:color="auto"/>
            </w:tcBorders>
            <w:shd w:val="clear" w:color="auto" w:fill="auto"/>
            <w:noWrap/>
            <w:vAlign w:val="bottom"/>
            <w:hideMark/>
          </w:tcPr>
          <w:p w14:paraId="5BFAB211" w14:textId="5C1C3A9A"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3B8E2BD0" w14:textId="42011AE9" w:rsidR="00C21702" w:rsidRPr="00E01AC5" w:rsidRDefault="00C21702" w:rsidP="00C21702">
            <w:pPr>
              <w:jc w:val="center"/>
              <w:rPr>
                <w:sz w:val="24"/>
                <w:szCs w:val="24"/>
              </w:rPr>
            </w:pPr>
            <w:r w:rsidRPr="00C21702">
              <w:rPr>
                <w:sz w:val="24"/>
                <w:szCs w:val="24"/>
              </w:rPr>
              <w:t>R$ 852.501,44</w:t>
            </w:r>
          </w:p>
        </w:tc>
      </w:tr>
      <w:tr w:rsidR="00C21702" w:rsidRPr="00E01AC5" w14:paraId="01405436"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1398973" w14:textId="77777777" w:rsidR="00C21702" w:rsidRPr="00E01AC5" w:rsidRDefault="00C21702" w:rsidP="00C21702">
            <w:pPr>
              <w:jc w:val="center"/>
              <w:rPr>
                <w:color w:val="000000"/>
                <w:sz w:val="24"/>
                <w:szCs w:val="24"/>
              </w:rPr>
            </w:pPr>
            <w:r w:rsidRPr="00E01AC5">
              <w:rPr>
                <w:color w:val="000000"/>
                <w:sz w:val="24"/>
                <w:szCs w:val="24"/>
              </w:rPr>
              <w:t>14</w:t>
            </w:r>
          </w:p>
        </w:tc>
        <w:tc>
          <w:tcPr>
            <w:tcW w:w="1507" w:type="dxa"/>
            <w:tcBorders>
              <w:top w:val="nil"/>
              <w:left w:val="nil"/>
              <w:bottom w:val="single" w:sz="4" w:space="0" w:color="auto"/>
              <w:right w:val="single" w:sz="4" w:space="0" w:color="auto"/>
            </w:tcBorders>
            <w:shd w:val="clear" w:color="auto" w:fill="auto"/>
            <w:noWrap/>
            <w:vAlign w:val="bottom"/>
            <w:hideMark/>
          </w:tcPr>
          <w:p w14:paraId="275AE6E8"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5591BDC" w14:textId="54FF7D5A" w:rsidR="00C21702" w:rsidRPr="005D14EA" w:rsidRDefault="00C21702" w:rsidP="00C21702">
            <w:pPr>
              <w:jc w:val="center"/>
              <w:rPr>
                <w:sz w:val="24"/>
                <w:szCs w:val="24"/>
              </w:rPr>
            </w:pPr>
            <w:r w:rsidRPr="000A1BA0">
              <w:rPr>
                <w:sz w:val="24"/>
                <w:szCs w:val="24"/>
              </w:rPr>
              <w:t>465.322</w:t>
            </w:r>
          </w:p>
        </w:tc>
        <w:tc>
          <w:tcPr>
            <w:tcW w:w="1265" w:type="dxa"/>
            <w:tcBorders>
              <w:top w:val="nil"/>
              <w:left w:val="nil"/>
              <w:bottom w:val="single" w:sz="4" w:space="0" w:color="auto"/>
              <w:right w:val="single" w:sz="4" w:space="0" w:color="auto"/>
            </w:tcBorders>
            <w:shd w:val="clear" w:color="auto" w:fill="auto"/>
            <w:noWrap/>
            <w:vAlign w:val="bottom"/>
            <w:hideMark/>
          </w:tcPr>
          <w:p w14:paraId="268EAF00" w14:textId="1AB54F53"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4ADC51F0" w14:textId="38B0F533" w:rsidR="00C21702" w:rsidRPr="00E01AC5" w:rsidRDefault="00C21702" w:rsidP="00C21702">
            <w:pPr>
              <w:jc w:val="center"/>
              <w:rPr>
                <w:sz w:val="24"/>
                <w:szCs w:val="24"/>
              </w:rPr>
            </w:pPr>
            <w:r w:rsidRPr="00C21702">
              <w:rPr>
                <w:sz w:val="24"/>
                <w:szCs w:val="24"/>
              </w:rPr>
              <w:t>R$ 852.501,44</w:t>
            </w:r>
          </w:p>
        </w:tc>
      </w:tr>
      <w:tr w:rsidR="00C21702" w:rsidRPr="00E01AC5" w14:paraId="55637BB5"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BEB3DF0" w14:textId="77777777" w:rsidR="00C21702" w:rsidRPr="00E01AC5" w:rsidRDefault="00C21702" w:rsidP="00C21702">
            <w:pPr>
              <w:jc w:val="center"/>
              <w:rPr>
                <w:color w:val="000000"/>
                <w:sz w:val="24"/>
                <w:szCs w:val="24"/>
              </w:rPr>
            </w:pPr>
            <w:r w:rsidRPr="00E01AC5">
              <w:rPr>
                <w:color w:val="000000"/>
                <w:sz w:val="24"/>
                <w:szCs w:val="24"/>
              </w:rPr>
              <w:t>15</w:t>
            </w:r>
          </w:p>
        </w:tc>
        <w:tc>
          <w:tcPr>
            <w:tcW w:w="1507" w:type="dxa"/>
            <w:tcBorders>
              <w:top w:val="nil"/>
              <w:left w:val="nil"/>
              <w:bottom w:val="single" w:sz="4" w:space="0" w:color="auto"/>
              <w:right w:val="single" w:sz="4" w:space="0" w:color="auto"/>
            </w:tcBorders>
            <w:shd w:val="clear" w:color="auto" w:fill="auto"/>
            <w:noWrap/>
            <w:vAlign w:val="bottom"/>
            <w:hideMark/>
          </w:tcPr>
          <w:p w14:paraId="2AB3DB02"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50E5B142" w14:textId="5161BD2C" w:rsidR="00C21702" w:rsidRPr="005D14EA" w:rsidRDefault="00C21702" w:rsidP="00C21702">
            <w:pPr>
              <w:jc w:val="center"/>
              <w:rPr>
                <w:sz w:val="24"/>
                <w:szCs w:val="24"/>
              </w:rPr>
            </w:pPr>
            <w:r w:rsidRPr="000A1BA0">
              <w:rPr>
                <w:sz w:val="24"/>
                <w:szCs w:val="24"/>
              </w:rPr>
              <w:t>465.324</w:t>
            </w:r>
          </w:p>
        </w:tc>
        <w:tc>
          <w:tcPr>
            <w:tcW w:w="1265" w:type="dxa"/>
            <w:tcBorders>
              <w:top w:val="nil"/>
              <w:left w:val="nil"/>
              <w:bottom w:val="single" w:sz="4" w:space="0" w:color="auto"/>
              <w:right w:val="single" w:sz="4" w:space="0" w:color="auto"/>
            </w:tcBorders>
            <w:shd w:val="clear" w:color="auto" w:fill="auto"/>
            <w:noWrap/>
            <w:vAlign w:val="bottom"/>
            <w:hideMark/>
          </w:tcPr>
          <w:p w14:paraId="16CE04C9" w14:textId="6E79B1AC"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789A600B" w14:textId="4DA2078C" w:rsidR="00C21702" w:rsidRPr="00E01AC5" w:rsidRDefault="00C21702" w:rsidP="00C21702">
            <w:pPr>
              <w:jc w:val="center"/>
              <w:rPr>
                <w:sz w:val="24"/>
                <w:szCs w:val="24"/>
              </w:rPr>
            </w:pPr>
            <w:r w:rsidRPr="00C21702">
              <w:rPr>
                <w:sz w:val="24"/>
                <w:szCs w:val="24"/>
              </w:rPr>
              <w:t>R$ 852.501,44</w:t>
            </w:r>
          </w:p>
        </w:tc>
      </w:tr>
      <w:tr w:rsidR="00C21702" w:rsidRPr="00E01AC5" w14:paraId="3520C096"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48DB661" w14:textId="77777777" w:rsidR="00C21702" w:rsidRPr="00E01AC5" w:rsidRDefault="00C21702" w:rsidP="00C21702">
            <w:pPr>
              <w:jc w:val="center"/>
              <w:rPr>
                <w:color w:val="000000"/>
                <w:sz w:val="24"/>
                <w:szCs w:val="24"/>
              </w:rPr>
            </w:pPr>
            <w:r w:rsidRPr="00E01AC5">
              <w:rPr>
                <w:color w:val="000000"/>
                <w:sz w:val="24"/>
                <w:szCs w:val="24"/>
              </w:rPr>
              <w:t>16</w:t>
            </w:r>
          </w:p>
        </w:tc>
        <w:tc>
          <w:tcPr>
            <w:tcW w:w="1507" w:type="dxa"/>
            <w:tcBorders>
              <w:top w:val="nil"/>
              <w:left w:val="nil"/>
              <w:bottom w:val="single" w:sz="4" w:space="0" w:color="auto"/>
              <w:right w:val="single" w:sz="4" w:space="0" w:color="auto"/>
            </w:tcBorders>
            <w:shd w:val="clear" w:color="auto" w:fill="auto"/>
            <w:noWrap/>
            <w:vAlign w:val="bottom"/>
            <w:hideMark/>
          </w:tcPr>
          <w:p w14:paraId="2B9A8919"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28A4019" w14:textId="27EF5A2D" w:rsidR="00C21702" w:rsidRPr="005D14EA" w:rsidRDefault="00C21702" w:rsidP="00C21702">
            <w:pPr>
              <w:jc w:val="center"/>
              <w:rPr>
                <w:sz w:val="24"/>
                <w:szCs w:val="24"/>
              </w:rPr>
            </w:pPr>
            <w:r w:rsidRPr="000A1BA0">
              <w:rPr>
                <w:sz w:val="24"/>
                <w:szCs w:val="24"/>
              </w:rPr>
              <w:t>465.325</w:t>
            </w:r>
          </w:p>
        </w:tc>
        <w:tc>
          <w:tcPr>
            <w:tcW w:w="1265" w:type="dxa"/>
            <w:tcBorders>
              <w:top w:val="nil"/>
              <w:left w:val="nil"/>
              <w:bottom w:val="single" w:sz="4" w:space="0" w:color="auto"/>
              <w:right w:val="single" w:sz="4" w:space="0" w:color="auto"/>
            </w:tcBorders>
            <w:shd w:val="clear" w:color="auto" w:fill="auto"/>
            <w:noWrap/>
            <w:vAlign w:val="bottom"/>
            <w:hideMark/>
          </w:tcPr>
          <w:p w14:paraId="6CC9EBE0" w14:textId="4A62CFA5"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196AE6B1" w14:textId="4BC4C714" w:rsidR="00C21702" w:rsidRPr="00E01AC5" w:rsidRDefault="00C21702" w:rsidP="00C21702">
            <w:pPr>
              <w:jc w:val="center"/>
              <w:rPr>
                <w:sz w:val="24"/>
                <w:szCs w:val="24"/>
              </w:rPr>
            </w:pPr>
            <w:r w:rsidRPr="00C21702">
              <w:rPr>
                <w:sz w:val="24"/>
                <w:szCs w:val="24"/>
              </w:rPr>
              <w:t>R$ 852.501,44</w:t>
            </w:r>
          </w:p>
        </w:tc>
      </w:tr>
    </w:tbl>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53" w:name="_DV_M14"/>
      <w:bookmarkEnd w:id="153"/>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7C667B2C"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4" w:name="_Hlk56439300"/>
      <w:r w:rsidR="005D14EA">
        <w:rPr>
          <w:rFonts w:eastAsia="Batang"/>
          <w:b/>
          <w:sz w:val="24"/>
          <w:szCs w:val="24"/>
        </w:rPr>
        <w:t>VIRGO COMPANHIA DE SECURITIZAÇÃO</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54"/>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5D14EA">
        <w:rPr>
          <w:sz w:val="24"/>
          <w:szCs w:val="24"/>
        </w:rPr>
        <w:t>[●]</w:t>
      </w:r>
      <w:r w:rsidR="005D14EA" w:rsidRPr="00127C92">
        <w:rPr>
          <w:bCs/>
          <w:sz w:val="24"/>
          <w:szCs w:val="24"/>
        </w:rPr>
        <w:t xml:space="preserve"> </w:t>
      </w:r>
      <w:r w:rsidRPr="00127C92">
        <w:rPr>
          <w:bCs/>
          <w:sz w:val="24"/>
          <w:szCs w:val="24"/>
        </w:rPr>
        <w:t xml:space="preserve">de </w:t>
      </w:r>
      <w:r w:rsidR="005D14EA">
        <w:rPr>
          <w:sz w:val="24"/>
          <w:szCs w:val="24"/>
        </w:rPr>
        <w:t>agosto</w:t>
      </w:r>
      <w:r w:rsidR="005D14EA"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17181C">
        <w:rPr>
          <w:bCs/>
          <w:sz w:val="24"/>
          <w:szCs w:val="24"/>
        </w:rPr>
        <w:t xml:space="preserve">Exto </w:t>
      </w:r>
      <w:r w:rsidR="007B1E7A">
        <w:rPr>
          <w:bCs/>
          <w:sz w:val="24"/>
          <w:szCs w:val="24"/>
        </w:rPr>
        <w:t>Iris</w:t>
      </w:r>
      <w:r w:rsidR="00127C92" w:rsidRPr="0017181C">
        <w:rPr>
          <w:bCs/>
          <w:sz w:val="24"/>
          <w:szCs w:val="24"/>
        </w:rPr>
        <w:t xml:space="preserve"> Empreendimentos Imobiliários S</w:t>
      </w:r>
      <w:r w:rsidR="00127C92">
        <w:rPr>
          <w:bCs/>
          <w:sz w:val="24"/>
          <w:szCs w:val="24"/>
        </w:rPr>
        <w:t>PE</w:t>
      </w:r>
      <w:r w:rsidR="00127C92" w:rsidRPr="0017181C">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5D14EA">
        <w:rPr>
          <w:bCs/>
          <w:sz w:val="24"/>
          <w:szCs w:val="24"/>
        </w:rPr>
        <w:t xml:space="preserve">Anis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xml:space="preserve">, com interveniência e anuência da Exto Incorporações e Empreendimentos Imobiliários </w:t>
      </w:r>
      <w:r w:rsidR="007010B8">
        <w:rPr>
          <w:sz w:val="24"/>
          <w:szCs w:val="24"/>
        </w:rPr>
        <w:t>S.A</w:t>
      </w:r>
      <w:r w:rsidR="00E56B99" w:rsidRPr="004D2F04">
        <w:rPr>
          <w:sz w:val="24"/>
          <w:szCs w:val="24"/>
        </w:rPr>
        <w:t>.</w:t>
      </w:r>
      <w:r w:rsidRPr="004D2F04">
        <w:rPr>
          <w:bCs/>
          <w:sz w:val="24"/>
          <w:szCs w:val="24"/>
        </w:rPr>
        <w:t xml:space="preserve">: </w:t>
      </w:r>
      <w:r w:rsidR="005D14EA" w:rsidRPr="004D2F04">
        <w:rPr>
          <w:bCs/>
          <w:sz w:val="24"/>
          <w:szCs w:val="24"/>
        </w:rPr>
        <w:t>[</w:t>
      </w:r>
      <w:r w:rsidR="005D14EA" w:rsidRPr="000A1BA0">
        <w:rPr>
          <w:bCs/>
          <w:i/>
          <w:sz w:val="24"/>
          <w:szCs w:val="24"/>
        </w:rPr>
        <w:t>indicar os imóveis objeto de liberação</w:t>
      </w:r>
      <w:r w:rsidR="005D14EA" w:rsidRPr="004D2F04">
        <w:rPr>
          <w:bCs/>
          <w:sz w:val="24"/>
          <w:szCs w:val="24"/>
        </w:rPr>
        <w:t>]</w:t>
      </w:r>
      <w:r w:rsidR="005D14EA"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70C921DE" w:rsidR="0031129B" w:rsidRDefault="005D14EA" w:rsidP="00DC450F">
      <w:pPr>
        <w:pStyle w:val="Corpodetexto"/>
        <w:spacing w:after="240" w:line="312" w:lineRule="auto"/>
        <w:jc w:val="center"/>
        <w:rPr>
          <w:b/>
          <w:sz w:val="24"/>
          <w:szCs w:val="24"/>
          <w:highlight w:val="yellow"/>
          <w:lang w:val="pt-BR"/>
        </w:rPr>
      </w:pPr>
      <w:r>
        <w:rPr>
          <w:rFonts w:eastAsia="Batang"/>
          <w:b/>
          <w:sz w:val="24"/>
          <w:szCs w:val="24"/>
        </w:rPr>
        <w:lastRenderedPageBreak/>
        <w:t>VIRGO COMPANHIA DE SECURITIZAÇÃO</w:t>
      </w:r>
      <w:r w:rsidRPr="005F620B" w:rsidDel="005D14EA">
        <w:rPr>
          <w:b/>
          <w:sz w:val="24"/>
          <w:szCs w:val="24"/>
          <w:lang w:val="pt-BR"/>
        </w:rPr>
        <w:t xml:space="preserve"> </w:t>
      </w:r>
    </w:p>
    <w:p w14:paraId="00BC4CE9" w14:textId="5D9C19A1" w:rsidR="00296AB5" w:rsidRPr="000A1BA0" w:rsidRDefault="00296AB5" w:rsidP="00DC450F">
      <w:pPr>
        <w:pStyle w:val="Corpodetexto"/>
        <w:spacing w:after="240" w:line="312" w:lineRule="auto"/>
        <w:jc w:val="center"/>
        <w:rPr>
          <w:i/>
          <w:sz w:val="24"/>
          <w:szCs w:val="24"/>
          <w:lang w:val="pt-BR"/>
        </w:rPr>
      </w:pPr>
      <w:bookmarkStart w:id="155" w:name="_Hlk79709310"/>
      <w:r w:rsidRPr="000A1BA0">
        <w:rPr>
          <w:i/>
          <w:sz w:val="24"/>
          <w:szCs w:val="24"/>
          <w:lang w:val="pt-BR"/>
        </w:rPr>
        <w:t>(inserir assinaturas)</w:t>
      </w:r>
    </w:p>
    <w:bookmarkEnd w:id="155"/>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0A1BA0" w:rsidRDefault="0031129B" w:rsidP="00667294">
      <w:pPr>
        <w:pStyle w:val="Ttulo1"/>
        <w:spacing w:line="312" w:lineRule="auto"/>
        <w:jc w:val="center"/>
        <w:rPr>
          <w:b/>
          <w:szCs w:val="24"/>
          <w:lang w:val="pt-BR"/>
        </w:rPr>
      </w:pPr>
      <w:r w:rsidRPr="004D2F04">
        <w:rPr>
          <w:rFonts w:ascii="Times New Roman" w:hAnsi="Times New Roman"/>
          <w:szCs w:val="24"/>
          <w:lang w:val="pt-BR"/>
        </w:rPr>
        <w:br w:type="page"/>
      </w:r>
    </w:p>
    <w:p w14:paraId="26308487" w14:textId="77777777" w:rsidR="00647DAE" w:rsidRDefault="00647DAE" w:rsidP="003D5A6B">
      <w:pPr>
        <w:pStyle w:val="Ttulo1"/>
        <w:spacing w:line="312" w:lineRule="auto"/>
        <w:jc w:val="center"/>
        <w:rPr>
          <w:rFonts w:ascii="Times New Roman" w:hAnsi="Times New Roman"/>
          <w:b/>
          <w:bCs/>
          <w:szCs w:val="24"/>
          <w:lang w:val="pt-BR"/>
        </w:rPr>
        <w:sectPr w:rsidR="00647DAE" w:rsidSect="009F2A46">
          <w:headerReference w:type="even" r:id="rId9"/>
          <w:headerReference w:type="default" r:id="rId10"/>
          <w:footerReference w:type="even" r:id="rId11"/>
          <w:footerReference w:type="default" r:id="rId12"/>
          <w:headerReference w:type="first" r:id="rId13"/>
          <w:pgSz w:w="11906" w:h="16838"/>
          <w:pgMar w:top="1417" w:right="1701" w:bottom="1417" w:left="1701" w:header="709" w:footer="709" w:gutter="0"/>
          <w:cols w:space="708"/>
          <w:docGrid w:linePitch="360"/>
        </w:sectPr>
      </w:pPr>
    </w:p>
    <w:p w14:paraId="666938A8" w14:textId="69881F95"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1860D6B5" w14:textId="77777777" w:rsidR="003D5A6B" w:rsidRPr="000A1BA0" w:rsidRDefault="003D5A6B" w:rsidP="003D5A6B">
      <w:pPr>
        <w:pStyle w:val="Celso1"/>
        <w:spacing w:after="0" w:line="312" w:lineRule="auto"/>
        <w:rPr>
          <w:rFonts w:ascii="Times New Roman" w:hAnsi="Times New Roman" w:cs="Times New Roman"/>
          <w:b/>
          <w:i/>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tbl>
      <w:tblPr>
        <w:tblW w:w="13457"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592"/>
        <w:gridCol w:w="1985"/>
      </w:tblGrid>
      <w:tr w:rsidR="0037161A" w:rsidRPr="00743639" w14:paraId="4E0C3FF6" w14:textId="77777777" w:rsidTr="00D00DB2">
        <w:trPr>
          <w:trHeight w:val="300"/>
        </w:trPr>
        <w:tc>
          <w:tcPr>
            <w:tcW w:w="13457" w:type="dxa"/>
            <w:gridSpan w:val="9"/>
            <w:tcBorders>
              <w:top w:val="single" w:sz="8" w:space="0" w:color="auto"/>
              <w:left w:val="single" w:sz="8" w:space="0" w:color="auto"/>
              <w:bottom w:val="single" w:sz="8" w:space="0" w:color="auto"/>
              <w:right w:val="nil"/>
            </w:tcBorders>
            <w:shd w:val="clear" w:color="auto" w:fill="auto"/>
            <w:vAlign w:val="center"/>
            <w:hideMark/>
          </w:tcPr>
          <w:p w14:paraId="6E8E882C" w14:textId="77777777" w:rsidR="0037161A" w:rsidRPr="00743639" w:rsidRDefault="0037161A" w:rsidP="0037161A">
            <w:pPr>
              <w:jc w:val="center"/>
              <w:rPr>
                <w:rFonts w:ascii="Calibri" w:hAnsi="Calibri" w:cs="Calibri"/>
                <w:b/>
                <w:bCs/>
              </w:rPr>
            </w:pPr>
            <w:r w:rsidRPr="00743639">
              <w:rPr>
                <w:rFonts w:ascii="Calibri" w:hAnsi="Calibri" w:cs="Calibri"/>
                <w:b/>
                <w:bCs/>
              </w:rPr>
              <w:t>Unidades Aprovadas - Substituição</w:t>
            </w:r>
          </w:p>
        </w:tc>
      </w:tr>
      <w:tr w:rsidR="0037161A" w:rsidRPr="00743639" w14:paraId="277CF057" w14:textId="77777777" w:rsidTr="00D00DB2">
        <w:trPr>
          <w:trHeight w:val="510"/>
        </w:trPr>
        <w:tc>
          <w:tcPr>
            <w:tcW w:w="2940" w:type="dxa"/>
            <w:tcBorders>
              <w:top w:val="nil"/>
              <w:left w:val="nil"/>
              <w:bottom w:val="nil"/>
              <w:right w:val="nil"/>
            </w:tcBorders>
            <w:shd w:val="clear" w:color="000000" w:fill="002060"/>
            <w:vAlign w:val="center"/>
            <w:hideMark/>
          </w:tcPr>
          <w:p w14:paraId="46FE920A"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2F356306"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E24AB68"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4FD08088"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0CDFD3C0"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01CB2746"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69AE5695"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592" w:type="dxa"/>
            <w:tcBorders>
              <w:top w:val="nil"/>
              <w:left w:val="nil"/>
              <w:bottom w:val="nil"/>
              <w:right w:val="nil"/>
            </w:tcBorders>
            <w:shd w:val="clear" w:color="000000" w:fill="002060"/>
            <w:vAlign w:val="center"/>
            <w:hideMark/>
          </w:tcPr>
          <w:p w14:paraId="603C8E23"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85" w:type="dxa"/>
            <w:tcBorders>
              <w:top w:val="nil"/>
              <w:left w:val="nil"/>
              <w:bottom w:val="nil"/>
              <w:right w:val="nil"/>
            </w:tcBorders>
            <w:shd w:val="clear" w:color="000000" w:fill="002060"/>
            <w:vAlign w:val="center"/>
            <w:hideMark/>
          </w:tcPr>
          <w:p w14:paraId="0E25B6CD"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37161A" w:rsidRPr="00743639" w14:paraId="0B0D6AF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5EFE0F7"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E9658F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8E0EC6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57D9127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A729A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0F639F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1119D4E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270A6409"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4AC823D"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24FE841F"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CCD61F8"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34319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35E9D0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5FBA2FF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4CDFEB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DB1042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3AFA027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243CB000"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738A8A5"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6A765465"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31F5AF9"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4F1E7C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F54ED7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7827E9E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E44B80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D55BE0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7D684E0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2585B4C4"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574776E"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21F3165E"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909F06"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F319E7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D98392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03D580C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0BA5CF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88E11B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7D49FE4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1AACEC8C"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6FB68FC"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70AE1C49"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5ADDBA2"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9CF944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B77DA4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2FFEC7D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C4647D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F3F0C2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0C1F01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2B254800"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047FC12"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36E43AA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800B56"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3FD4F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CD9985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22B70E1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3A3535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BC09D5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7761456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69AFA993"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30958AD"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75EF55A3"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CAB1CB0"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B788E1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AEFCF7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3CF6CA3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2B9875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89CDC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7BA8157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7A4C960D"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725726C"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5220797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9B5462C"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A51FED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6AA7DD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05AB2F2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33C908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58289E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4BF229F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244156B4"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9A80D08"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7BA61FFA"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2E0DE24"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B6D3F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BEF3A4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339B4D1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7E97E5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3A19E2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6A3D65B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5073B049"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13ED111"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3AA34A2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F25B84D"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1C2CD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4F0861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0A55590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7463E1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CC991B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4BE7CF4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1707C0AB"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F772CDA"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286BD2C4"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560B9EC"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AC960F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A99891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1F2E363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AE3A30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9F2B18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0E90EA9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6884BAA8"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6F9BF62"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62CB6A76"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817841"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0EF214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0DCFF4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2939459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530928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372B7A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2FCAE1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12AF0D62"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0A13374"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79E5F1D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C02741"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6AEC22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5B2E5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0A0D366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7EC670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33A5DE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71321EC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2AD344F6"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609503C"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7311E7CC"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57BF2A5"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F184B2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2070AC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433458F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A45E72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6C2955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1E73AD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3EC8171A"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D2B1C9C"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0CAC447F"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0F67D51"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B3237C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093E08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341A980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481D3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8958F7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CAC880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41EBC4FE"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CF12A8E"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5358C53B"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7CC7BD3"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AB736A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1B7845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685C22B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1ACBA0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A692F1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4040D7C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12A1E2C1"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784BF35"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6AA14C49"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F9352C3"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1DAACA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D1E43C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6D1B239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530A90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6D1374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34362E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5B373C45"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1100DE9"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2D127C2C"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F86A08"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D0882C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A8D1BC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226E757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9DDCA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D25EA5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329D2F3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5328D600"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0A69E5B"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6459133D"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9326C71"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E76F75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4FB27E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236D9A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D49BF5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13EC30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3FCDB50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51A602D7"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8C7C845" w14:textId="77777777" w:rsidR="0037161A" w:rsidRPr="00743639" w:rsidRDefault="0037161A" w:rsidP="0037161A">
            <w:pPr>
              <w:jc w:val="center"/>
              <w:rPr>
                <w:rFonts w:ascii="Calibri" w:hAnsi="Calibri" w:cs="Calibri"/>
              </w:rPr>
            </w:pPr>
            <w:r w:rsidRPr="00743639">
              <w:rPr>
                <w:rFonts w:ascii="Calibri" w:hAnsi="Calibri" w:cs="Calibri"/>
              </w:rPr>
              <w:t>R$ 1.637.424,93</w:t>
            </w:r>
          </w:p>
        </w:tc>
      </w:tr>
      <w:tr w:rsidR="0037161A" w:rsidRPr="00743639" w14:paraId="6302ACD1"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43ED64"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0F6F42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D02ADA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7ACBCB6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77465CE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166A56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39E4C6D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18AC5509"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646FF95" w14:textId="77777777" w:rsidR="0037161A" w:rsidRPr="00743639" w:rsidRDefault="0037161A" w:rsidP="0037161A">
            <w:pPr>
              <w:jc w:val="center"/>
              <w:rPr>
                <w:rFonts w:ascii="Calibri" w:hAnsi="Calibri" w:cs="Calibri"/>
              </w:rPr>
            </w:pPr>
            <w:r w:rsidRPr="00743639">
              <w:rPr>
                <w:rFonts w:ascii="Calibri" w:hAnsi="Calibri" w:cs="Calibri"/>
              </w:rPr>
              <w:t>R$ 1.637.424,93</w:t>
            </w:r>
          </w:p>
        </w:tc>
      </w:tr>
      <w:tr w:rsidR="0037161A" w:rsidRPr="00743639" w14:paraId="3EA4DF1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8ACA896"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2CC7A7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8286A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2F73F48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E78CCA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B5065A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657C37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4FF21D8B"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66446A0" w14:textId="77777777" w:rsidR="0037161A" w:rsidRPr="00743639" w:rsidRDefault="0037161A" w:rsidP="0037161A">
            <w:pPr>
              <w:jc w:val="center"/>
              <w:rPr>
                <w:rFonts w:ascii="Calibri" w:hAnsi="Calibri" w:cs="Calibri"/>
              </w:rPr>
            </w:pPr>
            <w:r w:rsidRPr="00743639">
              <w:rPr>
                <w:rFonts w:ascii="Calibri" w:hAnsi="Calibri" w:cs="Calibri"/>
              </w:rPr>
              <w:t>R$ 1.637.424,93</w:t>
            </w:r>
          </w:p>
        </w:tc>
      </w:tr>
      <w:tr w:rsidR="0037161A" w:rsidRPr="00743639" w14:paraId="0294F784"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60F69A5"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854B53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4B7A88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24C96F2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EBA0DC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2AF404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38415AA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3E3F8C5D"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6F8A181" w14:textId="77777777" w:rsidR="0037161A" w:rsidRPr="00743639" w:rsidRDefault="0037161A" w:rsidP="0037161A">
            <w:pPr>
              <w:jc w:val="center"/>
              <w:rPr>
                <w:rFonts w:ascii="Calibri" w:hAnsi="Calibri" w:cs="Calibri"/>
              </w:rPr>
            </w:pPr>
            <w:r w:rsidRPr="00743639">
              <w:rPr>
                <w:rFonts w:ascii="Calibri" w:hAnsi="Calibri" w:cs="Calibri"/>
              </w:rPr>
              <w:t>R$ 1.637.424,93</w:t>
            </w:r>
          </w:p>
        </w:tc>
      </w:tr>
      <w:tr w:rsidR="0037161A" w:rsidRPr="00743639" w14:paraId="5FB61E64"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7E83C93"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368A10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F6814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1ECA64A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5584F93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958BD6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C678BF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7B703666"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AE3DA72" w14:textId="77777777" w:rsidR="0037161A" w:rsidRPr="00743639" w:rsidRDefault="0037161A" w:rsidP="0037161A">
            <w:pPr>
              <w:jc w:val="center"/>
              <w:rPr>
                <w:rFonts w:ascii="Calibri" w:hAnsi="Calibri" w:cs="Calibri"/>
              </w:rPr>
            </w:pPr>
            <w:r w:rsidRPr="00743639">
              <w:rPr>
                <w:rFonts w:ascii="Calibri" w:hAnsi="Calibri" w:cs="Calibri"/>
              </w:rPr>
              <w:t>R$ 959.858,38</w:t>
            </w:r>
          </w:p>
        </w:tc>
      </w:tr>
      <w:tr w:rsidR="0037161A" w:rsidRPr="00743639" w14:paraId="156621B5"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8B8BD37"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23FCD7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4BAD41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7E67E34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728701F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063659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403CBA8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74CDA09D"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F97AEBC" w14:textId="77777777" w:rsidR="0037161A" w:rsidRPr="00743639" w:rsidRDefault="0037161A" w:rsidP="0037161A">
            <w:pPr>
              <w:jc w:val="center"/>
              <w:rPr>
                <w:rFonts w:ascii="Calibri" w:hAnsi="Calibri" w:cs="Calibri"/>
              </w:rPr>
            </w:pPr>
            <w:r w:rsidRPr="00743639">
              <w:rPr>
                <w:rFonts w:ascii="Calibri" w:hAnsi="Calibri" w:cs="Calibri"/>
              </w:rPr>
              <w:t>R$ 959.858,38</w:t>
            </w:r>
          </w:p>
        </w:tc>
      </w:tr>
    </w:tbl>
    <w:p w14:paraId="578B58A4" w14:textId="77777777" w:rsidR="0037161A" w:rsidRPr="00D00DB2" w:rsidRDefault="0037161A" w:rsidP="00D00DB2"/>
    <w:p w14:paraId="51016AEB" w14:textId="77777777" w:rsidR="00743639" w:rsidRDefault="00743639" w:rsidP="00D00DB2">
      <w:pPr>
        <w:pStyle w:val="Ttulo1"/>
        <w:spacing w:line="312" w:lineRule="auto"/>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0184A244" w:rsidR="00B23DC5" w:rsidRPr="00127C92" w:rsidRDefault="00127C92" w:rsidP="00B23DC5">
      <w:pPr>
        <w:autoSpaceDE w:val="0"/>
        <w:autoSpaceDN w:val="0"/>
        <w:spacing w:line="312" w:lineRule="auto"/>
        <w:rPr>
          <w:sz w:val="24"/>
          <w:szCs w:val="24"/>
        </w:rPr>
      </w:pPr>
      <w:r w:rsidRPr="0017181C">
        <w:rPr>
          <w:b/>
          <w:bCs/>
          <w:sz w:val="24"/>
          <w:szCs w:val="24"/>
        </w:rPr>
        <w:t xml:space="preserve">EXTO </w:t>
      </w:r>
      <w:r w:rsidR="007B1E7A">
        <w:rPr>
          <w:b/>
          <w:bCs/>
          <w:sz w:val="24"/>
          <w:szCs w:val="24"/>
        </w:rPr>
        <w:t>IRIS</w:t>
      </w:r>
      <w:r w:rsidRPr="0017181C">
        <w:rPr>
          <w:b/>
          <w:bCs/>
          <w:sz w:val="24"/>
          <w:szCs w:val="24"/>
        </w:rPr>
        <w:t xml:space="preserve"> 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7010B8">
        <w:rPr>
          <w:b/>
          <w:bCs/>
          <w:sz w:val="24"/>
          <w:szCs w:val="24"/>
        </w:rPr>
        <w:t>ANIS</w:t>
      </w:r>
      <w:r w:rsidR="007010B8" w:rsidRPr="00F07DFE">
        <w:rPr>
          <w:b/>
          <w:bCs/>
          <w:sz w:val="24"/>
          <w:szCs w:val="24"/>
        </w:rPr>
        <w:t xml:space="preserve"> </w:t>
      </w:r>
      <w:r w:rsidR="005E67C1" w:rsidRPr="00F07DFE">
        <w:rPr>
          <w:b/>
          <w:bCs/>
          <w:sz w:val="24"/>
          <w:szCs w:val="24"/>
        </w:rPr>
        <w:t>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5851BBC8"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7010B8">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44524B29" w:rsidR="00B23DC5" w:rsidRDefault="00B23DC5" w:rsidP="000D0A70">
      <w:pPr>
        <w:spacing w:line="312" w:lineRule="auto"/>
        <w:jc w:val="both"/>
        <w:rPr>
          <w:sz w:val="24"/>
          <w:szCs w:val="24"/>
        </w:rPr>
      </w:pPr>
      <w:r>
        <w:rPr>
          <w:sz w:val="24"/>
          <w:szCs w:val="24"/>
          <w:lang w:eastAsia="x-none"/>
        </w:rPr>
        <w:t xml:space="preserve">A </w:t>
      </w:r>
      <w:r w:rsidR="007010B8">
        <w:rPr>
          <w:rFonts w:eastAsia="Batang"/>
          <w:b/>
          <w:sz w:val="24"/>
          <w:szCs w:val="24"/>
        </w:rPr>
        <w:t>VIRGO COMPANHIA DE SECURITIZAÇÃO</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 xml:space="preserve">Imóveis em Garantia e Outras Avenças” celebrado em </w:t>
      </w:r>
      <w:r w:rsidR="007010B8">
        <w:rPr>
          <w:sz w:val="24"/>
          <w:szCs w:val="24"/>
        </w:rPr>
        <w:t>[●]</w:t>
      </w:r>
      <w:r w:rsidR="007010B8" w:rsidRPr="00B23DC5">
        <w:rPr>
          <w:sz w:val="24"/>
          <w:szCs w:val="24"/>
        </w:rPr>
        <w:t xml:space="preserve"> </w:t>
      </w:r>
      <w:r w:rsidRPr="00B23DC5">
        <w:rPr>
          <w:sz w:val="24"/>
          <w:szCs w:val="24"/>
        </w:rPr>
        <w:t xml:space="preserve">de </w:t>
      </w:r>
      <w:r w:rsidR="007010B8">
        <w:rPr>
          <w:sz w:val="24"/>
          <w:szCs w:val="24"/>
        </w:rPr>
        <w:t>agosto</w:t>
      </w:r>
      <w:r w:rsidR="007010B8" w:rsidRPr="00B23DC5">
        <w:rPr>
          <w:sz w:val="24"/>
          <w:szCs w:val="24"/>
        </w:rPr>
        <w:t xml:space="preserve"> </w:t>
      </w:r>
      <w:r w:rsidRPr="00B23DC5">
        <w:rPr>
          <w:sz w:val="24"/>
          <w:szCs w:val="24"/>
        </w:rPr>
        <w:t>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233ABD" w:rsidRPr="0017181C">
        <w:rPr>
          <w:b/>
          <w:bCs/>
          <w:sz w:val="24"/>
          <w:szCs w:val="24"/>
        </w:rPr>
        <w:t>EXTO IRIS 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56, CEP 05533-000, inscrita no CNPJ sob o nº </w:t>
      </w:r>
      <w:r w:rsidR="00233ABD" w:rsidRPr="0017181C">
        <w:rPr>
          <w:bCs/>
          <w:iCs/>
          <w:sz w:val="24"/>
          <w:szCs w:val="24"/>
        </w:rPr>
        <w:t>15.772.438/0001-65</w:t>
      </w:r>
      <w:r w:rsidR="00233ABD" w:rsidRPr="00233ABD">
        <w:rPr>
          <w:bCs/>
          <w:iCs/>
          <w:sz w:val="24"/>
          <w:szCs w:val="24"/>
        </w:rPr>
        <w:t xml:space="preserve"> e a</w:t>
      </w:r>
      <w:r w:rsidR="008A14C2" w:rsidRPr="00233ABD">
        <w:rPr>
          <w:bCs/>
          <w:iCs/>
          <w:sz w:val="24"/>
          <w:szCs w:val="24"/>
        </w:rPr>
        <w:t xml:space="preserve"> </w:t>
      </w:r>
      <w:r w:rsidR="00233ABD" w:rsidRPr="0017181C">
        <w:rPr>
          <w:b/>
          <w:bCs/>
          <w:sz w:val="24"/>
          <w:szCs w:val="24"/>
        </w:rPr>
        <w:t xml:space="preserve">EXTO </w:t>
      </w:r>
      <w:r w:rsidR="007010B8">
        <w:rPr>
          <w:b/>
          <w:bCs/>
          <w:sz w:val="24"/>
          <w:szCs w:val="24"/>
        </w:rPr>
        <w:t>ANIS</w:t>
      </w:r>
      <w:r w:rsidR="007010B8" w:rsidRPr="0017181C">
        <w:rPr>
          <w:b/>
          <w:bCs/>
          <w:sz w:val="24"/>
          <w:szCs w:val="24"/>
        </w:rPr>
        <w:t xml:space="preserve"> </w:t>
      </w:r>
      <w:r w:rsidR="00233ABD" w:rsidRPr="0017181C">
        <w:rPr>
          <w:b/>
          <w:bCs/>
          <w:sz w:val="24"/>
          <w:szCs w:val="24"/>
        </w:rPr>
        <w:t>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w:t>
      </w:r>
      <w:r w:rsidR="00233ABD" w:rsidRPr="0017181C">
        <w:rPr>
          <w:sz w:val="24"/>
          <w:szCs w:val="24"/>
        </w:rPr>
        <w:lastRenderedPageBreak/>
        <w:t xml:space="preserve">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53, CEP 05533-000, inscrita no CNPJ sob o nº </w:t>
      </w:r>
      <w:r w:rsidR="007010B8" w:rsidRPr="007010B8">
        <w:rPr>
          <w:bCs/>
          <w:iCs/>
          <w:sz w:val="24"/>
          <w:szCs w:val="24"/>
        </w:rPr>
        <w:t>15.772.410/0001-28</w:t>
      </w:r>
      <w:r w:rsidR="008A14C2" w:rsidRPr="0017181C">
        <w:rPr>
          <w:bCs/>
          <w:i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B41857">
        <w:rPr>
          <w:b/>
          <w:sz w:val="24"/>
          <w:szCs w:val="24"/>
        </w:rPr>
        <w:t>S.A</w:t>
      </w:r>
      <w:r w:rsidRPr="004D2F04">
        <w:rPr>
          <w:b/>
          <w:sz w:val="24"/>
          <w:szCs w:val="24"/>
        </w:rPr>
        <w:t>.</w:t>
      </w:r>
      <w:r w:rsidRPr="004D2F04">
        <w:rPr>
          <w:sz w:val="24"/>
          <w:szCs w:val="24"/>
        </w:rPr>
        <w:t xml:space="preserve">, sociedade </w:t>
      </w:r>
      <w:r w:rsidR="00B41857">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sidR="00B41857">
        <w:rPr>
          <w:sz w:val="24"/>
          <w:szCs w:val="24"/>
        </w:rPr>
        <w:t>Estatuto</w:t>
      </w:r>
      <w:r w:rsidR="00B41857" w:rsidRPr="004D2F04">
        <w:rPr>
          <w:sz w:val="24"/>
          <w:szCs w:val="24"/>
        </w:rPr>
        <w:t xml:space="preserve"> </w:t>
      </w:r>
      <w:r w:rsidRPr="004D2F04">
        <w:rPr>
          <w:sz w:val="24"/>
          <w:szCs w:val="24"/>
        </w:rPr>
        <w:t>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0A1BA0" w:rsidRDefault="006C6B0D" w:rsidP="006C6B0D">
      <w:pPr>
        <w:spacing w:line="312" w:lineRule="auto"/>
        <w:jc w:val="both"/>
        <w:rPr>
          <w:bCs/>
          <w:iCs/>
          <w:sz w:val="24"/>
          <w:szCs w:val="24"/>
          <w:lang w:eastAsia="x-none"/>
        </w:rPr>
      </w:pPr>
      <w:r w:rsidRPr="000A1BA0">
        <w:rPr>
          <w:bCs/>
          <w:iCs/>
          <w:sz w:val="24"/>
          <w:szCs w:val="24"/>
          <w:lang w:eastAsia="x-none"/>
        </w:rPr>
        <w:t>Sendo o que nos cabia para o momento, colocamo-nos à disposição de V.Sas. para quaisquer esclarecimentos necessários.</w:t>
      </w:r>
    </w:p>
    <w:p w14:paraId="02289B5F" w14:textId="77777777" w:rsidR="006C6B0D" w:rsidRPr="000A1BA0" w:rsidRDefault="006C6B0D" w:rsidP="006C6B0D">
      <w:pPr>
        <w:spacing w:line="312" w:lineRule="auto"/>
        <w:jc w:val="both"/>
        <w:rPr>
          <w:bCs/>
          <w:iCs/>
          <w:sz w:val="24"/>
          <w:szCs w:val="24"/>
          <w:lang w:eastAsia="x-none"/>
        </w:rPr>
      </w:pPr>
    </w:p>
    <w:p w14:paraId="6ADD36D2" w14:textId="77777777" w:rsidR="006C6B0D" w:rsidRPr="000A1BA0" w:rsidRDefault="006C6B0D" w:rsidP="006C6B0D">
      <w:pPr>
        <w:spacing w:line="312" w:lineRule="auto"/>
        <w:jc w:val="both"/>
        <w:rPr>
          <w:bCs/>
          <w:iCs/>
          <w:sz w:val="24"/>
          <w:szCs w:val="24"/>
          <w:lang w:eastAsia="x-none"/>
        </w:rPr>
      </w:pPr>
      <w:r w:rsidRPr="000A1BA0">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1B2CE496" w:rsidR="006C6B0D" w:rsidRPr="006C6B0D" w:rsidRDefault="00B41857" w:rsidP="00C0657E">
      <w:pPr>
        <w:spacing w:line="312" w:lineRule="auto"/>
        <w:jc w:val="center"/>
        <w:rPr>
          <w:b/>
          <w:bCs/>
          <w:i/>
          <w:iCs/>
          <w:sz w:val="24"/>
          <w:szCs w:val="24"/>
          <w:lang w:eastAsia="x-none"/>
        </w:rPr>
      </w:pPr>
      <w:bookmarkStart w:id="156" w:name="_Hlk79709479"/>
      <w:r w:rsidRPr="000A1BA0">
        <w:rPr>
          <w:b/>
          <w:bCs/>
          <w:iCs/>
          <w:sz w:val="24"/>
          <w:szCs w:val="24"/>
          <w:lang w:eastAsia="x-none"/>
        </w:rPr>
        <w:t>VIRGO COMPANHIA DE SECURITIZAÇÃO</w:t>
      </w:r>
    </w:p>
    <w:p w14:paraId="3881D46F" w14:textId="77777777" w:rsidR="006C6B0D" w:rsidRPr="006C6B0D" w:rsidRDefault="006C6B0D" w:rsidP="006C6B0D">
      <w:pPr>
        <w:spacing w:line="312" w:lineRule="auto"/>
        <w:jc w:val="both"/>
        <w:rPr>
          <w:bCs/>
          <w:i/>
          <w:iCs/>
          <w:sz w:val="24"/>
          <w:szCs w:val="24"/>
          <w:lang w:eastAsia="x-none"/>
        </w:rPr>
      </w:pPr>
    </w:p>
    <w:p w14:paraId="67BF6B7B" w14:textId="74BD7CFD" w:rsidR="006C6B0D" w:rsidRPr="006C6B0D" w:rsidRDefault="00180F74" w:rsidP="000A1BA0">
      <w:pPr>
        <w:spacing w:line="312" w:lineRule="auto"/>
        <w:jc w:val="center"/>
        <w:rPr>
          <w:bCs/>
          <w:i/>
          <w:iCs/>
          <w:sz w:val="24"/>
          <w:szCs w:val="24"/>
          <w:lang w:eastAsia="x-none"/>
        </w:rPr>
      </w:pPr>
      <w:r>
        <w:rPr>
          <w:bCs/>
          <w:i/>
          <w:iCs/>
          <w:sz w:val="24"/>
          <w:szCs w:val="24"/>
          <w:lang w:eastAsia="x-none"/>
        </w:rPr>
        <w:t>(inserir assinaturas)</w:t>
      </w:r>
    </w:p>
    <w:bookmarkEnd w:id="156"/>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5F53B9" w:rsidRDefault="005F53B9">
      <w:r>
        <w:separator/>
      </w:r>
    </w:p>
  </w:endnote>
  <w:endnote w:type="continuationSeparator" w:id="0">
    <w:p w14:paraId="364A365F" w14:textId="77777777" w:rsidR="005F53B9" w:rsidRDefault="005F53B9">
      <w:r>
        <w:continuationSeparator/>
      </w:r>
    </w:p>
  </w:endnote>
  <w:endnote w:type="continuationNotice" w:id="1">
    <w:p w14:paraId="2AF08E0B" w14:textId="77777777" w:rsidR="005F53B9" w:rsidRDefault="005F5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5F53B9" w:rsidRDefault="005F53B9"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5F53B9" w:rsidRDefault="005F53B9" w:rsidP="009F2A46">
    <w:pPr>
      <w:pStyle w:val="Rodap"/>
      <w:framePr w:wrap="around" w:vAnchor="text" w:hAnchor="margin" w:xAlign="right" w:y="1"/>
      <w:rPr>
        <w:rStyle w:val="Nmerodepgina"/>
      </w:rPr>
    </w:pPr>
  </w:p>
  <w:p w14:paraId="1B38E78E" w14:textId="77777777" w:rsidR="005F53B9" w:rsidRDefault="005F53B9"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5F53B9" w:rsidRDefault="005F53B9" w:rsidP="009F2A46">
    <w:pPr>
      <w:pStyle w:val="Rodap"/>
      <w:framePr w:wrap="around" w:vAnchor="text" w:hAnchor="margin" w:xAlign="right" w:y="1"/>
      <w:ind w:right="360"/>
      <w:rPr>
        <w:rStyle w:val="Nmerodepgina"/>
      </w:rPr>
    </w:pPr>
  </w:p>
  <w:p w14:paraId="413193D3" w14:textId="77777777" w:rsidR="005F53B9" w:rsidRDefault="005F53B9" w:rsidP="009F2A46">
    <w:pPr>
      <w:pStyle w:val="Rodap"/>
      <w:ind w:right="360"/>
    </w:pPr>
  </w:p>
  <w:p w14:paraId="2600D59A" w14:textId="77777777" w:rsidR="005F53B9" w:rsidRDefault="005F53B9" w:rsidP="009F2A46">
    <w:pPr>
      <w:pStyle w:val="Rodap"/>
      <w:ind w:right="360"/>
    </w:pPr>
  </w:p>
  <w:p w14:paraId="090F4785" w14:textId="77777777" w:rsidR="005F53B9" w:rsidRDefault="005F53B9"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269513625"/>
      <w:docPartObj>
        <w:docPartGallery w:val="Page Numbers (Bottom of Page)"/>
        <w:docPartUnique/>
      </w:docPartObj>
    </w:sdtPr>
    <w:sdtEndPr/>
    <w:sdtContent>
      <w:p w14:paraId="2C4CAE4C" w14:textId="7208A7E7" w:rsidR="005F53B9" w:rsidRPr="001F0E9B" w:rsidRDefault="005F53B9"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5F53B9" w:rsidRDefault="005F53B9">
      <w:r>
        <w:separator/>
      </w:r>
    </w:p>
  </w:footnote>
  <w:footnote w:type="continuationSeparator" w:id="0">
    <w:p w14:paraId="39EB4DFB" w14:textId="77777777" w:rsidR="005F53B9" w:rsidRDefault="005F53B9">
      <w:r>
        <w:continuationSeparator/>
      </w:r>
    </w:p>
  </w:footnote>
  <w:footnote w:type="continuationNotice" w:id="1">
    <w:p w14:paraId="1AD413D3" w14:textId="77777777" w:rsidR="005F53B9" w:rsidRDefault="005F5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5F53B9" w:rsidRDefault="005F53B9">
    <w:pPr>
      <w:pStyle w:val="Cabealho"/>
    </w:pPr>
  </w:p>
  <w:p w14:paraId="43A4705F" w14:textId="77777777" w:rsidR="005F53B9" w:rsidRDefault="005F53B9">
    <w:pPr>
      <w:pStyle w:val="Cabealho"/>
    </w:pPr>
  </w:p>
  <w:p w14:paraId="1677BB0A" w14:textId="77777777" w:rsidR="005F53B9" w:rsidRDefault="005F53B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14232" w14:textId="1F260590" w:rsidR="005F53B9" w:rsidRPr="00D00DB2" w:rsidRDefault="005F53B9" w:rsidP="00D00DB2">
    <w:pPr>
      <w:pStyle w:val="Cabealho"/>
      <w:jc w:val="right"/>
      <w:rPr>
        <w:i/>
        <w:sz w:val="24"/>
        <w:lang w:val="pt-BR"/>
      </w:rPr>
    </w:pPr>
    <w:r w:rsidRPr="00D00DB2">
      <w:rPr>
        <w:i/>
        <w:sz w:val="24"/>
        <w:lang w:val="pt-BR"/>
      </w:rPr>
      <w:t xml:space="preserve">Versão </w:t>
    </w:r>
    <w:r w:rsidR="00AD3C62">
      <w:rPr>
        <w:i/>
        <w:sz w:val="24"/>
        <w:lang w:val="pt-BR"/>
      </w:rPr>
      <w:t>de assinatura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5F53B9" w:rsidRPr="001F0E9B" w:rsidRDefault="005F53B9"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02C0D"/>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1BA0"/>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7181C"/>
    <w:rsid w:val="00180F74"/>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4888"/>
    <w:rsid w:val="001F58F8"/>
    <w:rsid w:val="001F5970"/>
    <w:rsid w:val="00201ED8"/>
    <w:rsid w:val="002035D5"/>
    <w:rsid w:val="00206A47"/>
    <w:rsid w:val="00212917"/>
    <w:rsid w:val="0021783F"/>
    <w:rsid w:val="002235F0"/>
    <w:rsid w:val="002242C6"/>
    <w:rsid w:val="00224C5B"/>
    <w:rsid w:val="00233ABD"/>
    <w:rsid w:val="00235C3D"/>
    <w:rsid w:val="00236370"/>
    <w:rsid w:val="00251C5F"/>
    <w:rsid w:val="002653CB"/>
    <w:rsid w:val="002732C6"/>
    <w:rsid w:val="002877C1"/>
    <w:rsid w:val="002943E6"/>
    <w:rsid w:val="00294D24"/>
    <w:rsid w:val="00296AB5"/>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161A"/>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5FB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5F5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A7B61"/>
    <w:rsid w:val="005B0E8D"/>
    <w:rsid w:val="005B17EB"/>
    <w:rsid w:val="005B485C"/>
    <w:rsid w:val="005B5676"/>
    <w:rsid w:val="005B5DC3"/>
    <w:rsid w:val="005C21D2"/>
    <w:rsid w:val="005D0F81"/>
    <w:rsid w:val="005D14EA"/>
    <w:rsid w:val="005D2DBF"/>
    <w:rsid w:val="005D5B09"/>
    <w:rsid w:val="005D6D51"/>
    <w:rsid w:val="005E524D"/>
    <w:rsid w:val="005E67C1"/>
    <w:rsid w:val="005F0689"/>
    <w:rsid w:val="005F53B9"/>
    <w:rsid w:val="005F620B"/>
    <w:rsid w:val="006039A0"/>
    <w:rsid w:val="00616639"/>
    <w:rsid w:val="00616690"/>
    <w:rsid w:val="00617453"/>
    <w:rsid w:val="00620F71"/>
    <w:rsid w:val="0064474E"/>
    <w:rsid w:val="00647DA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7000C7"/>
    <w:rsid w:val="007010B8"/>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B1E7A"/>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900CAE"/>
    <w:rsid w:val="00903CF4"/>
    <w:rsid w:val="00904017"/>
    <w:rsid w:val="00905F54"/>
    <w:rsid w:val="0090639F"/>
    <w:rsid w:val="009063C9"/>
    <w:rsid w:val="009215C5"/>
    <w:rsid w:val="0092249A"/>
    <w:rsid w:val="00935B7D"/>
    <w:rsid w:val="00937B37"/>
    <w:rsid w:val="009414D6"/>
    <w:rsid w:val="009433BB"/>
    <w:rsid w:val="00946CD7"/>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2912"/>
    <w:rsid w:val="00AD3C6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857"/>
    <w:rsid w:val="00B41E63"/>
    <w:rsid w:val="00B42B8F"/>
    <w:rsid w:val="00B46A0F"/>
    <w:rsid w:val="00B7361A"/>
    <w:rsid w:val="00B7617F"/>
    <w:rsid w:val="00B82137"/>
    <w:rsid w:val="00B87376"/>
    <w:rsid w:val="00B94B27"/>
    <w:rsid w:val="00B94C3A"/>
    <w:rsid w:val="00BA7785"/>
    <w:rsid w:val="00BB6FF5"/>
    <w:rsid w:val="00BC4D84"/>
    <w:rsid w:val="00BD561C"/>
    <w:rsid w:val="00BE46B7"/>
    <w:rsid w:val="00BE5D41"/>
    <w:rsid w:val="00BF42AB"/>
    <w:rsid w:val="00C04488"/>
    <w:rsid w:val="00C0469F"/>
    <w:rsid w:val="00C0657E"/>
    <w:rsid w:val="00C0735A"/>
    <w:rsid w:val="00C21702"/>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0DB2"/>
    <w:rsid w:val="00D05D3D"/>
    <w:rsid w:val="00D07427"/>
    <w:rsid w:val="00D10E52"/>
    <w:rsid w:val="00D340CC"/>
    <w:rsid w:val="00D371E4"/>
    <w:rsid w:val="00D41A81"/>
    <w:rsid w:val="00D43679"/>
    <w:rsid w:val="00D44959"/>
    <w:rsid w:val="00D47FCE"/>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1AC5"/>
    <w:rsid w:val="00E01EB4"/>
    <w:rsid w:val="00E043BE"/>
    <w:rsid w:val="00E15C5A"/>
    <w:rsid w:val="00E23A9E"/>
    <w:rsid w:val="00E30744"/>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0820"/>
    <w:rsid w:val="00F3178D"/>
    <w:rsid w:val="00F31DD9"/>
    <w:rsid w:val="00F35DA1"/>
    <w:rsid w:val="00F417CA"/>
    <w:rsid w:val="00F53F2D"/>
    <w:rsid w:val="00F57A80"/>
    <w:rsid w:val="00F60A48"/>
    <w:rsid w:val="00F60C48"/>
    <w:rsid w:val="00F61C03"/>
    <w:rsid w:val="00F63195"/>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090390051">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790278607">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uridico@virgo.inc"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 S P ! 3 1 4 0 7 6 8 4 . 1 < / d o c u m e n t i d >  
     < s e n d e r i d > S F 0 4 4 6 0 < / s e n d e r i d >  
     < s e n d e r e m a i l > S T E P H A N I E . F U G I T A @ M A T T O S F I L H O . C O M . B R < / s e n d e r e m a i l >  
     < l a s t m o d i f i e d > 2 0 2 1 - 0 9 - 1 0 T 1 6 : 4 5 : 0 0 . 0 0 0 0 0 0 0 - 0 3 : 0 0 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29B26-7F7E-4B46-9566-56D09607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49</Pages>
  <Words>13737</Words>
  <Characters>78576</Characters>
  <Application>Microsoft Office Word</Application>
  <DocSecurity>0</DocSecurity>
  <Lines>1511</Lines>
  <Paragraphs>312</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5</cp:revision>
  <dcterms:created xsi:type="dcterms:W3CDTF">2021-09-07T17:31:00Z</dcterms:created>
  <dcterms:modified xsi:type="dcterms:W3CDTF">2021-09-10T19:45:00Z</dcterms:modified>
</cp:coreProperties>
</file>