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A158F" w14:textId="77777777" w:rsidR="00134F41" w:rsidRDefault="00134F41" w:rsidP="00134F41">
      <w:pPr>
        <w:rPr>
          <w:rFonts w:cs="Times New Roman"/>
          <w:b/>
          <w:color w:val="auto"/>
        </w:rPr>
      </w:pPr>
      <w:bookmarkStart w:id="0" w:name="_Toc110076258"/>
      <w:r>
        <w:rPr>
          <w:rFonts w:cs="Times New Roman"/>
          <w:b/>
          <w:color w:val="auto"/>
        </w:rPr>
        <w:t xml:space="preserve">PRIMEIRO ADITAMENTO AO TERMO DE SECURITIZAÇÃO DE CRÉDITOS IMOBILIÁRIOS DA </w:t>
      </w:r>
      <w:r>
        <w:rPr>
          <w:rFonts w:cs="Times New Roman"/>
          <w:b/>
        </w:rPr>
        <w:t>131ª</w:t>
      </w:r>
      <w:r>
        <w:rPr>
          <w:rFonts w:cs="Times New Roman"/>
          <w:b/>
          <w:color w:val="auto"/>
        </w:rPr>
        <w:t xml:space="preserve"> SÉRIE DA </w:t>
      </w:r>
      <w:r>
        <w:rPr>
          <w:rFonts w:cs="Times New Roman"/>
          <w:b/>
        </w:rPr>
        <w:t>4</w:t>
      </w:r>
      <w:r>
        <w:rPr>
          <w:rFonts w:cs="Times New Roman"/>
          <w:b/>
          <w:color w:val="auto"/>
        </w:rPr>
        <w:t xml:space="preserve">ª EMISSÃO DE CERTIFICADOS DE RECEBÍVEIS IMOBILIÁRIOS DA </w:t>
      </w:r>
      <w:r>
        <w:rPr>
          <w:rFonts w:cs="Times New Roman"/>
          <w:b/>
        </w:rPr>
        <w:t>ISEC SECURITIZADORA S.A.</w:t>
      </w:r>
    </w:p>
    <w:p w14:paraId="3C19E20C" w14:textId="77777777" w:rsidR="00134F41" w:rsidRDefault="00134F41" w:rsidP="00134F41">
      <w:pPr>
        <w:pStyle w:val="Ttulo"/>
        <w:tabs>
          <w:tab w:val="left" w:pos="4253"/>
        </w:tabs>
        <w:ind w:firstLine="0"/>
        <w:jc w:val="both"/>
        <w:rPr>
          <w:color w:val="auto"/>
          <w:szCs w:val="24"/>
          <w:lang w:val="pt-BR"/>
        </w:rPr>
      </w:pPr>
    </w:p>
    <w:p w14:paraId="4801AAB2" w14:textId="77777777" w:rsidR="00134F41" w:rsidRDefault="00134F41" w:rsidP="00134F41">
      <w:pPr>
        <w:rPr>
          <w:rFonts w:cs="Times New Roman"/>
          <w:color w:val="auto"/>
        </w:rPr>
      </w:pPr>
      <w:bookmarkStart w:id="1" w:name="_DV_M2"/>
      <w:bookmarkStart w:id="2" w:name="_DV_M3"/>
      <w:bookmarkEnd w:id="0"/>
      <w:bookmarkEnd w:id="1"/>
      <w:bookmarkEnd w:id="2"/>
      <w:r>
        <w:rPr>
          <w:rFonts w:cs="Times New Roman"/>
          <w:color w:val="auto"/>
        </w:rPr>
        <w:t>Pelo presente instrumento particular:</w:t>
      </w:r>
    </w:p>
    <w:p w14:paraId="02FE3B52" w14:textId="77777777" w:rsidR="00134F41" w:rsidRDefault="00134F41" w:rsidP="00134F41">
      <w:pPr>
        <w:rPr>
          <w:rFonts w:cs="Times New Roman"/>
          <w:color w:val="auto"/>
        </w:rPr>
      </w:pPr>
    </w:p>
    <w:p w14:paraId="6E36654B" w14:textId="77777777" w:rsidR="00134F41" w:rsidRDefault="00134F41" w:rsidP="00134F41">
      <w:pPr>
        <w:rPr>
          <w:rFonts w:cs="Times New Roman"/>
          <w:color w:val="auto"/>
        </w:rPr>
      </w:pPr>
      <w:bookmarkStart w:id="3" w:name="_DV_M4"/>
      <w:bookmarkStart w:id="4" w:name="_DV_M5"/>
      <w:bookmarkStart w:id="5" w:name="_Hlk2867700"/>
      <w:bookmarkStart w:id="6" w:name="_DV_C12"/>
      <w:bookmarkStart w:id="7" w:name="Texto157"/>
      <w:bookmarkEnd w:id="3"/>
      <w:bookmarkEnd w:id="4"/>
      <w:r>
        <w:rPr>
          <w:rFonts w:cs="Times New Roman"/>
          <w:b/>
        </w:rPr>
        <w:t>ISEC SECURITIZADORA S.A.</w:t>
      </w:r>
      <w:r>
        <w:rPr>
          <w:rFonts w:cs="Times New Roman"/>
        </w:rPr>
        <w:t xml:space="preserve">, sociedade por ações com sede na cidade de São Paulo, Estado de São Paulo, na Rua </w:t>
      </w:r>
      <w:r>
        <w:rPr>
          <w:rFonts w:cs="Times New Roman"/>
          <w:bCs/>
        </w:rPr>
        <w:t>Tabapuã</w:t>
      </w:r>
      <w:r>
        <w:rPr>
          <w:rFonts w:cs="Times New Roman"/>
        </w:rPr>
        <w:t xml:space="preserve">, nº </w:t>
      </w:r>
      <w:r>
        <w:rPr>
          <w:rFonts w:cs="Times New Roman"/>
          <w:bCs/>
        </w:rPr>
        <w:t>1.123</w:t>
      </w:r>
      <w:r>
        <w:rPr>
          <w:rFonts w:cs="Times New Roman"/>
        </w:rPr>
        <w:t xml:space="preserve">, </w:t>
      </w:r>
      <w:r>
        <w:rPr>
          <w:rFonts w:cs="Times New Roman"/>
          <w:bCs/>
        </w:rPr>
        <w:t>21</w:t>
      </w:r>
      <w:r>
        <w:rPr>
          <w:rFonts w:cs="Times New Roman"/>
        </w:rPr>
        <w:t xml:space="preserve">º andar, conjunto 215, </w:t>
      </w:r>
      <w:r>
        <w:rPr>
          <w:rFonts w:cs="Times New Roman"/>
          <w:bCs/>
        </w:rPr>
        <w:t>Itaim Bibi</w:t>
      </w:r>
      <w:r>
        <w:rPr>
          <w:rFonts w:cs="Times New Roman"/>
          <w:bCs/>
          <w:color w:val="000000"/>
        </w:rPr>
        <w:t xml:space="preserve">, CEP </w:t>
      </w:r>
      <w:r>
        <w:rPr>
          <w:rFonts w:cs="Times New Roman"/>
          <w:bCs/>
        </w:rPr>
        <w:t>04533-004</w:t>
      </w:r>
      <w:r>
        <w:rPr>
          <w:rFonts w:cs="Times New Roman"/>
        </w:rPr>
        <w:t>, inscrita no</w:t>
      </w:r>
      <w:r>
        <w:rPr>
          <w:rFonts w:eastAsia="Batang" w:cs="Times New Roman"/>
        </w:rPr>
        <w:t xml:space="preserve"> Cadastro Nacional da Pessoa Jurídica do Ministério da Economia (“</w:t>
      </w:r>
      <w:r>
        <w:rPr>
          <w:rFonts w:eastAsia="Batang" w:cs="Times New Roman"/>
          <w:u w:val="single"/>
        </w:rPr>
        <w:t>CNPJ</w:t>
      </w:r>
      <w:r>
        <w:rPr>
          <w:rFonts w:eastAsia="Batang" w:cs="Times New Roman"/>
        </w:rPr>
        <w:t>”) sob o nº </w:t>
      </w:r>
      <w:bookmarkEnd w:id="5"/>
      <w:r>
        <w:rPr>
          <w:rFonts w:cs="Times New Roman"/>
          <w:bCs/>
        </w:rPr>
        <w:t>08.769.451/0001-08</w:t>
      </w:r>
      <w:r>
        <w:rPr>
          <w:rFonts w:cs="Times New Roman"/>
          <w:color w:val="000000"/>
        </w:rPr>
        <w:t xml:space="preserve">, </w:t>
      </w:r>
      <w:bookmarkEnd w:id="6"/>
      <w:bookmarkEnd w:id="7"/>
      <w:r>
        <w:rPr>
          <w:rFonts w:cs="Times New Roman"/>
          <w:color w:val="auto"/>
        </w:rPr>
        <w:t xml:space="preserve">neste ato representada </w:t>
      </w:r>
      <w:r>
        <w:rPr>
          <w:rFonts w:cs="Times New Roman"/>
          <w:bCs/>
          <w:color w:val="auto"/>
        </w:rPr>
        <w:t>na forma</w:t>
      </w:r>
      <w:r>
        <w:rPr>
          <w:rFonts w:cs="Times New Roman"/>
          <w:color w:val="auto"/>
        </w:rPr>
        <w:t xml:space="preserve"> de seu estatuto social (“</w:t>
      </w:r>
      <w:r>
        <w:rPr>
          <w:rFonts w:cs="Times New Roman"/>
          <w:color w:val="auto"/>
          <w:u w:val="single"/>
        </w:rPr>
        <w:t>Securitizadora</w:t>
      </w:r>
      <w:r>
        <w:rPr>
          <w:rFonts w:cs="Times New Roman"/>
          <w:color w:val="auto"/>
        </w:rPr>
        <w:t>” ou “</w:t>
      </w:r>
      <w:r>
        <w:rPr>
          <w:rFonts w:cs="Times New Roman"/>
          <w:color w:val="auto"/>
          <w:u w:val="single"/>
        </w:rPr>
        <w:t>Emissora</w:t>
      </w:r>
      <w:r>
        <w:rPr>
          <w:rFonts w:cs="Times New Roman"/>
          <w:color w:val="auto"/>
        </w:rPr>
        <w:t>”); e</w:t>
      </w:r>
    </w:p>
    <w:p w14:paraId="37D8EA68" w14:textId="77777777" w:rsidR="00134F41" w:rsidRDefault="00134F41" w:rsidP="00134F41">
      <w:pPr>
        <w:rPr>
          <w:rFonts w:cs="Times New Roman"/>
          <w:color w:val="auto"/>
        </w:rPr>
      </w:pPr>
    </w:p>
    <w:p w14:paraId="17A56170" w14:textId="77777777" w:rsidR="00134F41" w:rsidRDefault="00134F41" w:rsidP="00134F41">
      <w:pPr>
        <w:rPr>
          <w:rFonts w:cs="Times New Roman"/>
          <w:color w:val="auto"/>
        </w:rPr>
      </w:pPr>
      <w:bookmarkStart w:id="8" w:name="_DV_M9"/>
      <w:bookmarkEnd w:id="8"/>
      <w:r>
        <w:rPr>
          <w:rFonts w:eastAsia="Calibri" w:cs="Times New Roman"/>
          <w:b/>
          <w:lang w:eastAsia="en-US"/>
        </w:rPr>
        <w:t>SIMPLIFIC PAVARINI DISTRIBUIDORA DE TÍTULOS E VALORES MOBILIÁRIOS LTDA</w:t>
      </w:r>
      <w:r>
        <w:rPr>
          <w:rFonts w:eastAsia="Calibri" w:cs="Times New Roman"/>
          <w:b/>
        </w:rPr>
        <w:t>.</w:t>
      </w:r>
      <w:r>
        <w:rPr>
          <w:rFonts w:cs="Times New Roman"/>
          <w:bCs/>
        </w:rPr>
        <w:t>,</w:t>
      </w:r>
      <w:r>
        <w:rPr>
          <w:rFonts w:cs="Times New Roman"/>
        </w:rPr>
        <w:t xml:space="preserve"> sociedade empresária limitada atuando por sua filial localizada na cidade de São Paulo, Estado de São Paulo, na </w:t>
      </w:r>
      <w:r>
        <w:rPr>
          <w:rFonts w:eastAsia="Calibri" w:cs="Times New Roman"/>
          <w:lang w:eastAsia="en-US"/>
        </w:rPr>
        <w:t>Rua Joaquim Floriano, n° 466, Bloco B, sala 1.401</w:t>
      </w:r>
      <w:r>
        <w:rPr>
          <w:rFonts w:cs="Times New Roman"/>
        </w:rPr>
        <w:t xml:space="preserve">, inscrita no CNPJ sob o nº </w:t>
      </w:r>
      <w:r>
        <w:rPr>
          <w:rFonts w:eastAsia="Calibri" w:cs="Times New Roman"/>
          <w:lang w:eastAsia="en-US"/>
        </w:rPr>
        <w:t>15.227.994/0004-01</w:t>
      </w:r>
      <w:r>
        <w:rPr>
          <w:rFonts w:cs="Times New Roman"/>
          <w:color w:val="auto"/>
        </w:rPr>
        <w:t xml:space="preserve">, neste ato representada </w:t>
      </w:r>
      <w:r>
        <w:rPr>
          <w:rFonts w:cs="Times New Roman"/>
          <w:bCs/>
          <w:color w:val="auto"/>
        </w:rPr>
        <w:t>na forma</w:t>
      </w:r>
      <w:r>
        <w:rPr>
          <w:rFonts w:cs="Times New Roman"/>
          <w:color w:val="auto"/>
        </w:rPr>
        <w:t xml:space="preserve"> de seu contrato social (“</w:t>
      </w:r>
      <w:r>
        <w:rPr>
          <w:rFonts w:cs="Times New Roman"/>
          <w:color w:val="auto"/>
          <w:u w:val="single"/>
        </w:rPr>
        <w:t>Agente Fiduciário</w:t>
      </w:r>
      <w:r>
        <w:rPr>
          <w:rFonts w:cs="Times New Roman"/>
          <w:color w:val="auto"/>
        </w:rPr>
        <w:t xml:space="preserve">”); </w:t>
      </w:r>
    </w:p>
    <w:p w14:paraId="3E97CE5E" w14:textId="77777777" w:rsidR="00134F41" w:rsidRDefault="00134F41" w:rsidP="00134F41">
      <w:pPr>
        <w:rPr>
          <w:rFonts w:cs="Times New Roman"/>
        </w:rPr>
      </w:pPr>
    </w:p>
    <w:p w14:paraId="60D4CD54" w14:textId="77777777" w:rsidR="00134F41" w:rsidRDefault="00134F41" w:rsidP="00134F41">
      <w:pPr>
        <w:pStyle w:val="Ttulo1"/>
        <w:spacing w:before="0"/>
        <w:rPr>
          <w:rFonts w:ascii="Times New Roman" w:hAnsi="Times New Roman" w:cs="Times New Roman"/>
          <w:color w:val="auto"/>
          <w:sz w:val="24"/>
          <w:szCs w:val="24"/>
        </w:rPr>
      </w:pPr>
      <w:bookmarkStart w:id="9" w:name="_Toc41728596"/>
      <w:r>
        <w:rPr>
          <w:rFonts w:ascii="Times New Roman" w:hAnsi="Times New Roman" w:cs="Times New Roman"/>
          <w:smallCaps/>
          <w:color w:val="auto"/>
          <w:sz w:val="24"/>
          <w:szCs w:val="24"/>
        </w:rPr>
        <w:t>CONSIDERANDO QUE</w:t>
      </w:r>
      <w:r>
        <w:rPr>
          <w:rFonts w:ascii="Times New Roman" w:hAnsi="Times New Roman" w:cs="Times New Roman"/>
          <w:color w:val="auto"/>
          <w:sz w:val="24"/>
          <w:szCs w:val="24"/>
        </w:rPr>
        <w:t>:</w:t>
      </w:r>
      <w:bookmarkEnd w:id="9"/>
    </w:p>
    <w:p w14:paraId="5ED5FFE8" w14:textId="77777777" w:rsidR="00134F41" w:rsidRDefault="00134F41" w:rsidP="00134F41">
      <w:pPr>
        <w:pStyle w:val="PargrafodaLista"/>
        <w:rPr>
          <w:sz w:val="24"/>
          <w:szCs w:val="24"/>
          <w:lang w:eastAsia="en-US"/>
        </w:rPr>
      </w:pPr>
    </w:p>
    <w:p w14:paraId="52C752CD" w14:textId="77777777" w:rsidR="00134F41" w:rsidRDefault="00134F41" w:rsidP="00134F41">
      <w:pPr>
        <w:pStyle w:val="PargrafodaLista"/>
        <w:numPr>
          <w:ilvl w:val="0"/>
          <w:numId w:val="1"/>
        </w:numPr>
        <w:suppressAutoHyphens/>
        <w:autoSpaceDE w:val="0"/>
        <w:autoSpaceDN w:val="0"/>
        <w:adjustRightInd w:val="0"/>
        <w:ind w:left="709" w:hanging="709"/>
        <w:rPr>
          <w:sz w:val="24"/>
          <w:szCs w:val="24"/>
        </w:rPr>
      </w:pPr>
      <w:r>
        <w:rPr>
          <w:sz w:val="24"/>
          <w:szCs w:val="24"/>
        </w:rPr>
        <w:t>em 26 de janeiro de 2021, a Emissora e o Agente Fiduciário celebraram o “</w:t>
      </w:r>
      <w:r>
        <w:rPr>
          <w:i/>
          <w:iCs/>
          <w:sz w:val="24"/>
          <w:szCs w:val="24"/>
        </w:rPr>
        <w:t>Termo de Securitização de Créditos Imobiliários da 131ª Série da 4ª Emissão de ISEC Securitizadora S.A.</w:t>
      </w:r>
      <w:r>
        <w:rPr>
          <w:sz w:val="24"/>
          <w:szCs w:val="24"/>
        </w:rPr>
        <w:t>” (“</w:t>
      </w:r>
      <w:r>
        <w:rPr>
          <w:sz w:val="24"/>
          <w:szCs w:val="24"/>
          <w:u w:val="single"/>
        </w:rPr>
        <w:t>Termo de Securitização</w:t>
      </w:r>
      <w:r>
        <w:rPr>
          <w:sz w:val="24"/>
          <w:szCs w:val="24"/>
        </w:rPr>
        <w:t>”), formalizando a securitização dos Créditos Imobiliários e a correspondente emissão dos CRI pela Emissora;</w:t>
      </w:r>
    </w:p>
    <w:p w14:paraId="43C0756A" w14:textId="77777777" w:rsidR="00134F41" w:rsidRDefault="00134F41" w:rsidP="00134F41">
      <w:pPr>
        <w:pStyle w:val="PargrafodaLista"/>
        <w:rPr>
          <w:sz w:val="24"/>
          <w:szCs w:val="24"/>
          <w:lang w:eastAsia="en-US"/>
        </w:rPr>
      </w:pPr>
    </w:p>
    <w:p w14:paraId="49652F69" w14:textId="77777777" w:rsidR="00134F41" w:rsidRDefault="00134F41" w:rsidP="00134F41">
      <w:pPr>
        <w:numPr>
          <w:ilvl w:val="0"/>
          <w:numId w:val="2"/>
        </w:numPr>
        <w:tabs>
          <w:tab w:val="left" w:pos="1418"/>
        </w:tabs>
        <w:ind w:left="709" w:right="-2" w:hanging="709"/>
        <w:rPr>
          <w:rFonts w:cs="Times New Roman"/>
          <w:smallCaps/>
        </w:rPr>
      </w:pPr>
      <w:r>
        <w:rPr>
          <w:rFonts w:cs="Times New Roman"/>
        </w:rPr>
        <w:t>as Partes resolvem alterar determinadas cláusulas e condições do Termo de Securitização, conforme descrito na Cláusula 1.1 abaixo; e</w:t>
      </w:r>
    </w:p>
    <w:p w14:paraId="49D8A90F" w14:textId="77777777" w:rsidR="00134F41" w:rsidRDefault="00134F41" w:rsidP="00134F41">
      <w:pPr>
        <w:tabs>
          <w:tab w:val="left" w:pos="1418"/>
        </w:tabs>
        <w:ind w:left="709" w:right="-2"/>
        <w:rPr>
          <w:rFonts w:cs="Times New Roman"/>
          <w:smallCaps/>
        </w:rPr>
      </w:pPr>
    </w:p>
    <w:p w14:paraId="17DA7D18" w14:textId="77777777" w:rsidR="00134F41" w:rsidRDefault="00134F41" w:rsidP="00134F41">
      <w:pPr>
        <w:numPr>
          <w:ilvl w:val="0"/>
          <w:numId w:val="2"/>
        </w:numPr>
        <w:tabs>
          <w:tab w:val="left" w:pos="1418"/>
        </w:tabs>
        <w:ind w:left="709" w:right="-2" w:hanging="709"/>
        <w:rPr>
          <w:rFonts w:cs="Times New Roman"/>
          <w:smallCaps/>
        </w:rPr>
      </w:pPr>
      <w:r>
        <w:rPr>
          <w:rFonts w:cs="Times New Roman"/>
        </w:rPr>
        <w:t>as Partes dispuseram de tempo e condições adequadas para a avaliação e discussão de todas as cláusulas deste Primeiro Aditamento (conforme abaixo definido), cuja celebração, execução e extinção são pautadas pelos princípios da igualdade, probidade, lealdade e boa-fé.</w:t>
      </w:r>
    </w:p>
    <w:p w14:paraId="33FDB0A0" w14:textId="77777777" w:rsidR="00134F41" w:rsidRDefault="00134F41" w:rsidP="00134F41">
      <w:pPr>
        <w:tabs>
          <w:tab w:val="left" w:pos="851"/>
        </w:tabs>
        <w:rPr>
          <w:rFonts w:cs="Times New Roman"/>
        </w:rPr>
      </w:pPr>
    </w:p>
    <w:p w14:paraId="266DB8BA" w14:textId="77777777" w:rsidR="00134F41" w:rsidRDefault="00134F41" w:rsidP="00134F41">
      <w:pPr>
        <w:rPr>
          <w:rFonts w:cs="Times New Roman"/>
        </w:rPr>
      </w:pPr>
      <w:r>
        <w:rPr>
          <w:rFonts w:cs="Times New Roman"/>
          <w:b/>
        </w:rPr>
        <w:t>RESOLVEM</w:t>
      </w:r>
      <w:r>
        <w:rPr>
          <w:rFonts w:cs="Times New Roman"/>
        </w:rPr>
        <w:t xml:space="preserve">, as Partes, na melhor forma de direito, celebrar este </w:t>
      </w:r>
      <w:r>
        <w:rPr>
          <w:rFonts w:cs="Times New Roman"/>
          <w:color w:val="auto"/>
        </w:rPr>
        <w:t>“</w:t>
      </w:r>
      <w:r>
        <w:rPr>
          <w:rFonts w:cs="Times New Roman"/>
          <w:i/>
          <w:iCs/>
          <w:color w:val="auto"/>
        </w:rPr>
        <w:t>Primeiro Aditamento ao Termo de Securitização de Créditos Imobiliários da 131ª Série da 4ª Emissão de Certificados de Recebíveis Imobiliários</w:t>
      </w:r>
      <w:r>
        <w:rPr>
          <w:rFonts w:cs="Times New Roman"/>
          <w:color w:val="auto"/>
        </w:rPr>
        <w:t>”</w:t>
      </w:r>
      <w:r>
        <w:rPr>
          <w:rFonts w:cs="Times New Roman"/>
        </w:rPr>
        <w:t xml:space="preserve"> (“</w:t>
      </w:r>
      <w:r>
        <w:rPr>
          <w:rFonts w:cs="Times New Roman"/>
          <w:u w:val="single"/>
        </w:rPr>
        <w:t>Primeiro Aditamento</w:t>
      </w:r>
      <w:r>
        <w:rPr>
          <w:rFonts w:cs="Times New Roman"/>
        </w:rPr>
        <w:t>”), que se regerá pelas cláusulas a seguir redigidas e demais disposições, contratuais e legais, aplicáveis.</w:t>
      </w:r>
    </w:p>
    <w:p w14:paraId="5A547FCD" w14:textId="77777777" w:rsidR="00134F41" w:rsidRDefault="00134F41" w:rsidP="00134F41">
      <w:pPr>
        <w:rPr>
          <w:rFonts w:cs="Times New Roman"/>
        </w:rPr>
      </w:pPr>
    </w:p>
    <w:p w14:paraId="76B7B934" w14:textId="77777777" w:rsidR="00134F41" w:rsidRDefault="00134F41" w:rsidP="00134F41">
      <w:pPr>
        <w:rPr>
          <w:rFonts w:cs="Times New Roman"/>
        </w:rPr>
      </w:pPr>
      <w:r>
        <w:rPr>
          <w:rFonts w:cs="Times New Roman"/>
        </w:rPr>
        <w:t>Os termos aqui utilizados iniciados em letra maiúscula, estejam no singular ou no plural, ainda que posteriormente ao seu uso, terão o significado que lhes é atribuído no Termo de Securitização.</w:t>
      </w:r>
    </w:p>
    <w:p w14:paraId="01490903" w14:textId="77777777" w:rsidR="00134F41" w:rsidRDefault="00134F41" w:rsidP="00134F41">
      <w:pPr>
        <w:rPr>
          <w:rFonts w:cs="Times New Roman"/>
          <w:color w:val="auto"/>
        </w:rPr>
      </w:pPr>
    </w:p>
    <w:p w14:paraId="69EB7B26" w14:textId="77777777" w:rsidR="00134F41" w:rsidRDefault="00134F41" w:rsidP="00134F41">
      <w:pPr>
        <w:keepNext/>
        <w:numPr>
          <w:ilvl w:val="0"/>
          <w:numId w:val="3"/>
        </w:numPr>
        <w:ind w:left="1418" w:hanging="1418"/>
        <w:outlineLvl w:val="0"/>
        <w:rPr>
          <w:rFonts w:cs="Times New Roman"/>
          <w:b/>
        </w:rPr>
      </w:pPr>
      <w:bookmarkStart w:id="10" w:name="_DV_M10"/>
      <w:bookmarkStart w:id="11" w:name="_Toc531624632"/>
      <w:bookmarkStart w:id="12" w:name="_Toc531337578"/>
      <w:bookmarkStart w:id="13" w:name="_Toc13309036"/>
      <w:bookmarkStart w:id="14" w:name="_Toc494906377"/>
      <w:bookmarkStart w:id="15" w:name="_Toc180553531"/>
      <w:bookmarkStart w:id="16" w:name="_Toc163380698"/>
      <w:bookmarkStart w:id="17" w:name="_Toc110076260"/>
      <w:bookmarkEnd w:id="10"/>
      <w:r>
        <w:rPr>
          <w:rFonts w:cs="Times New Roman"/>
          <w:b/>
          <w:smallCaps/>
        </w:rPr>
        <w:t>ALTERAÇÕES</w:t>
      </w:r>
      <w:bookmarkEnd w:id="11"/>
      <w:bookmarkEnd w:id="12"/>
    </w:p>
    <w:p w14:paraId="09E05074" w14:textId="77777777" w:rsidR="00134F41" w:rsidRDefault="00134F41" w:rsidP="00134F41">
      <w:pPr>
        <w:keepNext/>
        <w:tabs>
          <w:tab w:val="left" w:pos="1418"/>
        </w:tabs>
        <w:suppressAutoHyphens/>
        <w:ind w:right="-284"/>
        <w:rPr>
          <w:rFonts w:cs="Times New Roman"/>
        </w:rPr>
      </w:pPr>
    </w:p>
    <w:p w14:paraId="7D7B2371" w14:textId="77777777" w:rsidR="00134F41" w:rsidRDefault="00134F41" w:rsidP="00134F41">
      <w:pPr>
        <w:pStyle w:val="PargrafodaLista"/>
        <w:tabs>
          <w:tab w:val="left" w:pos="1418"/>
        </w:tabs>
        <w:ind w:left="0"/>
        <w:rPr>
          <w:sz w:val="24"/>
          <w:szCs w:val="24"/>
        </w:rPr>
      </w:pPr>
      <w:r>
        <w:rPr>
          <w:sz w:val="24"/>
          <w:szCs w:val="24"/>
        </w:rPr>
        <w:t>1.1.</w:t>
      </w:r>
      <w:r>
        <w:rPr>
          <w:sz w:val="24"/>
          <w:szCs w:val="24"/>
        </w:rPr>
        <w:tab/>
        <w:t>As Partes decidem alterar a Cláusula 1.1 do Termo de Securitização para modificar a definição de “Amortização Programada dos CRI”, que passará a viger conforme redação a seguir:</w:t>
      </w:r>
    </w:p>
    <w:p w14:paraId="780B93D1" w14:textId="77777777" w:rsidR="00134F41" w:rsidRDefault="00134F41" w:rsidP="00134F41">
      <w:pPr>
        <w:pStyle w:val="PargrafodaLista"/>
        <w:tabs>
          <w:tab w:val="left" w:pos="1418"/>
        </w:tabs>
        <w:ind w:left="0"/>
        <w:rPr>
          <w:sz w:val="24"/>
          <w:szCs w:val="24"/>
        </w:rPr>
      </w:pPr>
    </w:p>
    <w:tbl>
      <w:tblPr>
        <w:tblW w:w="4200" w:type="pct"/>
        <w:jc w:val="center"/>
        <w:tblCellMar>
          <w:left w:w="70" w:type="dxa"/>
          <w:right w:w="70" w:type="dxa"/>
        </w:tblCellMar>
        <w:tblLook w:val="04A0" w:firstRow="1" w:lastRow="0" w:firstColumn="1" w:lastColumn="0" w:noHBand="0" w:noVBand="1"/>
      </w:tblPr>
      <w:tblGrid>
        <w:gridCol w:w="2176"/>
        <w:gridCol w:w="4967"/>
      </w:tblGrid>
      <w:tr w:rsidR="00134F41" w14:paraId="6561D5F4" w14:textId="77777777" w:rsidTr="00134F41">
        <w:trPr>
          <w:trHeight w:val="20"/>
          <w:jc w:val="center"/>
        </w:trPr>
        <w:tc>
          <w:tcPr>
            <w:tcW w:w="1523" w:type="pct"/>
            <w:hideMark/>
          </w:tcPr>
          <w:p w14:paraId="6F32BD2C" w14:textId="77777777" w:rsidR="00134F41" w:rsidRDefault="00134F41">
            <w:pPr>
              <w:jc w:val="left"/>
              <w:rPr>
                <w:rFonts w:cs="Times New Roman"/>
                <w:i/>
                <w:iCs/>
                <w:color w:val="auto"/>
                <w:lang w:eastAsia="en-US"/>
              </w:rPr>
            </w:pPr>
            <w:r>
              <w:rPr>
                <w:rFonts w:cs="Times New Roman"/>
                <w:i/>
                <w:iCs/>
                <w:color w:val="auto"/>
                <w:lang w:eastAsia="en-US"/>
              </w:rPr>
              <w:t>“</w:t>
            </w:r>
            <w:r>
              <w:rPr>
                <w:rFonts w:cs="Times New Roman"/>
                <w:i/>
                <w:iCs/>
                <w:color w:val="auto"/>
                <w:u w:val="single"/>
                <w:lang w:eastAsia="en-US"/>
              </w:rPr>
              <w:t>Amortização Programada dos CRI</w:t>
            </w:r>
            <w:r>
              <w:rPr>
                <w:rFonts w:cs="Times New Roman"/>
                <w:i/>
                <w:iCs/>
                <w:color w:val="auto"/>
                <w:lang w:eastAsia="en-US"/>
              </w:rPr>
              <w:t>”</w:t>
            </w:r>
          </w:p>
        </w:tc>
        <w:tc>
          <w:tcPr>
            <w:tcW w:w="3477" w:type="pct"/>
          </w:tcPr>
          <w:p w14:paraId="089031C1" w14:textId="77777777" w:rsidR="00134F41" w:rsidRDefault="00134F41">
            <w:pPr>
              <w:rPr>
                <w:rFonts w:cs="Times New Roman"/>
                <w:i/>
                <w:iCs/>
                <w:color w:val="auto"/>
                <w:lang w:eastAsia="en-US"/>
              </w:rPr>
            </w:pPr>
            <w:r>
              <w:rPr>
                <w:rFonts w:cs="Times New Roman"/>
                <w:i/>
                <w:iCs/>
                <w:color w:val="auto"/>
                <w:lang w:eastAsia="en-US"/>
              </w:rPr>
              <w:t xml:space="preserve">A amortização incidente sobre o Valor Nominal Unitário dos CRI, </w:t>
            </w:r>
            <w:r>
              <w:rPr>
                <w:rFonts w:cs="Times New Roman"/>
                <w:i/>
                <w:iCs/>
                <w:color w:val="000000"/>
                <w:lang w:eastAsia="en-US"/>
              </w:rPr>
              <w:t>a partir do 25º (vigésimo quinto) mês contado da Data de Emissão, nas datas indicadas no Anexo II</w:t>
            </w:r>
            <w:r>
              <w:rPr>
                <w:rFonts w:cs="Times New Roman"/>
                <w:i/>
                <w:iCs/>
                <w:color w:val="auto"/>
                <w:lang w:eastAsia="en-US"/>
              </w:rPr>
              <w:t>.</w:t>
            </w:r>
          </w:p>
          <w:p w14:paraId="1ED17AD4" w14:textId="77777777" w:rsidR="00134F41" w:rsidRDefault="00134F41">
            <w:pPr>
              <w:rPr>
                <w:rFonts w:cs="Times New Roman"/>
                <w:i/>
                <w:iCs/>
                <w:color w:val="auto"/>
                <w:kern w:val="20"/>
                <w:lang w:eastAsia="en-US"/>
              </w:rPr>
            </w:pPr>
          </w:p>
        </w:tc>
      </w:tr>
    </w:tbl>
    <w:p w14:paraId="7559E1A8" w14:textId="77777777" w:rsidR="00134F41" w:rsidRDefault="00134F41" w:rsidP="00134F41">
      <w:pPr>
        <w:pStyle w:val="PargrafodaLista"/>
        <w:tabs>
          <w:tab w:val="left" w:pos="1418"/>
        </w:tabs>
        <w:suppressAutoHyphens/>
        <w:ind w:right="-284"/>
        <w:rPr>
          <w:sz w:val="24"/>
          <w:szCs w:val="24"/>
        </w:rPr>
      </w:pPr>
    </w:p>
    <w:p w14:paraId="1432D914" w14:textId="77777777" w:rsidR="00134F41" w:rsidRDefault="00134F41" w:rsidP="00134F41">
      <w:pPr>
        <w:pStyle w:val="PargrafodaLista"/>
        <w:tabs>
          <w:tab w:val="left" w:pos="1418"/>
        </w:tabs>
        <w:ind w:left="0"/>
        <w:rPr>
          <w:sz w:val="24"/>
          <w:szCs w:val="24"/>
        </w:rPr>
      </w:pPr>
      <w:r>
        <w:rPr>
          <w:sz w:val="24"/>
          <w:szCs w:val="24"/>
        </w:rPr>
        <w:t>1.2.</w:t>
      </w:r>
      <w:r>
        <w:rPr>
          <w:sz w:val="24"/>
          <w:szCs w:val="24"/>
        </w:rPr>
        <w:tab/>
        <w:t>As Partes decidem alterar a Cláusula 3.1 (x) do Termo de Securitização que passará a vigorar com a seguinte redação:</w:t>
      </w:r>
    </w:p>
    <w:p w14:paraId="7DBE8F3B" w14:textId="77777777" w:rsidR="00134F41" w:rsidRDefault="00134F41" w:rsidP="00134F41">
      <w:pPr>
        <w:pStyle w:val="PargrafodaLista"/>
        <w:tabs>
          <w:tab w:val="left" w:pos="1418"/>
        </w:tabs>
        <w:ind w:left="0"/>
        <w:rPr>
          <w:sz w:val="24"/>
          <w:szCs w:val="24"/>
        </w:rPr>
      </w:pPr>
    </w:p>
    <w:p w14:paraId="1289C8C4" w14:textId="77777777" w:rsidR="00134F41" w:rsidRDefault="00134F41" w:rsidP="00134F41">
      <w:pPr>
        <w:pStyle w:val="Tahoma11"/>
        <w:ind w:left="709"/>
        <w:rPr>
          <w:rFonts w:cs="Times New Roman"/>
          <w:i/>
          <w:iCs/>
          <w:sz w:val="24"/>
          <w:szCs w:val="24"/>
        </w:rPr>
      </w:pPr>
      <w:r>
        <w:rPr>
          <w:rFonts w:ascii="Times New Roman" w:hAnsi="Times New Roman" w:cs="Times New Roman"/>
          <w:i/>
          <w:iCs/>
          <w:sz w:val="24"/>
          <w:szCs w:val="24"/>
        </w:rPr>
        <w:t xml:space="preserve">“(x) </w:t>
      </w:r>
      <w:r>
        <w:rPr>
          <w:rFonts w:ascii="Times New Roman" w:hAnsi="Times New Roman" w:cs="Times New Roman"/>
          <w:i/>
          <w:iCs/>
          <w:sz w:val="24"/>
          <w:szCs w:val="24"/>
        </w:rPr>
        <w:tab/>
      </w:r>
      <w:r>
        <w:rPr>
          <w:rFonts w:ascii="Times New Roman" w:hAnsi="Times New Roman" w:cs="Times New Roman"/>
          <w:i/>
          <w:iCs/>
          <w:sz w:val="24"/>
          <w:szCs w:val="24"/>
          <w:u w:val="single"/>
        </w:rPr>
        <w:t>Prêmio de Participação</w:t>
      </w:r>
      <w:r>
        <w:rPr>
          <w:rFonts w:ascii="Times New Roman" w:hAnsi="Times New Roman" w:cs="Times New Roman"/>
          <w:i/>
          <w:iCs/>
          <w:sz w:val="24"/>
          <w:szCs w:val="24"/>
        </w:rPr>
        <w:t>: O prêmio decorrente de receita extraordinária, calculado conforme CCB, a ser pago aos Titulares do CRI com recursos recebidos na conta do Patrimônio Separado;”</w:t>
      </w:r>
    </w:p>
    <w:p w14:paraId="4AE7C445" w14:textId="77777777" w:rsidR="00134F41" w:rsidRDefault="00134F41" w:rsidP="00134F41">
      <w:pPr>
        <w:pStyle w:val="PargrafodaLista"/>
        <w:tabs>
          <w:tab w:val="left" w:pos="1418"/>
        </w:tabs>
        <w:suppressAutoHyphens/>
        <w:ind w:right="-284"/>
        <w:rPr>
          <w:sz w:val="24"/>
          <w:szCs w:val="24"/>
        </w:rPr>
      </w:pPr>
    </w:p>
    <w:p w14:paraId="38616654" w14:textId="77777777" w:rsidR="00134F41" w:rsidRDefault="00134F41" w:rsidP="00134F41">
      <w:pPr>
        <w:pStyle w:val="PargrafodaLista"/>
        <w:tabs>
          <w:tab w:val="left" w:pos="1418"/>
        </w:tabs>
        <w:ind w:left="0"/>
        <w:rPr>
          <w:sz w:val="24"/>
          <w:szCs w:val="24"/>
        </w:rPr>
      </w:pPr>
      <w:r>
        <w:rPr>
          <w:sz w:val="24"/>
          <w:szCs w:val="24"/>
        </w:rPr>
        <w:t>1.3.</w:t>
      </w:r>
      <w:r>
        <w:rPr>
          <w:sz w:val="24"/>
          <w:szCs w:val="24"/>
        </w:rPr>
        <w:tab/>
        <w:t>As Partes decidem alterar a Cláusula 6.2.1 do Termo de Securitização para modificar a definição de “Amortização Programada dos CRI”, conforme redação a seguir:</w:t>
      </w:r>
    </w:p>
    <w:p w14:paraId="0B9F8780" w14:textId="3380113D" w:rsidR="00134F41" w:rsidRDefault="00134F41" w:rsidP="00134F41">
      <w:pPr>
        <w:pStyle w:val="PargrafodaLista"/>
        <w:tabs>
          <w:tab w:val="left" w:pos="1418"/>
        </w:tabs>
        <w:suppressAutoHyphens/>
        <w:ind w:right="-284"/>
        <w:rPr>
          <w:sz w:val="24"/>
          <w:szCs w:val="24"/>
        </w:rPr>
      </w:pPr>
    </w:p>
    <w:p w14:paraId="53221B6A" w14:textId="77777777" w:rsidR="00FE2F85" w:rsidRDefault="00FE2F85" w:rsidP="00134F41">
      <w:pPr>
        <w:pStyle w:val="PargrafodaLista"/>
        <w:tabs>
          <w:tab w:val="left" w:pos="1418"/>
        </w:tabs>
        <w:suppressAutoHyphens/>
        <w:ind w:right="-284"/>
        <w:rPr>
          <w:sz w:val="24"/>
          <w:szCs w:val="24"/>
        </w:rPr>
      </w:pPr>
    </w:p>
    <w:p w14:paraId="021DEAF5" w14:textId="77777777" w:rsidR="00134F41" w:rsidRDefault="00134F41" w:rsidP="00134F41">
      <w:pPr>
        <w:pStyle w:val="Tahoma11"/>
        <w:ind w:left="709"/>
        <w:rPr>
          <w:rFonts w:ascii="Times New Roman" w:hAnsi="Times New Roman" w:cs="Times New Roman"/>
          <w:i/>
          <w:iCs/>
          <w:sz w:val="24"/>
          <w:szCs w:val="24"/>
        </w:rPr>
      </w:pPr>
      <w:r>
        <w:rPr>
          <w:rFonts w:ascii="Times New Roman" w:hAnsi="Times New Roman" w:cs="Times New Roman"/>
          <w:i/>
          <w:iCs/>
          <w:sz w:val="24"/>
          <w:szCs w:val="24"/>
        </w:rPr>
        <w:t>“6.2.1</w:t>
      </w:r>
      <w:r>
        <w:rPr>
          <w:rFonts w:ascii="Times New Roman" w:hAnsi="Times New Roman" w:cs="Times New Roman"/>
          <w:i/>
          <w:iCs/>
          <w:sz w:val="24"/>
          <w:szCs w:val="24"/>
        </w:rPr>
        <w:tab/>
      </w:r>
      <w:r>
        <w:rPr>
          <w:rFonts w:ascii="Times New Roman" w:hAnsi="Times New Roman" w:cs="Times New Roman"/>
          <w:i/>
          <w:iCs/>
          <w:sz w:val="24"/>
          <w:szCs w:val="24"/>
        </w:rPr>
        <w:tab/>
        <w:t>Exclusivamente no caso previsto no inciso (</w:t>
      </w:r>
      <w:proofErr w:type="spellStart"/>
      <w:r>
        <w:rPr>
          <w:rFonts w:ascii="Times New Roman" w:hAnsi="Times New Roman" w:cs="Times New Roman"/>
          <w:i/>
          <w:iCs/>
          <w:sz w:val="24"/>
          <w:szCs w:val="24"/>
        </w:rPr>
        <w:t>ii</w:t>
      </w:r>
      <w:proofErr w:type="spellEnd"/>
      <w:r>
        <w:rPr>
          <w:rFonts w:ascii="Times New Roman" w:hAnsi="Times New Roman" w:cs="Times New Roman"/>
          <w:i/>
          <w:iCs/>
          <w:sz w:val="24"/>
          <w:szCs w:val="24"/>
        </w:rPr>
        <w:t xml:space="preserve">) da Cláusula 6.1. acima, o valor devido aos Titulares de CRI em razão do Resgate Antecipado será acrescido, ainda, de prêmio flat calculado sobre o saldo do Valor Nominal Unitário dos CRI, definido de acordo com a data de realização da referida liquidação, conforme abaixo: </w:t>
      </w:r>
    </w:p>
    <w:p w14:paraId="50CB67FC" w14:textId="77777777" w:rsidR="00134F41" w:rsidRDefault="00134F41" w:rsidP="00134F41">
      <w:pPr>
        <w:autoSpaceDE w:val="0"/>
        <w:autoSpaceDN w:val="0"/>
        <w:adjustRightInd w:val="0"/>
        <w:rPr>
          <w:rFonts w:cs="Times New Roman"/>
          <w:i/>
          <w:iCs/>
          <w:color w:val="auto"/>
        </w:rPr>
      </w:pPr>
    </w:p>
    <w:p w14:paraId="5131469D" w14:textId="77777777" w:rsidR="00FE2F85" w:rsidRDefault="00FE2F85">
      <w:r>
        <w:br w:type="page"/>
      </w:r>
    </w:p>
    <w:tbl>
      <w:tblPr>
        <w:tblStyle w:val="Tabelacomgrade"/>
        <w:tblW w:w="8220" w:type="dxa"/>
        <w:tblInd w:w="704" w:type="dxa"/>
        <w:tblLayout w:type="fixed"/>
        <w:tblLook w:val="04A0" w:firstRow="1" w:lastRow="0" w:firstColumn="1" w:lastColumn="0" w:noHBand="0" w:noVBand="1"/>
      </w:tblPr>
      <w:tblGrid>
        <w:gridCol w:w="3686"/>
        <w:gridCol w:w="2267"/>
        <w:gridCol w:w="2267"/>
      </w:tblGrid>
      <w:tr w:rsidR="00134F41" w14:paraId="74ABDE7B" w14:textId="77777777" w:rsidTr="00B75833">
        <w:tc>
          <w:tcPr>
            <w:tcW w:w="368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661041F" w14:textId="5E828B92" w:rsidR="00134F41" w:rsidRDefault="00134F41">
            <w:pPr>
              <w:jc w:val="center"/>
              <w:rPr>
                <w:rFonts w:cs="Times New Roman"/>
                <w:b/>
                <w:i/>
                <w:iCs/>
                <w:color w:val="FFFFFF" w:themeColor="background1"/>
              </w:rPr>
            </w:pPr>
            <w:r>
              <w:rPr>
                <w:rFonts w:cs="Times New Roman"/>
                <w:b/>
                <w:i/>
                <w:iCs/>
                <w:color w:val="FFFFFF" w:themeColor="background1"/>
              </w:rPr>
              <w:t>Período do Resgate Antecipado do CRI</w:t>
            </w:r>
          </w:p>
        </w:tc>
        <w:tc>
          <w:tcPr>
            <w:tcW w:w="226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2E7CE02" w14:textId="77777777" w:rsidR="00134F41" w:rsidRDefault="00134F41">
            <w:pPr>
              <w:jc w:val="center"/>
              <w:rPr>
                <w:rFonts w:cs="Times New Roman"/>
                <w:b/>
                <w:i/>
                <w:iCs/>
                <w:color w:val="FFFFFF" w:themeColor="background1"/>
              </w:rPr>
            </w:pPr>
            <w:r>
              <w:rPr>
                <w:rFonts w:cs="Times New Roman"/>
                <w:b/>
                <w:i/>
                <w:iCs/>
                <w:color w:val="FFFFFF" w:themeColor="background1"/>
              </w:rPr>
              <w:t>Permitido</w:t>
            </w:r>
          </w:p>
        </w:tc>
        <w:tc>
          <w:tcPr>
            <w:tcW w:w="226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1D71E22" w14:textId="77777777" w:rsidR="00134F41" w:rsidRDefault="00134F41">
            <w:pPr>
              <w:jc w:val="center"/>
              <w:rPr>
                <w:rFonts w:cs="Times New Roman"/>
                <w:b/>
                <w:i/>
                <w:iCs/>
                <w:color w:val="FFFFFF" w:themeColor="background1"/>
              </w:rPr>
            </w:pPr>
            <w:r>
              <w:rPr>
                <w:rFonts w:cs="Times New Roman"/>
                <w:b/>
                <w:i/>
                <w:iCs/>
                <w:color w:val="FFFFFF" w:themeColor="background1"/>
              </w:rPr>
              <w:t>Prêmio (flat) [calculado sobre o saldo devedor]</w:t>
            </w:r>
          </w:p>
        </w:tc>
      </w:tr>
      <w:tr w:rsidR="00134F41" w14:paraId="448F0FF1" w14:textId="77777777" w:rsidTr="00B75833">
        <w:tc>
          <w:tcPr>
            <w:tcW w:w="3686" w:type="dxa"/>
            <w:tcBorders>
              <w:top w:val="single" w:sz="4" w:space="0" w:color="auto"/>
              <w:left w:val="single" w:sz="4" w:space="0" w:color="auto"/>
              <w:bottom w:val="single" w:sz="4" w:space="0" w:color="auto"/>
              <w:right w:val="single" w:sz="4" w:space="0" w:color="auto"/>
            </w:tcBorders>
            <w:hideMark/>
          </w:tcPr>
          <w:p w14:paraId="0083169D" w14:textId="77777777" w:rsidR="00134F41" w:rsidRDefault="00134F41">
            <w:pPr>
              <w:jc w:val="center"/>
              <w:rPr>
                <w:rFonts w:cs="Times New Roman"/>
                <w:bCs/>
                <w:i/>
                <w:iCs/>
              </w:rPr>
            </w:pPr>
            <w:r>
              <w:rPr>
                <w:rFonts w:cs="Times New Roman"/>
                <w:bCs/>
                <w:i/>
                <w:iCs/>
              </w:rPr>
              <w:t>26 de janeiro de 2021 (inclusive) a 31 de janeiro de 2023 (exclusive)</w:t>
            </w:r>
          </w:p>
        </w:tc>
        <w:tc>
          <w:tcPr>
            <w:tcW w:w="2267" w:type="dxa"/>
            <w:tcBorders>
              <w:top w:val="single" w:sz="4" w:space="0" w:color="auto"/>
              <w:left w:val="single" w:sz="4" w:space="0" w:color="auto"/>
              <w:bottom w:val="single" w:sz="4" w:space="0" w:color="auto"/>
              <w:right w:val="single" w:sz="4" w:space="0" w:color="auto"/>
            </w:tcBorders>
            <w:hideMark/>
          </w:tcPr>
          <w:p w14:paraId="40073750" w14:textId="77777777" w:rsidR="00134F41" w:rsidRDefault="00134F41">
            <w:pPr>
              <w:jc w:val="center"/>
              <w:rPr>
                <w:rFonts w:cs="Times New Roman"/>
                <w:bCs/>
                <w:i/>
                <w:iCs/>
                <w:highlight w:val="yellow"/>
              </w:rPr>
            </w:pPr>
            <w:r>
              <w:rPr>
                <w:rFonts w:cs="Times New Roman"/>
                <w:bCs/>
                <w:i/>
                <w:iCs/>
              </w:rPr>
              <w:t>Não</w:t>
            </w:r>
          </w:p>
        </w:tc>
        <w:tc>
          <w:tcPr>
            <w:tcW w:w="2267" w:type="dxa"/>
            <w:tcBorders>
              <w:top w:val="single" w:sz="4" w:space="0" w:color="auto"/>
              <w:left w:val="single" w:sz="4" w:space="0" w:color="auto"/>
              <w:bottom w:val="single" w:sz="4" w:space="0" w:color="auto"/>
              <w:right w:val="single" w:sz="4" w:space="0" w:color="auto"/>
            </w:tcBorders>
            <w:hideMark/>
          </w:tcPr>
          <w:p w14:paraId="6FE1CD54" w14:textId="77777777" w:rsidR="00134F41" w:rsidRDefault="00134F41">
            <w:pPr>
              <w:jc w:val="center"/>
              <w:rPr>
                <w:rFonts w:cs="Times New Roman"/>
                <w:bCs/>
                <w:i/>
                <w:iCs/>
                <w:highlight w:val="yellow"/>
              </w:rPr>
            </w:pPr>
            <w:r>
              <w:rPr>
                <w:rFonts w:cs="Times New Roman"/>
                <w:bCs/>
                <w:i/>
                <w:iCs/>
              </w:rPr>
              <w:t>-</w:t>
            </w:r>
          </w:p>
        </w:tc>
      </w:tr>
      <w:tr w:rsidR="00134F41" w14:paraId="55EE526E" w14:textId="77777777" w:rsidTr="00B75833">
        <w:tc>
          <w:tcPr>
            <w:tcW w:w="3686" w:type="dxa"/>
            <w:tcBorders>
              <w:top w:val="single" w:sz="4" w:space="0" w:color="auto"/>
              <w:left w:val="single" w:sz="4" w:space="0" w:color="auto"/>
              <w:bottom w:val="single" w:sz="4" w:space="0" w:color="auto"/>
              <w:right w:val="single" w:sz="4" w:space="0" w:color="auto"/>
            </w:tcBorders>
            <w:hideMark/>
          </w:tcPr>
          <w:p w14:paraId="3F637747" w14:textId="77777777" w:rsidR="00134F41" w:rsidRDefault="00134F41">
            <w:pPr>
              <w:jc w:val="center"/>
              <w:rPr>
                <w:rFonts w:cs="Times New Roman"/>
                <w:bCs/>
                <w:i/>
                <w:iCs/>
              </w:rPr>
            </w:pPr>
            <w:r>
              <w:rPr>
                <w:rFonts w:cs="Times New Roman"/>
                <w:bCs/>
                <w:i/>
                <w:iCs/>
              </w:rPr>
              <w:t>31 de janeiro de 2023 (inclusive) a 31 de janeiro de 2024 (exclusive)</w:t>
            </w:r>
          </w:p>
        </w:tc>
        <w:tc>
          <w:tcPr>
            <w:tcW w:w="2267" w:type="dxa"/>
            <w:tcBorders>
              <w:top w:val="single" w:sz="4" w:space="0" w:color="auto"/>
              <w:left w:val="single" w:sz="4" w:space="0" w:color="auto"/>
              <w:bottom w:val="single" w:sz="4" w:space="0" w:color="auto"/>
              <w:right w:val="single" w:sz="4" w:space="0" w:color="auto"/>
            </w:tcBorders>
            <w:hideMark/>
          </w:tcPr>
          <w:p w14:paraId="65E3B9C1" w14:textId="77777777" w:rsidR="00134F41" w:rsidRDefault="00134F41">
            <w:pPr>
              <w:jc w:val="center"/>
              <w:rPr>
                <w:rFonts w:cs="Times New Roman"/>
                <w:bCs/>
                <w:i/>
                <w:iCs/>
              </w:rPr>
            </w:pPr>
            <w:r>
              <w:rPr>
                <w:rFonts w:cs="Times New Roman"/>
                <w:bCs/>
                <w:i/>
                <w:iCs/>
              </w:rPr>
              <w:t>Sim</w:t>
            </w:r>
          </w:p>
        </w:tc>
        <w:tc>
          <w:tcPr>
            <w:tcW w:w="2267" w:type="dxa"/>
            <w:tcBorders>
              <w:top w:val="single" w:sz="4" w:space="0" w:color="auto"/>
              <w:left w:val="single" w:sz="4" w:space="0" w:color="auto"/>
              <w:bottom w:val="single" w:sz="4" w:space="0" w:color="auto"/>
              <w:right w:val="single" w:sz="4" w:space="0" w:color="auto"/>
            </w:tcBorders>
            <w:hideMark/>
          </w:tcPr>
          <w:p w14:paraId="6C5A0E95" w14:textId="77777777" w:rsidR="00134F41" w:rsidRDefault="00134F41">
            <w:pPr>
              <w:jc w:val="center"/>
              <w:rPr>
                <w:rFonts w:cs="Times New Roman"/>
                <w:bCs/>
                <w:i/>
                <w:iCs/>
              </w:rPr>
            </w:pPr>
            <w:r>
              <w:rPr>
                <w:rFonts w:cs="Times New Roman"/>
                <w:bCs/>
                <w:i/>
                <w:iCs/>
              </w:rPr>
              <w:t>1,50%</w:t>
            </w:r>
          </w:p>
        </w:tc>
      </w:tr>
      <w:tr w:rsidR="00134F41" w14:paraId="5F74F262" w14:textId="77777777" w:rsidTr="00B75833">
        <w:tc>
          <w:tcPr>
            <w:tcW w:w="3686" w:type="dxa"/>
            <w:tcBorders>
              <w:top w:val="single" w:sz="4" w:space="0" w:color="auto"/>
              <w:left w:val="single" w:sz="4" w:space="0" w:color="auto"/>
              <w:bottom w:val="single" w:sz="4" w:space="0" w:color="auto"/>
              <w:right w:val="single" w:sz="4" w:space="0" w:color="auto"/>
            </w:tcBorders>
            <w:hideMark/>
          </w:tcPr>
          <w:p w14:paraId="32DD19CF" w14:textId="77777777" w:rsidR="00134F41" w:rsidRDefault="00134F41">
            <w:pPr>
              <w:jc w:val="center"/>
              <w:rPr>
                <w:rFonts w:cs="Times New Roman"/>
                <w:bCs/>
                <w:i/>
                <w:iCs/>
              </w:rPr>
            </w:pPr>
            <w:r>
              <w:rPr>
                <w:rFonts w:cs="Times New Roman"/>
                <w:bCs/>
                <w:i/>
                <w:iCs/>
              </w:rPr>
              <w:t>31 de janeiro de 2024 (inclusive) a 31 de janeiro de 2025 (exclusive)</w:t>
            </w:r>
          </w:p>
        </w:tc>
        <w:tc>
          <w:tcPr>
            <w:tcW w:w="2267" w:type="dxa"/>
            <w:tcBorders>
              <w:top w:val="single" w:sz="4" w:space="0" w:color="auto"/>
              <w:left w:val="single" w:sz="4" w:space="0" w:color="auto"/>
              <w:bottom w:val="single" w:sz="4" w:space="0" w:color="auto"/>
              <w:right w:val="single" w:sz="4" w:space="0" w:color="auto"/>
            </w:tcBorders>
            <w:hideMark/>
          </w:tcPr>
          <w:p w14:paraId="6733D77D" w14:textId="77777777" w:rsidR="00134F41" w:rsidRDefault="00134F41">
            <w:pPr>
              <w:jc w:val="center"/>
              <w:rPr>
                <w:rFonts w:cs="Times New Roman"/>
                <w:bCs/>
                <w:i/>
                <w:iCs/>
              </w:rPr>
            </w:pPr>
            <w:r>
              <w:rPr>
                <w:rFonts w:cs="Times New Roman"/>
                <w:bCs/>
                <w:i/>
                <w:iCs/>
              </w:rPr>
              <w:t>Sim</w:t>
            </w:r>
          </w:p>
        </w:tc>
        <w:tc>
          <w:tcPr>
            <w:tcW w:w="2267" w:type="dxa"/>
            <w:tcBorders>
              <w:top w:val="single" w:sz="4" w:space="0" w:color="auto"/>
              <w:left w:val="single" w:sz="4" w:space="0" w:color="auto"/>
              <w:bottom w:val="single" w:sz="4" w:space="0" w:color="auto"/>
              <w:right w:val="single" w:sz="4" w:space="0" w:color="auto"/>
            </w:tcBorders>
            <w:hideMark/>
          </w:tcPr>
          <w:p w14:paraId="4ADEC694" w14:textId="77777777" w:rsidR="00134F41" w:rsidRDefault="00134F41">
            <w:pPr>
              <w:jc w:val="center"/>
              <w:rPr>
                <w:rFonts w:cs="Times New Roman"/>
                <w:bCs/>
                <w:i/>
                <w:iCs/>
              </w:rPr>
            </w:pPr>
            <w:r>
              <w:rPr>
                <w:rFonts w:cs="Times New Roman"/>
                <w:bCs/>
                <w:i/>
                <w:iCs/>
              </w:rPr>
              <w:t>1,30%</w:t>
            </w:r>
          </w:p>
        </w:tc>
      </w:tr>
      <w:tr w:rsidR="00134F41" w14:paraId="097E0261" w14:textId="77777777" w:rsidTr="00B75833">
        <w:tc>
          <w:tcPr>
            <w:tcW w:w="3686" w:type="dxa"/>
            <w:tcBorders>
              <w:top w:val="single" w:sz="4" w:space="0" w:color="auto"/>
              <w:left w:val="single" w:sz="4" w:space="0" w:color="auto"/>
              <w:bottom w:val="single" w:sz="4" w:space="0" w:color="auto"/>
              <w:right w:val="single" w:sz="4" w:space="0" w:color="auto"/>
            </w:tcBorders>
            <w:hideMark/>
          </w:tcPr>
          <w:p w14:paraId="2483728B" w14:textId="77777777" w:rsidR="00134F41" w:rsidRDefault="00134F41">
            <w:pPr>
              <w:jc w:val="center"/>
              <w:rPr>
                <w:rFonts w:cs="Times New Roman"/>
                <w:bCs/>
                <w:i/>
                <w:iCs/>
              </w:rPr>
            </w:pPr>
            <w:r>
              <w:rPr>
                <w:rFonts w:cs="Times New Roman"/>
                <w:bCs/>
                <w:i/>
                <w:iCs/>
              </w:rPr>
              <w:t>31 de janeiro de 2025 (inclusive) a 26 de janeiro de 2026 (exclusive)</w:t>
            </w:r>
          </w:p>
        </w:tc>
        <w:tc>
          <w:tcPr>
            <w:tcW w:w="2267" w:type="dxa"/>
            <w:tcBorders>
              <w:top w:val="single" w:sz="4" w:space="0" w:color="auto"/>
              <w:left w:val="single" w:sz="4" w:space="0" w:color="auto"/>
              <w:bottom w:val="single" w:sz="4" w:space="0" w:color="auto"/>
              <w:right w:val="single" w:sz="4" w:space="0" w:color="auto"/>
            </w:tcBorders>
            <w:hideMark/>
          </w:tcPr>
          <w:p w14:paraId="61CE0946" w14:textId="77777777" w:rsidR="00134F41" w:rsidRDefault="00134F41">
            <w:pPr>
              <w:jc w:val="center"/>
              <w:rPr>
                <w:rFonts w:cs="Times New Roman"/>
                <w:bCs/>
                <w:i/>
                <w:iCs/>
              </w:rPr>
            </w:pPr>
            <w:r>
              <w:rPr>
                <w:rFonts w:cs="Times New Roman"/>
                <w:bCs/>
                <w:i/>
                <w:iCs/>
              </w:rPr>
              <w:t>Sim</w:t>
            </w:r>
          </w:p>
        </w:tc>
        <w:tc>
          <w:tcPr>
            <w:tcW w:w="2267" w:type="dxa"/>
            <w:tcBorders>
              <w:top w:val="single" w:sz="4" w:space="0" w:color="auto"/>
              <w:left w:val="single" w:sz="4" w:space="0" w:color="auto"/>
              <w:bottom w:val="single" w:sz="4" w:space="0" w:color="auto"/>
              <w:right w:val="single" w:sz="4" w:space="0" w:color="auto"/>
            </w:tcBorders>
            <w:hideMark/>
          </w:tcPr>
          <w:p w14:paraId="3846A6E9" w14:textId="77777777" w:rsidR="00134F41" w:rsidRDefault="00134F41">
            <w:pPr>
              <w:jc w:val="center"/>
              <w:rPr>
                <w:rFonts w:cs="Times New Roman"/>
                <w:bCs/>
                <w:i/>
                <w:iCs/>
              </w:rPr>
            </w:pPr>
            <w:r>
              <w:rPr>
                <w:rFonts w:cs="Times New Roman"/>
                <w:bCs/>
                <w:i/>
                <w:iCs/>
              </w:rPr>
              <w:t>1,10%</w:t>
            </w:r>
          </w:p>
        </w:tc>
      </w:tr>
    </w:tbl>
    <w:p w14:paraId="422DEC86" w14:textId="77777777" w:rsidR="00134F41" w:rsidRDefault="00134F41" w:rsidP="00134F41">
      <w:pPr>
        <w:pStyle w:val="Ttulo2"/>
        <w:spacing w:before="0"/>
        <w:rPr>
          <w:rFonts w:ascii="Times New Roman" w:hAnsi="Times New Roman" w:cs="Times New Roman"/>
          <w:color w:val="auto"/>
          <w:sz w:val="24"/>
          <w:szCs w:val="24"/>
        </w:rPr>
      </w:pPr>
    </w:p>
    <w:p w14:paraId="76D7ADBD" w14:textId="77777777" w:rsidR="00134F41" w:rsidRDefault="00134F41" w:rsidP="00134F41">
      <w:pPr>
        <w:keepNext/>
        <w:numPr>
          <w:ilvl w:val="0"/>
          <w:numId w:val="3"/>
        </w:numPr>
        <w:ind w:left="1418" w:hanging="1418"/>
        <w:outlineLvl w:val="0"/>
        <w:rPr>
          <w:rFonts w:cs="Times New Roman"/>
          <w:b/>
          <w:smallCaps/>
        </w:rPr>
      </w:pPr>
      <w:bookmarkStart w:id="18" w:name="_Toc530753329"/>
      <w:bookmarkStart w:id="19" w:name="_Toc531337579"/>
      <w:bookmarkStart w:id="20" w:name="_Toc531624633"/>
      <w:r>
        <w:rPr>
          <w:rFonts w:cs="Times New Roman"/>
          <w:b/>
          <w:smallCaps/>
        </w:rPr>
        <w:t>DISPOSIÇÕES GERAIS</w:t>
      </w:r>
      <w:bookmarkEnd w:id="18"/>
      <w:bookmarkEnd w:id="19"/>
      <w:bookmarkEnd w:id="20"/>
    </w:p>
    <w:p w14:paraId="4B311C6D" w14:textId="77777777" w:rsidR="00134F41" w:rsidRDefault="00134F41" w:rsidP="00134F41">
      <w:pPr>
        <w:rPr>
          <w:rFonts w:cs="Times New Roman"/>
        </w:rPr>
      </w:pPr>
    </w:p>
    <w:p w14:paraId="361C69AD" w14:textId="77777777" w:rsidR="00134F41" w:rsidRDefault="00134F41" w:rsidP="00134F41">
      <w:pPr>
        <w:numPr>
          <w:ilvl w:val="1"/>
          <w:numId w:val="3"/>
        </w:numPr>
        <w:tabs>
          <w:tab w:val="left" w:pos="1418"/>
        </w:tabs>
        <w:ind w:left="0" w:firstLine="0"/>
        <w:rPr>
          <w:rFonts w:cs="Times New Roman"/>
        </w:rPr>
      </w:pPr>
      <w:r>
        <w:rPr>
          <w:rFonts w:cs="Times New Roman"/>
        </w:rPr>
        <w:t>Todos os termos e condições do Termo de Securitização que não tenham sido expressamente alterados pelo presente Primeiro Aditamento são neste ato ratificados e permanecem em pleno vigor e efeito.</w:t>
      </w:r>
    </w:p>
    <w:p w14:paraId="7B0ED0C9" w14:textId="77777777" w:rsidR="00134F41" w:rsidRDefault="00134F41" w:rsidP="00134F41">
      <w:pPr>
        <w:tabs>
          <w:tab w:val="left" w:pos="1418"/>
        </w:tabs>
        <w:rPr>
          <w:rFonts w:cs="Times New Roman"/>
        </w:rPr>
      </w:pPr>
    </w:p>
    <w:p w14:paraId="026C9F0B" w14:textId="77777777" w:rsidR="00134F41" w:rsidRDefault="00134F41" w:rsidP="00134F41">
      <w:pPr>
        <w:numPr>
          <w:ilvl w:val="1"/>
          <w:numId w:val="3"/>
        </w:numPr>
        <w:tabs>
          <w:tab w:val="left" w:pos="1418"/>
        </w:tabs>
        <w:ind w:left="0" w:firstLine="0"/>
        <w:rPr>
          <w:rFonts w:cs="Times New Roman"/>
        </w:rPr>
      </w:pPr>
      <w:r>
        <w:rPr>
          <w:rFonts w:cs="Times New Roman"/>
        </w:rPr>
        <w:t xml:space="preserve">Este Primeiro Aditamento será </w:t>
      </w:r>
      <w:r>
        <w:rPr>
          <w:rFonts w:cs="Times New Roman"/>
          <w:color w:val="000000"/>
        </w:rPr>
        <w:t>registrado e custodiado junto ao Custodiante, que assinará nova declaração de custódia tão logo tenha recebido tal documento.</w:t>
      </w:r>
    </w:p>
    <w:p w14:paraId="1C1E0B64" w14:textId="77777777" w:rsidR="00134F41" w:rsidRDefault="00134F41" w:rsidP="00134F41">
      <w:pPr>
        <w:tabs>
          <w:tab w:val="left" w:pos="1418"/>
        </w:tabs>
        <w:rPr>
          <w:rFonts w:cs="Times New Roman"/>
        </w:rPr>
      </w:pPr>
    </w:p>
    <w:p w14:paraId="47A7BD1E" w14:textId="77777777" w:rsidR="00134F41" w:rsidRDefault="00134F41" w:rsidP="00134F41">
      <w:pPr>
        <w:numPr>
          <w:ilvl w:val="1"/>
          <w:numId w:val="3"/>
        </w:numPr>
        <w:tabs>
          <w:tab w:val="left" w:pos="1418"/>
        </w:tabs>
        <w:ind w:left="0" w:firstLine="0"/>
        <w:rPr>
          <w:rFonts w:cs="Times New Roman"/>
        </w:rPr>
      </w:pPr>
      <w:r>
        <w:rPr>
          <w:rFonts w:cs="Times New Roman"/>
        </w:rPr>
        <w:t xml:space="preserve">Os direitos de cada Parte previstos neste Primeiro Aditamento e seus anexos </w:t>
      </w:r>
      <w:r>
        <w:rPr>
          <w:rFonts w:cs="Times New Roman"/>
          <w:b/>
        </w:rPr>
        <w:t>(i)</w:t>
      </w:r>
      <w:r>
        <w:rPr>
          <w:rFonts w:cs="Times New Roman"/>
        </w:rPr>
        <w:t xml:space="preserve"> são cumulativos com outros direitos previstos em lei, a menos que expressamente os excluam; e </w:t>
      </w:r>
      <w:r>
        <w:rPr>
          <w:rFonts w:cs="Times New Roman"/>
          <w:b/>
        </w:rPr>
        <w:t>(</w:t>
      </w:r>
      <w:proofErr w:type="spellStart"/>
      <w:r>
        <w:rPr>
          <w:rFonts w:cs="Times New Roman"/>
          <w:b/>
        </w:rPr>
        <w:t>ii</w:t>
      </w:r>
      <w:proofErr w:type="spellEnd"/>
      <w:r>
        <w:rPr>
          <w:rFonts w:cs="Times New Roman"/>
          <w:b/>
        </w:rPr>
        <w:t>)</w:t>
      </w:r>
      <w:r>
        <w:rPr>
          <w:rFonts w:cs="Times New Roman"/>
        </w:rPr>
        <w:t> só admitem renúncia por escrito e específica. O não exercício, total ou parcial, de qualquer direito decorrente do presente Primeiro Aditamento não implicará novação da obrigação ou renúncia ao respectivo direito por seu titular nem qualquer alteração aos termos deste Aditamento.</w:t>
      </w:r>
    </w:p>
    <w:p w14:paraId="090F04D0" w14:textId="77777777" w:rsidR="00134F41" w:rsidRDefault="00134F41" w:rsidP="00134F41">
      <w:pPr>
        <w:tabs>
          <w:tab w:val="left" w:pos="1418"/>
        </w:tabs>
        <w:rPr>
          <w:rFonts w:cs="Times New Roman"/>
          <w:bCs/>
          <w:kern w:val="32"/>
        </w:rPr>
      </w:pPr>
    </w:p>
    <w:p w14:paraId="20385C08" w14:textId="77777777" w:rsidR="00134F41" w:rsidRDefault="00134F41" w:rsidP="00134F41">
      <w:pPr>
        <w:numPr>
          <w:ilvl w:val="1"/>
          <w:numId w:val="3"/>
        </w:numPr>
        <w:tabs>
          <w:tab w:val="left" w:pos="1418"/>
        </w:tabs>
        <w:ind w:left="0" w:firstLine="0"/>
        <w:rPr>
          <w:rFonts w:cs="Times New Roman"/>
          <w:bCs/>
          <w:kern w:val="32"/>
        </w:rPr>
      </w:pPr>
      <w:r>
        <w:rPr>
          <w:rFonts w:cs="Times New Roman"/>
          <w:bCs/>
          <w:kern w:val="32"/>
        </w:rPr>
        <w:t xml:space="preserve">A tolerância e as concessões recíprocas </w:t>
      </w:r>
      <w:r>
        <w:rPr>
          <w:rFonts w:cs="Times New Roman"/>
          <w:b/>
          <w:bCs/>
          <w:kern w:val="32"/>
        </w:rPr>
        <w:t>(i)</w:t>
      </w:r>
      <w:r>
        <w:rPr>
          <w:rFonts w:cs="Times New Roman"/>
          <w:bCs/>
          <w:kern w:val="32"/>
        </w:rPr>
        <w:t xml:space="preserve"> terão caráter eventual e transitório; e </w:t>
      </w:r>
      <w:r>
        <w:rPr>
          <w:rFonts w:cs="Times New Roman"/>
          <w:b/>
          <w:bCs/>
          <w:kern w:val="32"/>
        </w:rPr>
        <w:t>(</w:t>
      </w:r>
      <w:proofErr w:type="spellStart"/>
      <w:r>
        <w:rPr>
          <w:rFonts w:cs="Times New Roman"/>
          <w:b/>
          <w:bCs/>
          <w:kern w:val="32"/>
        </w:rPr>
        <w:t>ii</w:t>
      </w:r>
      <w:proofErr w:type="spellEnd"/>
      <w:r>
        <w:rPr>
          <w:rFonts w:cs="Times New Roman"/>
          <w:b/>
          <w:bCs/>
          <w:kern w:val="32"/>
        </w:rPr>
        <w:t>)</w:t>
      </w:r>
      <w:r>
        <w:rPr>
          <w:rFonts w:cs="Times New Roman"/>
          <w:bCs/>
          <w:kern w:val="32"/>
        </w:rPr>
        <w:t> não configurarão, em qualquer hipótese, renúncia, transigência, remição, perda, modificação, redução, novação ou ampliação de qualquer poder, faculdade, pretensão ou imunidade de qualquer das Partes.</w:t>
      </w:r>
    </w:p>
    <w:p w14:paraId="2D2F68C9" w14:textId="77777777" w:rsidR="00134F41" w:rsidRDefault="00134F41" w:rsidP="00134F41">
      <w:pPr>
        <w:tabs>
          <w:tab w:val="left" w:pos="1418"/>
        </w:tabs>
        <w:rPr>
          <w:rFonts w:cs="Times New Roman"/>
        </w:rPr>
      </w:pPr>
    </w:p>
    <w:p w14:paraId="0ED3C49C" w14:textId="77777777" w:rsidR="00134F41" w:rsidRDefault="00134F41" w:rsidP="00134F41">
      <w:pPr>
        <w:numPr>
          <w:ilvl w:val="1"/>
          <w:numId w:val="3"/>
        </w:numPr>
        <w:tabs>
          <w:tab w:val="left" w:pos="1418"/>
        </w:tabs>
        <w:ind w:left="0" w:firstLine="0"/>
        <w:rPr>
          <w:rFonts w:cs="Times New Roman"/>
        </w:rPr>
      </w:pPr>
      <w:r>
        <w:rPr>
          <w:rFonts w:cs="Times New Roman"/>
        </w:rPr>
        <w:t>Este Primeiro Aditamento é celebrado em caráter irrevogável e irretratável, obrigando as Partes e seus sucessores ou cessionários.</w:t>
      </w:r>
    </w:p>
    <w:p w14:paraId="6D2A4320" w14:textId="77777777" w:rsidR="00134F41" w:rsidRDefault="00134F41" w:rsidP="00134F41">
      <w:pPr>
        <w:tabs>
          <w:tab w:val="left" w:pos="1418"/>
        </w:tabs>
        <w:rPr>
          <w:rFonts w:cs="Times New Roman"/>
        </w:rPr>
      </w:pPr>
    </w:p>
    <w:p w14:paraId="095E1425" w14:textId="77777777" w:rsidR="00134F41" w:rsidRDefault="00134F41" w:rsidP="00134F41">
      <w:pPr>
        <w:numPr>
          <w:ilvl w:val="1"/>
          <w:numId w:val="3"/>
        </w:numPr>
        <w:tabs>
          <w:tab w:val="left" w:pos="1418"/>
        </w:tabs>
        <w:ind w:left="0" w:firstLine="0"/>
        <w:rPr>
          <w:rFonts w:cs="Times New Roman"/>
        </w:rPr>
      </w:pPr>
      <w:r>
        <w:rPr>
          <w:rFonts w:cs="Times New Roman"/>
        </w:rPr>
        <w:t>É vedada a promessa ou a cessão, por qualquer das Partes, dos direitos e obrigações aqui previstos, sem expressa e prévia concordância da outra Parte.</w:t>
      </w:r>
    </w:p>
    <w:p w14:paraId="79378A1B" w14:textId="77777777" w:rsidR="00134F41" w:rsidRDefault="00134F41" w:rsidP="00134F41">
      <w:pPr>
        <w:tabs>
          <w:tab w:val="left" w:pos="1418"/>
        </w:tabs>
        <w:rPr>
          <w:rFonts w:cs="Times New Roman"/>
        </w:rPr>
      </w:pPr>
    </w:p>
    <w:p w14:paraId="62BA36A0" w14:textId="77777777" w:rsidR="00134F41" w:rsidRDefault="00134F41" w:rsidP="00134F41">
      <w:pPr>
        <w:numPr>
          <w:ilvl w:val="1"/>
          <w:numId w:val="3"/>
        </w:numPr>
        <w:tabs>
          <w:tab w:val="left" w:pos="1418"/>
        </w:tabs>
        <w:ind w:left="0" w:firstLine="0"/>
        <w:rPr>
          <w:rFonts w:cs="Times New Roman"/>
        </w:rPr>
      </w:pPr>
      <w:r>
        <w:rPr>
          <w:rFonts w:cs="Times New Roman"/>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CCE8C0B" w14:textId="77777777" w:rsidR="00134F41" w:rsidRDefault="00134F41" w:rsidP="00134F41">
      <w:pPr>
        <w:tabs>
          <w:tab w:val="left" w:pos="1418"/>
        </w:tabs>
        <w:rPr>
          <w:rFonts w:cs="Times New Roman"/>
        </w:rPr>
      </w:pPr>
    </w:p>
    <w:p w14:paraId="3ADF3566" w14:textId="77777777" w:rsidR="00134F41" w:rsidRDefault="00134F41" w:rsidP="00134F41">
      <w:pPr>
        <w:numPr>
          <w:ilvl w:val="1"/>
          <w:numId w:val="3"/>
        </w:numPr>
        <w:tabs>
          <w:tab w:val="left" w:pos="1418"/>
        </w:tabs>
        <w:ind w:left="0" w:firstLine="0"/>
        <w:rPr>
          <w:rFonts w:cs="Times New Roman"/>
        </w:rPr>
      </w:pPr>
      <w:r>
        <w:rPr>
          <w:rFonts w:cs="Times New Roman"/>
        </w:rPr>
        <w:t>As palavras e as expressões sem definição neste instrumento deverão ser compreendidas e interpretadas em consonância com os usos, costumes e práticas do mercado de capitais brasileiro.</w:t>
      </w:r>
    </w:p>
    <w:p w14:paraId="201054C3" w14:textId="77777777" w:rsidR="00134F41" w:rsidRDefault="00134F41" w:rsidP="00134F41">
      <w:pPr>
        <w:tabs>
          <w:tab w:val="left" w:pos="1418"/>
        </w:tabs>
        <w:rPr>
          <w:rFonts w:cs="Times New Roman"/>
        </w:rPr>
      </w:pPr>
    </w:p>
    <w:p w14:paraId="2D9073FD" w14:textId="77777777" w:rsidR="00134F41" w:rsidRDefault="00134F41" w:rsidP="00134F41">
      <w:pPr>
        <w:keepNext/>
        <w:numPr>
          <w:ilvl w:val="0"/>
          <w:numId w:val="3"/>
        </w:numPr>
        <w:ind w:left="1418" w:hanging="1418"/>
        <w:outlineLvl w:val="0"/>
        <w:rPr>
          <w:rFonts w:cs="Times New Roman"/>
          <w:b/>
          <w:smallCaps/>
        </w:rPr>
      </w:pPr>
      <w:bookmarkStart w:id="21" w:name="_Toc508425153"/>
      <w:bookmarkStart w:id="22" w:name="_Toc508425154"/>
      <w:bookmarkStart w:id="23" w:name="_Toc531624634"/>
      <w:bookmarkStart w:id="24" w:name="_Toc531337580"/>
      <w:bookmarkStart w:id="25" w:name="_Toc530753330"/>
      <w:bookmarkEnd w:id="21"/>
      <w:bookmarkEnd w:id="22"/>
      <w:r>
        <w:rPr>
          <w:rFonts w:cs="Times New Roman"/>
          <w:b/>
          <w:smallCaps/>
        </w:rPr>
        <w:t>LEI APLICÁVEL E FORO DE ELEIÇÃO</w:t>
      </w:r>
      <w:bookmarkEnd w:id="23"/>
      <w:bookmarkEnd w:id="24"/>
      <w:bookmarkEnd w:id="25"/>
    </w:p>
    <w:p w14:paraId="19BE7EC3" w14:textId="77777777" w:rsidR="00134F41" w:rsidRDefault="00134F41" w:rsidP="00134F41">
      <w:pPr>
        <w:tabs>
          <w:tab w:val="left" w:pos="1418"/>
        </w:tabs>
        <w:rPr>
          <w:rFonts w:cs="Times New Roman"/>
        </w:rPr>
      </w:pPr>
    </w:p>
    <w:p w14:paraId="3C11CE1D" w14:textId="77777777" w:rsidR="00134F41" w:rsidRDefault="00134F41" w:rsidP="00134F41">
      <w:pPr>
        <w:numPr>
          <w:ilvl w:val="1"/>
          <w:numId w:val="3"/>
        </w:numPr>
        <w:tabs>
          <w:tab w:val="left" w:pos="1418"/>
        </w:tabs>
        <w:ind w:left="0" w:firstLine="0"/>
        <w:rPr>
          <w:rFonts w:cs="Times New Roman"/>
        </w:rPr>
      </w:pPr>
      <w:r>
        <w:rPr>
          <w:rFonts w:cs="Times New Roman"/>
        </w:rPr>
        <w:t>As disposições constantes nesta cláusula de resolução de conflitos são consideradas independentes e autônomas em relação a este Primeiro Aditamento, de modo que todas as obrigações constantes nesta cláusula devem permanecer vigentes, ser respeitadas e cumpridas pelas Partes, mesmo após o término ou a extinção deste Primeiro Aditamento por qualquer motivo ou sob qualquer fundamento, ou ainda que este Primeiro Aditamento, no todo ou em Parte, venha a ser considerado nulo ou anulado.</w:t>
      </w:r>
    </w:p>
    <w:p w14:paraId="121D0F1F" w14:textId="77777777" w:rsidR="00134F41" w:rsidRDefault="00134F41" w:rsidP="00134F41">
      <w:pPr>
        <w:tabs>
          <w:tab w:val="left" w:pos="1418"/>
        </w:tabs>
        <w:rPr>
          <w:rFonts w:cs="Times New Roman"/>
          <w:b/>
        </w:rPr>
      </w:pPr>
    </w:p>
    <w:p w14:paraId="7FD9D0E7" w14:textId="77777777" w:rsidR="00134F41" w:rsidRDefault="00134F41" w:rsidP="00134F41">
      <w:pPr>
        <w:numPr>
          <w:ilvl w:val="1"/>
          <w:numId w:val="3"/>
        </w:numPr>
        <w:tabs>
          <w:tab w:val="left" w:pos="1418"/>
        </w:tabs>
        <w:ind w:left="0" w:firstLine="0"/>
        <w:rPr>
          <w:rFonts w:cs="Times New Roman"/>
          <w:b/>
        </w:rPr>
      </w:pPr>
      <w:r>
        <w:rPr>
          <w:rFonts w:cs="Times New Roman"/>
        </w:rPr>
        <w:t>As Partes comprometem-se a empregar seus melhores esforços para resolver por meio de negociação amigável qualquer controvérsia relacionada a este Primeiro Aditamento, bem como aos demais Documentos da Operação.</w:t>
      </w:r>
    </w:p>
    <w:p w14:paraId="62303A68" w14:textId="77777777" w:rsidR="00134F41" w:rsidRDefault="00134F41" w:rsidP="00134F41">
      <w:pPr>
        <w:tabs>
          <w:tab w:val="left" w:pos="1418"/>
        </w:tabs>
        <w:rPr>
          <w:rFonts w:cs="Times New Roman"/>
        </w:rPr>
      </w:pPr>
    </w:p>
    <w:p w14:paraId="6F3D97CC" w14:textId="77777777" w:rsidR="00134F41" w:rsidRDefault="00134F41" w:rsidP="00134F41">
      <w:pPr>
        <w:numPr>
          <w:ilvl w:val="1"/>
          <w:numId w:val="3"/>
        </w:numPr>
        <w:tabs>
          <w:tab w:val="left" w:pos="1418"/>
        </w:tabs>
        <w:ind w:left="0" w:firstLine="0"/>
        <w:rPr>
          <w:rFonts w:cs="Times New Roman"/>
        </w:rPr>
      </w:pPr>
      <w:r>
        <w:rPr>
          <w:rFonts w:cs="Times New Roman"/>
        </w:rPr>
        <w:t>A constituição, a validade e interpretação deste Primeiro Aditamento, incluindo da presente cláusula de resolução de conflitos, serão regidos de acordo com as leis substantivas e processuais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F55C28" w14:textId="77777777" w:rsidR="00134F41" w:rsidRDefault="00134F41" w:rsidP="00134F41">
      <w:pPr>
        <w:tabs>
          <w:tab w:val="left" w:pos="1418"/>
        </w:tabs>
        <w:rPr>
          <w:rFonts w:cs="Times New Roman"/>
        </w:rPr>
      </w:pPr>
    </w:p>
    <w:p w14:paraId="67DD257F" w14:textId="77777777" w:rsidR="00134F41" w:rsidRDefault="00134F41" w:rsidP="00134F41">
      <w:pPr>
        <w:numPr>
          <w:ilvl w:val="1"/>
          <w:numId w:val="3"/>
        </w:numPr>
        <w:tabs>
          <w:tab w:val="left" w:pos="1418"/>
        </w:tabs>
        <w:ind w:left="0" w:firstLine="0"/>
        <w:rPr>
          <w:rFonts w:cs="Times New Roman"/>
        </w:rPr>
      </w:pPr>
      <w:r>
        <w:rPr>
          <w:rFonts w:cs="Times New Roman"/>
        </w:rPr>
        <w:t xml:space="preserve">Para dirimir quaisquer conflitos oriundos da interpretação ou execução deste Aditamento, as partes elegem o foro da Comarca de São Paulo, no Estado de São Paulo, com exclusão de qualquer outro, por mais privilegiado que seja.  </w:t>
      </w:r>
    </w:p>
    <w:p w14:paraId="29F47778" w14:textId="77777777" w:rsidR="00134F41" w:rsidRDefault="00134F41" w:rsidP="00134F41">
      <w:pPr>
        <w:tabs>
          <w:tab w:val="left" w:pos="1134"/>
          <w:tab w:val="left" w:pos="1418"/>
        </w:tabs>
        <w:ind w:right="-2"/>
        <w:rPr>
          <w:rFonts w:cs="Times New Roman"/>
        </w:rPr>
      </w:pPr>
    </w:p>
    <w:p w14:paraId="2297F383" w14:textId="77777777" w:rsidR="00134F41" w:rsidRDefault="00134F41" w:rsidP="00134F41">
      <w:pPr>
        <w:widowControl w:val="0"/>
        <w:tabs>
          <w:tab w:val="num" w:pos="792"/>
          <w:tab w:val="left" w:pos="993"/>
          <w:tab w:val="left" w:pos="1276"/>
          <w:tab w:val="left" w:pos="1418"/>
        </w:tabs>
        <w:ind w:right="-1"/>
        <w:rPr>
          <w:rFonts w:cs="Times New Roman"/>
        </w:rPr>
      </w:pPr>
      <w:r>
        <w:rPr>
          <w:rFonts w:cs="Times New Roman"/>
        </w:rPr>
        <w:t>E, por estarem assim, justas e contratadas, a Emissora e o Agente Fiduciário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de 24 de agosto de 2001, em conjunto com 2 (duas) testemunhas, abaixo identificadas.</w:t>
      </w:r>
    </w:p>
    <w:p w14:paraId="3A65B5EB" w14:textId="77777777" w:rsidR="00134F41" w:rsidRDefault="00134F41" w:rsidP="00134F41">
      <w:pPr>
        <w:widowControl w:val="0"/>
        <w:tabs>
          <w:tab w:val="num" w:pos="792"/>
          <w:tab w:val="left" w:pos="993"/>
          <w:tab w:val="left" w:pos="1276"/>
          <w:tab w:val="left" w:pos="1418"/>
        </w:tabs>
        <w:ind w:right="-1"/>
        <w:rPr>
          <w:rFonts w:cs="Times New Roman"/>
        </w:rPr>
      </w:pPr>
    </w:p>
    <w:p w14:paraId="6B00BD3A" w14:textId="77777777" w:rsidR="00134F41" w:rsidRDefault="00134F41" w:rsidP="00134F41">
      <w:pPr>
        <w:tabs>
          <w:tab w:val="left" w:pos="1134"/>
          <w:tab w:val="left" w:pos="1418"/>
        </w:tabs>
        <w:ind w:right="-2"/>
        <w:jc w:val="center"/>
        <w:rPr>
          <w:rFonts w:cs="Times New Roman"/>
        </w:rPr>
      </w:pPr>
      <w:r>
        <w:rPr>
          <w:rFonts w:cs="Times New Roman"/>
        </w:rPr>
        <w:t>São Paulo, 28 de janeiro de 2021.</w:t>
      </w:r>
    </w:p>
    <w:p w14:paraId="16685781" w14:textId="77777777" w:rsidR="00134F41" w:rsidRDefault="00134F41" w:rsidP="00134F41">
      <w:pPr>
        <w:pStyle w:val="BodyText21"/>
        <w:tabs>
          <w:tab w:val="left" w:pos="720"/>
        </w:tabs>
        <w:jc w:val="center"/>
        <w:rPr>
          <w:rFonts w:cs="Times New Roman"/>
          <w:color w:val="auto"/>
        </w:rPr>
      </w:pPr>
      <w:bookmarkStart w:id="26" w:name="_DV_M11"/>
      <w:bookmarkStart w:id="27" w:name="_DV_M25"/>
      <w:bookmarkStart w:id="28" w:name="_DV_M39"/>
      <w:bookmarkStart w:id="29" w:name="_DV_M40"/>
      <w:bookmarkStart w:id="30" w:name="_DV_M41"/>
      <w:bookmarkStart w:id="31" w:name="_DV_M42"/>
      <w:bookmarkStart w:id="32" w:name="_DV_M43"/>
      <w:bookmarkStart w:id="33" w:name="_DV_M134"/>
      <w:bookmarkStart w:id="34" w:name="_DV_M135"/>
      <w:bookmarkStart w:id="35" w:name="_DV_M44"/>
      <w:bookmarkStart w:id="36" w:name="_DV_M136"/>
      <w:bookmarkStart w:id="37" w:name="_DV_M45"/>
      <w:bookmarkStart w:id="38" w:name="_DV_M137"/>
      <w:bookmarkStart w:id="39" w:name="_DV_M46"/>
      <w:bookmarkStart w:id="40" w:name="_DV_M138"/>
      <w:bookmarkStart w:id="41" w:name="_DV_M47"/>
      <w:bookmarkStart w:id="42" w:name="_DV_M139"/>
      <w:bookmarkStart w:id="43" w:name="_DV_M48"/>
      <w:bookmarkStart w:id="44" w:name="_DV_M140"/>
      <w:bookmarkStart w:id="45" w:name="_DV_M49"/>
      <w:bookmarkStart w:id="46" w:name="_DV_M50"/>
      <w:bookmarkStart w:id="47" w:name="_DV_M52"/>
      <w:bookmarkStart w:id="48" w:name="_DV_M53"/>
      <w:bookmarkStart w:id="49" w:name="_DV_M54"/>
      <w:bookmarkStart w:id="50" w:name="_DV_M55"/>
      <w:bookmarkStart w:id="51" w:name="_DV_M56"/>
      <w:bookmarkStart w:id="52" w:name="_DV_M57"/>
      <w:bookmarkStart w:id="53" w:name="_DV_M59"/>
      <w:bookmarkStart w:id="54" w:name="_DV_M60"/>
      <w:bookmarkStart w:id="55" w:name="_DV_M61"/>
      <w:bookmarkStart w:id="56" w:name="_DV_M62"/>
      <w:bookmarkStart w:id="57" w:name="_DV_M65"/>
      <w:bookmarkStart w:id="58" w:name="_DV_M70"/>
      <w:bookmarkStart w:id="59" w:name="_DV_M71"/>
      <w:bookmarkStart w:id="60" w:name="_DV_M74"/>
      <w:bookmarkStart w:id="61" w:name="_DV_M75"/>
      <w:bookmarkStart w:id="62" w:name="_DV_M76"/>
      <w:bookmarkStart w:id="63" w:name="_DV_M77"/>
      <w:bookmarkStart w:id="64" w:name="_DV_M78"/>
      <w:bookmarkStart w:id="65" w:name="_DV_M79"/>
      <w:bookmarkStart w:id="66" w:name="_DV_M80"/>
      <w:bookmarkStart w:id="67" w:name="_DV_M81"/>
      <w:bookmarkStart w:id="68" w:name="_DV_M85"/>
      <w:bookmarkStart w:id="69" w:name="_DV_M86"/>
      <w:bookmarkStart w:id="70" w:name="_DV_M87"/>
      <w:bookmarkStart w:id="71" w:name="_DV_M88"/>
      <w:bookmarkStart w:id="72" w:name="_DV_M893"/>
      <w:bookmarkStart w:id="73" w:name="_DV_M89"/>
      <w:bookmarkStart w:id="74" w:name="_DV_M90"/>
      <w:bookmarkStart w:id="75" w:name="_DV_M109"/>
      <w:bookmarkStart w:id="76" w:name="_DV_M72"/>
      <w:bookmarkStart w:id="77" w:name="_DV_M63"/>
      <w:bookmarkStart w:id="78" w:name="_DV_M64"/>
      <w:bookmarkStart w:id="79" w:name="_DV_M66"/>
      <w:bookmarkStart w:id="80" w:name="_DV_M67"/>
      <w:bookmarkStart w:id="81" w:name="_DV_M68"/>
      <w:bookmarkStart w:id="82" w:name="_DV_M69"/>
      <w:bookmarkStart w:id="83" w:name="_DV_M110"/>
      <w:bookmarkStart w:id="84" w:name="_DV_M111"/>
      <w:bookmarkStart w:id="85" w:name="_DV_M113"/>
      <w:bookmarkStart w:id="86" w:name="_DV_M114"/>
      <w:bookmarkStart w:id="87" w:name="_DV_M115"/>
      <w:bookmarkStart w:id="88" w:name="_DV_M117"/>
      <w:bookmarkStart w:id="89" w:name="_DV_M118"/>
      <w:bookmarkStart w:id="90" w:name="_DV_M119"/>
      <w:bookmarkStart w:id="91" w:name="_DV_M120"/>
      <w:bookmarkStart w:id="92" w:name="_DV_M121"/>
      <w:bookmarkStart w:id="93" w:name="_DV_M122"/>
      <w:bookmarkStart w:id="94" w:name="_DV_M123"/>
      <w:bookmarkStart w:id="95" w:name="_DV_M124"/>
      <w:bookmarkStart w:id="96" w:name="_DV_M125"/>
      <w:bookmarkStart w:id="97" w:name="_DV_M126"/>
      <w:bookmarkStart w:id="98" w:name="_DV_M127"/>
      <w:bookmarkStart w:id="99" w:name="_DV_M128"/>
      <w:bookmarkStart w:id="100" w:name="_DV_M129"/>
      <w:bookmarkStart w:id="101" w:name="_DV_M175"/>
      <w:bookmarkStart w:id="102" w:name="_DV_M743"/>
      <w:bookmarkStart w:id="103" w:name="_DV_M745"/>
      <w:bookmarkStart w:id="104" w:name="_DV_M192"/>
      <w:bookmarkStart w:id="105" w:name="_DV_M182"/>
      <w:bookmarkStart w:id="106" w:name="_DV_M154"/>
      <w:bookmarkStart w:id="107" w:name="_DV_M156"/>
      <w:bookmarkStart w:id="108" w:name="_DV_M196"/>
      <w:bookmarkStart w:id="109" w:name="_DV_M197"/>
      <w:bookmarkStart w:id="110" w:name="_DV_M198"/>
      <w:bookmarkStart w:id="111" w:name="_DV_M199"/>
      <w:bookmarkStart w:id="112" w:name="_DV_M200"/>
      <w:bookmarkStart w:id="113" w:name="_DV_M201"/>
      <w:bookmarkStart w:id="114" w:name="_DV_M209"/>
      <w:bookmarkStart w:id="115" w:name="_DV_M210"/>
      <w:bookmarkStart w:id="116" w:name="_DV_M211"/>
      <w:bookmarkStart w:id="117" w:name="_DV_M222"/>
      <w:bookmarkStart w:id="118" w:name="_DV_M223"/>
      <w:bookmarkStart w:id="119" w:name="_DV_M224"/>
      <w:bookmarkStart w:id="120" w:name="_DV_M225"/>
      <w:bookmarkStart w:id="121" w:name="_DV_M226"/>
      <w:bookmarkStart w:id="122" w:name="_DV_M212"/>
      <w:bookmarkStart w:id="123" w:name="_DV_M213"/>
      <w:bookmarkStart w:id="124" w:name="_DV_M214"/>
      <w:bookmarkStart w:id="125" w:name="_DV_M215"/>
      <w:bookmarkStart w:id="126" w:name="_DV_M216"/>
      <w:bookmarkStart w:id="127" w:name="_DV_M219"/>
      <w:bookmarkStart w:id="128" w:name="_DV_M220"/>
      <w:bookmarkStart w:id="129" w:name="_DV_M227"/>
      <w:bookmarkStart w:id="130" w:name="_DV_M236"/>
      <w:bookmarkStart w:id="131" w:name="_DV_M237"/>
      <w:bookmarkStart w:id="132" w:name="_DV_M238"/>
      <w:bookmarkStart w:id="133" w:name="_DV_M239"/>
      <w:bookmarkStart w:id="134" w:name="_DV_M240"/>
      <w:bookmarkStart w:id="135" w:name="_DV_M241"/>
      <w:bookmarkStart w:id="136" w:name="_DV_M242"/>
      <w:bookmarkStart w:id="137" w:name="_DV_M243"/>
      <w:bookmarkStart w:id="138" w:name="_DV_M244"/>
      <w:bookmarkStart w:id="139" w:name="_DV_M245"/>
      <w:bookmarkStart w:id="140" w:name="_DV_M246"/>
      <w:bookmarkStart w:id="141" w:name="_Toc434578181"/>
      <w:bookmarkStart w:id="142" w:name="_DV_M247"/>
      <w:bookmarkStart w:id="143" w:name="_DV_M248"/>
      <w:bookmarkStart w:id="144" w:name="_DV_M249"/>
      <w:bookmarkStart w:id="145" w:name="_DV_M290"/>
      <w:bookmarkStart w:id="146" w:name="_DV_M291"/>
      <w:bookmarkStart w:id="147" w:name="_DV_M292"/>
      <w:bookmarkStart w:id="148" w:name="_DV_M293"/>
      <w:bookmarkStart w:id="149" w:name="_DV_M294"/>
      <w:bookmarkStart w:id="150" w:name="_DV_M295"/>
      <w:bookmarkStart w:id="151" w:name="_DV_M296"/>
      <w:bookmarkStart w:id="152" w:name="_DV_M297"/>
      <w:bookmarkStart w:id="153" w:name="_DV_M298"/>
      <w:bookmarkStart w:id="154" w:name="_DV_M299"/>
      <w:bookmarkStart w:id="155" w:name="_DV_M301"/>
      <w:bookmarkStart w:id="156" w:name="_DV_M300"/>
      <w:bookmarkStart w:id="157" w:name="_DV_M302"/>
      <w:bookmarkStart w:id="158" w:name="_DV_M303"/>
      <w:bookmarkStart w:id="159" w:name="_DV_M304"/>
      <w:bookmarkStart w:id="160" w:name="_DV_M305"/>
      <w:bookmarkStart w:id="161" w:name="_DV_M307"/>
      <w:bookmarkStart w:id="162" w:name="_DV_M308"/>
      <w:bookmarkStart w:id="163" w:name="_DV_M310"/>
      <w:bookmarkStart w:id="164" w:name="_DV_M311"/>
      <w:bookmarkStart w:id="165" w:name="_DV_M312"/>
      <w:bookmarkStart w:id="166" w:name="_DV_M313"/>
      <w:bookmarkStart w:id="167" w:name="_DV_M314"/>
      <w:bookmarkStart w:id="168" w:name="_DV_M315"/>
      <w:bookmarkStart w:id="169" w:name="_DV_M316"/>
      <w:bookmarkStart w:id="170" w:name="_DV_M317"/>
      <w:bookmarkStart w:id="171" w:name="_DV_M318"/>
      <w:bookmarkStart w:id="172" w:name="_DV_M319"/>
      <w:bookmarkStart w:id="173" w:name="_DV_M320"/>
      <w:bookmarkStart w:id="174" w:name="_DV_M321"/>
      <w:bookmarkStart w:id="175" w:name="_DV_M322"/>
      <w:bookmarkStart w:id="176" w:name="_DV_M331"/>
      <w:bookmarkStart w:id="177" w:name="_DV_M332"/>
      <w:bookmarkStart w:id="178" w:name="_DV_M461"/>
      <w:bookmarkStart w:id="179" w:name="_DV_M462"/>
      <w:bookmarkStart w:id="180" w:name="_DV_M463"/>
      <w:bookmarkStart w:id="181" w:name="_DV_M464"/>
      <w:bookmarkStart w:id="182" w:name="_DV_M465"/>
      <w:bookmarkStart w:id="183" w:name="_DV_M466"/>
      <w:bookmarkStart w:id="184" w:name="_DV_M467"/>
      <w:bookmarkStart w:id="185" w:name="_DV_M468"/>
      <w:bookmarkStart w:id="186" w:name="_DV_M354"/>
      <w:bookmarkStart w:id="187" w:name="_DV_M361"/>
      <w:bookmarkStart w:id="188" w:name="_DV_M367"/>
      <w:bookmarkStart w:id="189" w:name="_DV_M369"/>
      <w:bookmarkStart w:id="190" w:name="_DV_M371"/>
      <w:bookmarkStart w:id="191" w:name="_DV_M372"/>
      <w:bookmarkStart w:id="192" w:name="_DV_M373"/>
      <w:bookmarkStart w:id="193" w:name="_DV_M374"/>
      <w:bookmarkStart w:id="194" w:name="_DV_M375"/>
      <w:bookmarkStart w:id="195" w:name="_DV_M376"/>
      <w:bookmarkStart w:id="196" w:name="_DV_M377"/>
      <w:bookmarkStart w:id="197" w:name="_DV_M387"/>
      <w:bookmarkStart w:id="198" w:name="_DV_M382"/>
      <w:bookmarkStart w:id="199" w:name="_DV_M268"/>
      <w:bookmarkStart w:id="200" w:name="_DV_M269"/>
      <w:bookmarkStart w:id="201" w:name="_DV_M270"/>
      <w:bookmarkStart w:id="202" w:name="_DV_M271"/>
      <w:bookmarkStart w:id="203" w:name="_DV_M272"/>
      <w:bookmarkStart w:id="204" w:name="_DV_M273"/>
      <w:bookmarkStart w:id="205" w:name="_DV_M274"/>
      <w:bookmarkStart w:id="206" w:name="_DV_M275"/>
      <w:bookmarkStart w:id="207" w:name="_DV_M276"/>
      <w:bookmarkStart w:id="208" w:name="_DV_M277"/>
      <w:bookmarkStart w:id="209" w:name="_DV_M278"/>
      <w:bookmarkStart w:id="210" w:name="_DV_M279"/>
      <w:bookmarkStart w:id="211" w:name="_DV_M280"/>
      <w:bookmarkStart w:id="212" w:name="_DV_M281"/>
      <w:bookmarkStart w:id="213" w:name="_DV_M282"/>
      <w:bookmarkStart w:id="214" w:name="_DV_M283"/>
      <w:bookmarkStart w:id="215" w:name="_DV_M284"/>
      <w:bookmarkStart w:id="216" w:name="_DV_M287"/>
      <w:bookmarkStart w:id="217" w:name="_DV_M288"/>
      <w:bookmarkStart w:id="218" w:name="_DV_M289"/>
      <w:bookmarkStart w:id="219" w:name="_DV_M253"/>
      <w:bookmarkStart w:id="220" w:name="_DV_M254"/>
      <w:bookmarkStart w:id="221" w:name="_DV_M256"/>
      <w:bookmarkStart w:id="222" w:name="_DV_M257"/>
      <w:bookmarkStart w:id="223" w:name="_DV_M258"/>
      <w:bookmarkStart w:id="224" w:name="_DV_M259"/>
      <w:bookmarkStart w:id="225" w:name="_DV_M260"/>
      <w:bookmarkStart w:id="226" w:name="_DV_M262"/>
      <w:bookmarkStart w:id="227" w:name="_DV_M263"/>
      <w:bookmarkStart w:id="228" w:name="_DV_M264"/>
      <w:bookmarkStart w:id="229" w:name="_DV_M265"/>
      <w:bookmarkStart w:id="230" w:name="_DV_M390"/>
      <w:bookmarkStart w:id="231" w:name="_DV_M384"/>
      <w:bookmarkStart w:id="232" w:name="_DV_M393"/>
      <w:bookmarkStart w:id="233" w:name="_DV_M394"/>
      <w:bookmarkEnd w:id="13"/>
      <w:bookmarkEnd w:id="14"/>
      <w:bookmarkEnd w:id="15"/>
      <w:bookmarkEnd w:id="16"/>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BF1A609" w14:textId="77777777" w:rsidR="00134F41" w:rsidRDefault="00134F41" w:rsidP="00134F41">
      <w:pPr>
        <w:suppressAutoHyphens/>
        <w:jc w:val="center"/>
        <w:rPr>
          <w:rFonts w:cs="Times New Roman"/>
          <w:color w:val="auto"/>
        </w:rPr>
      </w:pPr>
      <w:r>
        <w:rPr>
          <w:rFonts w:cs="Times New Roman"/>
          <w:bCs/>
          <w:color w:val="auto"/>
        </w:rPr>
        <w:t>[</w:t>
      </w:r>
      <w:r>
        <w:rPr>
          <w:rFonts w:cs="Times New Roman"/>
          <w:bCs/>
          <w:i/>
          <w:color w:val="auto"/>
        </w:rPr>
        <w:t>O restante da página foi deixado intencionalmente em branco</w:t>
      </w:r>
      <w:r>
        <w:rPr>
          <w:rFonts w:cs="Times New Roman"/>
          <w:bCs/>
          <w:color w:val="auto"/>
        </w:rPr>
        <w:t>.]</w:t>
      </w:r>
    </w:p>
    <w:p w14:paraId="407B8D9F" w14:textId="77777777" w:rsidR="00134F41" w:rsidRDefault="00134F41" w:rsidP="00134F41">
      <w:pPr>
        <w:pStyle w:val="BodyText21"/>
        <w:rPr>
          <w:rFonts w:cs="Times New Roman"/>
          <w:i/>
          <w:color w:val="auto"/>
        </w:rPr>
      </w:pPr>
      <w:r>
        <w:rPr>
          <w:rFonts w:cs="Times New Roman"/>
          <w:color w:val="auto"/>
          <w:highlight w:val="yellow"/>
        </w:rPr>
        <w:br w:type="page"/>
      </w:r>
      <w:bookmarkStart w:id="234" w:name="_DV_M285"/>
      <w:bookmarkStart w:id="235" w:name="_DV_M286"/>
      <w:bookmarkStart w:id="236" w:name="_DV_M395"/>
      <w:bookmarkEnd w:id="234"/>
      <w:bookmarkEnd w:id="235"/>
      <w:bookmarkEnd w:id="236"/>
      <w:r>
        <w:rPr>
          <w:rFonts w:cs="Times New Roman"/>
          <w:i/>
          <w:color w:val="auto"/>
        </w:rPr>
        <w:t>(Página de Assinatura 1/3 do Primeiro Aditamento ao Termo de Securitização de Créditos Imobiliários da 131ª Série da 4ª Emissão de Certificados de Recebíveis Imobiliários da ISEC Securitizadora S.A.)</w:t>
      </w:r>
    </w:p>
    <w:p w14:paraId="5EF4EB3F" w14:textId="77777777" w:rsidR="00134F41" w:rsidRDefault="00134F41" w:rsidP="00134F41">
      <w:pPr>
        <w:pStyle w:val="BodyText21"/>
        <w:rPr>
          <w:rFonts w:cs="Times New Roman"/>
          <w:color w:val="auto"/>
        </w:rPr>
      </w:pPr>
      <w:bookmarkStart w:id="237" w:name="_DV_M396"/>
      <w:bookmarkEnd w:id="237"/>
    </w:p>
    <w:p w14:paraId="74F1AB99" w14:textId="77777777" w:rsidR="00134F41" w:rsidRDefault="00134F41" w:rsidP="00134F41">
      <w:pPr>
        <w:pStyle w:val="BodyText21"/>
        <w:rPr>
          <w:rFonts w:cs="Times New Roman"/>
          <w:color w:val="auto"/>
          <w:highlight w:val="yellow"/>
        </w:rPr>
      </w:pPr>
    </w:p>
    <w:p w14:paraId="7650F302" w14:textId="77777777" w:rsidR="00134F41" w:rsidRDefault="00134F41" w:rsidP="00134F41">
      <w:pPr>
        <w:pStyle w:val="BodyText21"/>
        <w:rPr>
          <w:rFonts w:cs="Times New Roman"/>
          <w:color w:val="auto"/>
          <w:highlight w:val="yellow"/>
        </w:rPr>
      </w:pPr>
    </w:p>
    <w:p w14:paraId="1A877942" w14:textId="77777777" w:rsidR="00134F41" w:rsidRDefault="00134F41" w:rsidP="00134F41">
      <w:pPr>
        <w:tabs>
          <w:tab w:val="left" w:pos="9356"/>
        </w:tabs>
        <w:jc w:val="center"/>
        <w:rPr>
          <w:rFonts w:cs="Times New Roman"/>
          <w:b/>
          <w:color w:val="auto"/>
        </w:rPr>
      </w:pPr>
      <w:bookmarkStart w:id="238" w:name="_DV_M397"/>
      <w:bookmarkEnd w:id="238"/>
      <w:r>
        <w:rPr>
          <w:rFonts w:cs="Times New Roman"/>
          <w:b/>
          <w:bCs/>
          <w:color w:val="auto"/>
        </w:rPr>
        <w:t>ISEC SECURITIZADORA S.A.</w:t>
      </w:r>
    </w:p>
    <w:p w14:paraId="5A43913F" w14:textId="77777777" w:rsidR="00134F41" w:rsidRDefault="00134F41" w:rsidP="00134F41">
      <w:pPr>
        <w:tabs>
          <w:tab w:val="left" w:pos="9356"/>
        </w:tabs>
        <w:rPr>
          <w:rFonts w:cs="Times New Roman"/>
          <w:b/>
          <w:color w:val="auto"/>
          <w:highlight w:val="yellow"/>
        </w:rPr>
      </w:pPr>
    </w:p>
    <w:p w14:paraId="6D280788" w14:textId="77777777" w:rsidR="00134F41" w:rsidRDefault="00134F41" w:rsidP="00134F41">
      <w:pPr>
        <w:tabs>
          <w:tab w:val="left" w:pos="9356"/>
        </w:tabs>
        <w:rPr>
          <w:rFonts w:cs="Times New Roman"/>
          <w:b/>
          <w:color w:val="auto"/>
          <w:highlight w:val="yellow"/>
        </w:rPr>
      </w:pPr>
    </w:p>
    <w:p w14:paraId="33B5F0F5" w14:textId="77777777" w:rsidR="00134F41" w:rsidRDefault="00134F41" w:rsidP="00134F41">
      <w:pPr>
        <w:suppressAutoHyphens/>
        <w:rPr>
          <w:rFonts w:cs="Times New Roman"/>
          <w:color w:val="auto"/>
        </w:rPr>
      </w:pPr>
    </w:p>
    <w:tbl>
      <w:tblPr>
        <w:tblW w:w="0" w:type="auto"/>
        <w:jc w:val="center"/>
        <w:tblLook w:val="01E0" w:firstRow="1" w:lastRow="1" w:firstColumn="1" w:lastColumn="1" w:noHBand="0" w:noVBand="0"/>
      </w:tblPr>
      <w:tblGrid>
        <w:gridCol w:w="3968"/>
        <w:gridCol w:w="4536"/>
      </w:tblGrid>
      <w:tr w:rsidR="00134F41" w14:paraId="7BB9504B" w14:textId="77777777" w:rsidTr="00134F41">
        <w:trPr>
          <w:jc w:val="center"/>
        </w:trPr>
        <w:tc>
          <w:tcPr>
            <w:tcW w:w="4419" w:type="dxa"/>
            <w:hideMark/>
          </w:tcPr>
          <w:p w14:paraId="65E9A6EA" w14:textId="008BDD4F" w:rsidR="00134F41" w:rsidRDefault="00134F41">
            <w:pPr>
              <w:suppressAutoHyphens/>
              <w:rPr>
                <w:rFonts w:cs="Times New Roman"/>
                <w:color w:val="auto"/>
                <w:lang w:eastAsia="en-US"/>
              </w:rPr>
            </w:pPr>
            <w:bookmarkStart w:id="239" w:name="_Hlk62323676"/>
            <w:r>
              <w:rPr>
                <w:rFonts w:cs="Times New Roman"/>
                <w:color w:val="auto"/>
                <w:lang w:eastAsia="en-US"/>
              </w:rPr>
              <w:t>_______________________________</w:t>
            </w:r>
          </w:p>
        </w:tc>
        <w:tc>
          <w:tcPr>
            <w:tcW w:w="4419" w:type="dxa"/>
            <w:hideMark/>
          </w:tcPr>
          <w:p w14:paraId="4FB55CE3" w14:textId="77777777" w:rsidR="00134F41" w:rsidRDefault="00134F41">
            <w:pPr>
              <w:suppressAutoHyphens/>
              <w:rPr>
                <w:rFonts w:cs="Times New Roman"/>
                <w:color w:val="auto"/>
                <w:lang w:eastAsia="en-US"/>
              </w:rPr>
            </w:pPr>
            <w:r>
              <w:rPr>
                <w:rFonts w:cs="Times New Roman"/>
                <w:color w:val="auto"/>
                <w:lang w:eastAsia="en-US"/>
              </w:rPr>
              <w:t>____________________________________</w:t>
            </w:r>
          </w:p>
        </w:tc>
      </w:tr>
      <w:tr w:rsidR="00134F41" w14:paraId="470A515B" w14:textId="77777777" w:rsidTr="00134F41">
        <w:trPr>
          <w:jc w:val="center"/>
        </w:trPr>
        <w:tc>
          <w:tcPr>
            <w:tcW w:w="4419" w:type="dxa"/>
            <w:hideMark/>
          </w:tcPr>
          <w:p w14:paraId="0F4A59AA" w14:textId="77777777" w:rsidR="00134F41" w:rsidRDefault="00134F41">
            <w:pPr>
              <w:suppressAutoHyphens/>
              <w:rPr>
                <w:rFonts w:cs="Times New Roman"/>
                <w:color w:val="auto"/>
                <w:lang w:eastAsia="en-US"/>
              </w:rPr>
            </w:pPr>
            <w:r>
              <w:rPr>
                <w:rFonts w:cs="Times New Roman"/>
                <w:color w:val="auto"/>
                <w:lang w:eastAsia="en-US"/>
              </w:rPr>
              <w:t xml:space="preserve">Nome: </w:t>
            </w:r>
            <w:r>
              <w:rPr>
                <w:lang w:eastAsia="en-US"/>
              </w:rPr>
              <w:t>Daniel Monteiro Coelho de Magalhães</w:t>
            </w:r>
          </w:p>
          <w:p w14:paraId="325E9185" w14:textId="77777777" w:rsidR="00134F41" w:rsidRDefault="00134F41">
            <w:pPr>
              <w:suppressAutoHyphens/>
              <w:rPr>
                <w:rFonts w:cs="Times New Roman"/>
                <w:color w:val="auto"/>
                <w:lang w:eastAsia="en-US"/>
              </w:rPr>
            </w:pPr>
            <w:r>
              <w:rPr>
                <w:rFonts w:cs="Times New Roman"/>
                <w:color w:val="auto"/>
                <w:lang w:eastAsia="en-US"/>
              </w:rPr>
              <w:t xml:space="preserve">Cargo: </w:t>
            </w:r>
            <w:r>
              <w:rPr>
                <w:lang w:eastAsia="en-US"/>
              </w:rPr>
              <w:t>Diretor Presidente</w:t>
            </w:r>
          </w:p>
          <w:p w14:paraId="71016F15" w14:textId="77777777" w:rsidR="00134F41" w:rsidRDefault="00134F41">
            <w:pPr>
              <w:suppressAutoHyphens/>
              <w:rPr>
                <w:rFonts w:cs="Times New Roman"/>
                <w:color w:val="auto"/>
                <w:lang w:eastAsia="en-US"/>
              </w:rPr>
            </w:pPr>
            <w:r>
              <w:rPr>
                <w:rFonts w:cs="Times New Roman"/>
                <w:color w:val="auto"/>
                <w:lang w:eastAsia="en-US"/>
              </w:rPr>
              <w:t xml:space="preserve">CPF: </w:t>
            </w:r>
            <w:r>
              <w:rPr>
                <w:lang w:eastAsia="en-US"/>
              </w:rPr>
              <w:t>353.261.49877</w:t>
            </w:r>
          </w:p>
        </w:tc>
        <w:tc>
          <w:tcPr>
            <w:tcW w:w="4419" w:type="dxa"/>
            <w:hideMark/>
          </w:tcPr>
          <w:p w14:paraId="5F0F7BAD" w14:textId="77777777" w:rsidR="00134F41" w:rsidRDefault="00134F41">
            <w:pPr>
              <w:suppressAutoHyphens/>
              <w:rPr>
                <w:rFonts w:cs="Times New Roman"/>
                <w:color w:val="auto"/>
                <w:lang w:eastAsia="en-US"/>
              </w:rPr>
            </w:pPr>
            <w:r>
              <w:rPr>
                <w:rFonts w:cs="Times New Roman"/>
                <w:color w:val="auto"/>
                <w:lang w:eastAsia="en-US"/>
              </w:rPr>
              <w:t>Nome: Luisa Herkenhoff Mis</w:t>
            </w:r>
          </w:p>
          <w:p w14:paraId="70089035" w14:textId="77777777" w:rsidR="00134F41" w:rsidRDefault="00134F41">
            <w:pPr>
              <w:suppressAutoHyphens/>
              <w:rPr>
                <w:rFonts w:cs="Times New Roman"/>
                <w:color w:val="auto"/>
                <w:lang w:eastAsia="en-US"/>
              </w:rPr>
            </w:pPr>
            <w:r>
              <w:rPr>
                <w:rFonts w:cs="Times New Roman"/>
                <w:color w:val="auto"/>
                <w:lang w:eastAsia="en-US"/>
              </w:rPr>
              <w:t>Cargo: Procuradora</w:t>
            </w:r>
          </w:p>
          <w:p w14:paraId="139144D5" w14:textId="77777777" w:rsidR="00134F41" w:rsidRDefault="00134F41">
            <w:pPr>
              <w:suppressAutoHyphens/>
              <w:rPr>
                <w:rFonts w:cs="Times New Roman"/>
                <w:color w:val="auto"/>
                <w:lang w:eastAsia="en-US"/>
              </w:rPr>
            </w:pPr>
            <w:r>
              <w:rPr>
                <w:rFonts w:cs="Times New Roman"/>
                <w:color w:val="auto"/>
                <w:lang w:eastAsia="en-US"/>
              </w:rPr>
              <w:t>CPF: 122.277.507-74</w:t>
            </w:r>
          </w:p>
        </w:tc>
      </w:tr>
      <w:bookmarkEnd w:id="239"/>
    </w:tbl>
    <w:p w14:paraId="71DFEFD0" w14:textId="77777777" w:rsidR="00134F41" w:rsidRDefault="00134F41" w:rsidP="00134F41">
      <w:pPr>
        <w:suppressAutoHyphens/>
        <w:rPr>
          <w:rFonts w:cs="Times New Roman"/>
          <w:color w:val="auto"/>
        </w:rPr>
      </w:pPr>
    </w:p>
    <w:p w14:paraId="37000403" w14:textId="77777777" w:rsidR="00134F41" w:rsidRDefault="00134F41" w:rsidP="00134F41">
      <w:pPr>
        <w:tabs>
          <w:tab w:val="left" w:pos="9356"/>
        </w:tabs>
        <w:rPr>
          <w:rFonts w:cs="Times New Roman"/>
          <w:b/>
          <w:color w:val="auto"/>
          <w:highlight w:val="yellow"/>
        </w:rPr>
      </w:pPr>
    </w:p>
    <w:p w14:paraId="16A6ADE6" w14:textId="77777777" w:rsidR="00134F41" w:rsidRDefault="00134F41" w:rsidP="00134F41">
      <w:pPr>
        <w:tabs>
          <w:tab w:val="left" w:pos="9356"/>
        </w:tabs>
        <w:rPr>
          <w:rFonts w:cs="Times New Roman"/>
          <w:color w:val="auto"/>
        </w:rPr>
      </w:pPr>
      <w:r>
        <w:rPr>
          <w:rFonts w:cs="Times New Roman"/>
          <w:color w:val="auto"/>
          <w:highlight w:val="yellow"/>
        </w:rPr>
        <w:br w:type="page"/>
      </w:r>
      <w:r>
        <w:rPr>
          <w:rFonts w:cs="Times New Roman"/>
          <w:i/>
          <w:color w:val="auto"/>
        </w:rPr>
        <w:t>(Página de Assinatura 2/3 do Primeiro Aditamento ao Termo de Securitização de Créditos Imobiliários da 131ª Série da 4ª Emissão de Certificados de Recebíveis Imobiliários da ISEC Securitizadora S.A.)</w:t>
      </w:r>
    </w:p>
    <w:p w14:paraId="136A1CFC" w14:textId="77777777" w:rsidR="00134F41" w:rsidRDefault="00134F41" w:rsidP="00134F41">
      <w:pPr>
        <w:tabs>
          <w:tab w:val="left" w:pos="9356"/>
        </w:tabs>
        <w:rPr>
          <w:rFonts w:cs="Times New Roman"/>
          <w:color w:val="auto"/>
          <w:highlight w:val="yellow"/>
        </w:rPr>
      </w:pPr>
    </w:p>
    <w:p w14:paraId="68E6AD83" w14:textId="77777777" w:rsidR="00134F41" w:rsidRDefault="00134F41" w:rsidP="00134F41">
      <w:pPr>
        <w:tabs>
          <w:tab w:val="left" w:pos="9356"/>
        </w:tabs>
        <w:rPr>
          <w:rFonts w:cs="Times New Roman"/>
          <w:color w:val="auto"/>
          <w:highlight w:val="yellow"/>
        </w:rPr>
      </w:pPr>
    </w:p>
    <w:p w14:paraId="749B5CBE" w14:textId="77777777" w:rsidR="00134F41" w:rsidRDefault="00134F41" w:rsidP="00134F41">
      <w:pPr>
        <w:tabs>
          <w:tab w:val="left" w:pos="9356"/>
        </w:tabs>
        <w:jc w:val="center"/>
        <w:rPr>
          <w:rFonts w:cs="Times New Roman"/>
          <w:b/>
          <w:color w:val="auto"/>
          <w:highlight w:val="yellow"/>
        </w:rPr>
      </w:pPr>
      <w:r>
        <w:rPr>
          <w:rFonts w:eastAsia="Calibri" w:cs="Times New Roman"/>
          <w:b/>
          <w:lang w:eastAsia="en-US"/>
        </w:rPr>
        <w:t>SIMPLIFIC PAVARINI DISTRIBUIDORA DE TÍTULOS E VALORES MOBILIÁRIOS LTDA</w:t>
      </w:r>
      <w:r>
        <w:rPr>
          <w:rFonts w:eastAsia="Calibri" w:cs="Times New Roman"/>
          <w:b/>
        </w:rPr>
        <w:t>.</w:t>
      </w:r>
    </w:p>
    <w:p w14:paraId="0741E348" w14:textId="77777777" w:rsidR="00134F41" w:rsidRDefault="00134F41" w:rsidP="00134F41">
      <w:pPr>
        <w:tabs>
          <w:tab w:val="left" w:pos="9356"/>
        </w:tabs>
        <w:rPr>
          <w:rFonts w:cs="Times New Roman"/>
          <w:b/>
          <w:color w:val="auto"/>
          <w:highlight w:val="yellow"/>
        </w:rPr>
      </w:pPr>
    </w:p>
    <w:p w14:paraId="05B8F72F" w14:textId="77777777" w:rsidR="00134F41" w:rsidRDefault="00134F41" w:rsidP="00134F41">
      <w:pPr>
        <w:tabs>
          <w:tab w:val="left" w:pos="9356"/>
        </w:tabs>
        <w:rPr>
          <w:rFonts w:cs="Times New Roman"/>
          <w:b/>
          <w:color w:val="auto"/>
          <w:highlight w:val="yellow"/>
        </w:rPr>
      </w:pPr>
    </w:p>
    <w:p w14:paraId="23EF7821" w14:textId="77777777" w:rsidR="00134F41" w:rsidRDefault="00134F41" w:rsidP="00134F41">
      <w:pPr>
        <w:suppressAutoHyphens/>
        <w:rPr>
          <w:rFonts w:cs="Times New Roman"/>
          <w:color w:val="auto"/>
        </w:rPr>
      </w:pPr>
    </w:p>
    <w:tbl>
      <w:tblPr>
        <w:tblW w:w="6096" w:type="dxa"/>
        <w:jc w:val="center"/>
        <w:tblLook w:val="01E0" w:firstRow="1" w:lastRow="1" w:firstColumn="1" w:lastColumn="1" w:noHBand="0" w:noVBand="0"/>
      </w:tblPr>
      <w:tblGrid>
        <w:gridCol w:w="6096"/>
      </w:tblGrid>
      <w:tr w:rsidR="00134F41" w14:paraId="02EE49CE" w14:textId="77777777" w:rsidTr="00134F41">
        <w:trPr>
          <w:jc w:val="center"/>
        </w:trPr>
        <w:tc>
          <w:tcPr>
            <w:tcW w:w="6096" w:type="dxa"/>
            <w:hideMark/>
          </w:tcPr>
          <w:p w14:paraId="34E04A5A" w14:textId="77777777" w:rsidR="00134F41" w:rsidRDefault="00134F41">
            <w:pPr>
              <w:suppressAutoHyphens/>
              <w:jc w:val="left"/>
              <w:rPr>
                <w:rFonts w:cs="Times New Roman"/>
                <w:color w:val="auto"/>
                <w:lang w:eastAsia="en-US"/>
              </w:rPr>
            </w:pPr>
            <w:r>
              <w:rPr>
                <w:rFonts w:cs="Times New Roman"/>
                <w:color w:val="auto"/>
                <w:lang w:eastAsia="en-US"/>
              </w:rPr>
              <w:t>_________________________________</w:t>
            </w:r>
          </w:p>
          <w:p w14:paraId="1B9139A9" w14:textId="77777777" w:rsidR="00134F41" w:rsidRDefault="00134F41">
            <w:pPr>
              <w:suppressAutoHyphens/>
              <w:jc w:val="left"/>
              <w:rPr>
                <w:rFonts w:cs="Times New Roman"/>
                <w:color w:val="auto"/>
                <w:lang w:eastAsia="en-US"/>
              </w:rPr>
            </w:pPr>
            <w:r>
              <w:rPr>
                <w:rFonts w:cs="Times New Roman"/>
                <w:color w:val="auto"/>
                <w:lang w:eastAsia="en-US"/>
              </w:rPr>
              <w:t>Nome: Pedro Paulo Farme d’</w:t>
            </w:r>
            <w:proofErr w:type="spellStart"/>
            <w:r>
              <w:rPr>
                <w:rFonts w:cs="Times New Roman"/>
                <w:color w:val="auto"/>
                <w:lang w:eastAsia="en-US"/>
              </w:rPr>
              <w:t>Amoed</w:t>
            </w:r>
            <w:proofErr w:type="spellEnd"/>
            <w:r>
              <w:rPr>
                <w:rFonts w:cs="Times New Roman"/>
                <w:color w:val="auto"/>
                <w:lang w:eastAsia="en-US"/>
              </w:rPr>
              <w:t xml:space="preserve"> Fernandes de Oliveira</w:t>
            </w:r>
          </w:p>
          <w:p w14:paraId="2D5DCF81" w14:textId="77777777" w:rsidR="00134F41" w:rsidRDefault="00134F41">
            <w:pPr>
              <w:suppressAutoHyphens/>
              <w:jc w:val="left"/>
              <w:rPr>
                <w:rFonts w:cs="Times New Roman"/>
                <w:color w:val="auto"/>
                <w:lang w:eastAsia="en-US"/>
              </w:rPr>
            </w:pPr>
            <w:r>
              <w:rPr>
                <w:rFonts w:cs="Times New Roman"/>
                <w:color w:val="auto"/>
                <w:lang w:eastAsia="en-US"/>
              </w:rPr>
              <w:t>Cargo: Procurador</w:t>
            </w:r>
          </w:p>
        </w:tc>
      </w:tr>
      <w:tr w:rsidR="00134F41" w14:paraId="20AF3416" w14:textId="77777777" w:rsidTr="00134F41">
        <w:trPr>
          <w:jc w:val="center"/>
        </w:trPr>
        <w:tc>
          <w:tcPr>
            <w:tcW w:w="6096" w:type="dxa"/>
            <w:hideMark/>
          </w:tcPr>
          <w:p w14:paraId="0A921152" w14:textId="77777777" w:rsidR="00134F41" w:rsidRDefault="00134F41">
            <w:pPr>
              <w:suppressAutoHyphens/>
              <w:jc w:val="left"/>
              <w:rPr>
                <w:rFonts w:cs="Times New Roman"/>
                <w:color w:val="auto"/>
                <w:lang w:eastAsia="en-US"/>
              </w:rPr>
            </w:pPr>
            <w:r>
              <w:rPr>
                <w:rFonts w:cs="Times New Roman"/>
                <w:color w:val="auto"/>
                <w:lang w:eastAsia="en-US"/>
              </w:rPr>
              <w:t>CPF:060.883.727-02</w:t>
            </w:r>
          </w:p>
        </w:tc>
      </w:tr>
    </w:tbl>
    <w:p w14:paraId="7C6DEA6C" w14:textId="77777777" w:rsidR="00134F41" w:rsidRDefault="00134F41" w:rsidP="00134F41">
      <w:pPr>
        <w:suppressAutoHyphens/>
        <w:rPr>
          <w:rFonts w:cs="Times New Roman"/>
          <w:color w:val="auto"/>
        </w:rPr>
      </w:pPr>
    </w:p>
    <w:p w14:paraId="1FC73C44" w14:textId="77777777" w:rsidR="00134F41" w:rsidRDefault="00134F41" w:rsidP="00134F41">
      <w:pPr>
        <w:jc w:val="left"/>
        <w:rPr>
          <w:rFonts w:cs="Times New Roman"/>
          <w:color w:val="auto"/>
          <w:u w:val="single"/>
        </w:rPr>
      </w:pPr>
      <w:r>
        <w:rPr>
          <w:rFonts w:cs="Times New Roman"/>
          <w:color w:val="auto"/>
          <w:u w:val="single"/>
        </w:rPr>
        <w:br w:type="page"/>
      </w:r>
      <w:bookmarkStart w:id="240" w:name="_DV_M399"/>
      <w:bookmarkEnd w:id="240"/>
    </w:p>
    <w:p w14:paraId="395FC4B6" w14:textId="77777777" w:rsidR="00134F41" w:rsidRDefault="00134F41" w:rsidP="00134F41">
      <w:pPr>
        <w:tabs>
          <w:tab w:val="left" w:pos="9356"/>
        </w:tabs>
        <w:rPr>
          <w:rFonts w:cs="Times New Roman"/>
          <w:i/>
          <w:color w:val="auto"/>
        </w:rPr>
      </w:pPr>
      <w:r>
        <w:rPr>
          <w:rFonts w:cs="Times New Roman"/>
          <w:i/>
          <w:color w:val="auto"/>
        </w:rPr>
        <w:t>(Página de Assinatura 3/3 do Primeiro Aditamento ao Termo de Securitização de Créditos Imobiliários da 131ª Série da 4ª Emissão de Certificados de Recebíveis Imobiliários da ISEC Securitizadora S.A.)</w:t>
      </w:r>
    </w:p>
    <w:p w14:paraId="2A0A42F3" w14:textId="77777777" w:rsidR="00134F41" w:rsidRDefault="00134F41" w:rsidP="00134F41">
      <w:pPr>
        <w:tabs>
          <w:tab w:val="left" w:pos="9356"/>
        </w:tabs>
        <w:rPr>
          <w:rFonts w:cs="Times New Roman"/>
          <w:color w:val="auto"/>
        </w:rPr>
      </w:pPr>
    </w:p>
    <w:p w14:paraId="66B72D08" w14:textId="77777777" w:rsidR="00134F41" w:rsidRDefault="00134F41" w:rsidP="00134F41">
      <w:pPr>
        <w:tabs>
          <w:tab w:val="left" w:pos="9356"/>
        </w:tabs>
        <w:rPr>
          <w:rFonts w:cs="Times New Roman"/>
          <w:color w:val="auto"/>
          <w:highlight w:val="yellow"/>
        </w:rPr>
      </w:pPr>
    </w:p>
    <w:p w14:paraId="1C47740F" w14:textId="77777777" w:rsidR="00134F41" w:rsidRDefault="00134F41" w:rsidP="00134F41">
      <w:pPr>
        <w:tabs>
          <w:tab w:val="left" w:pos="9356"/>
        </w:tabs>
        <w:rPr>
          <w:rFonts w:cs="Times New Roman"/>
          <w:color w:val="auto"/>
          <w:highlight w:val="yellow"/>
        </w:rPr>
      </w:pPr>
    </w:p>
    <w:p w14:paraId="7C3C295B" w14:textId="77777777" w:rsidR="00134F41" w:rsidRDefault="00134F41" w:rsidP="00134F41">
      <w:pPr>
        <w:rPr>
          <w:rFonts w:cs="Times New Roman"/>
          <w:color w:val="auto"/>
        </w:rPr>
      </w:pPr>
      <w:r>
        <w:rPr>
          <w:rFonts w:cs="Times New Roman"/>
          <w:color w:val="auto"/>
          <w:u w:val="single"/>
        </w:rPr>
        <w:t>Testemunhas</w:t>
      </w:r>
      <w:r>
        <w:rPr>
          <w:rFonts w:cs="Times New Roman"/>
          <w:color w:val="auto"/>
        </w:rPr>
        <w:t>:</w:t>
      </w:r>
    </w:p>
    <w:p w14:paraId="2B0B73F5" w14:textId="77777777" w:rsidR="00134F41" w:rsidRDefault="00134F41" w:rsidP="00134F41">
      <w:pPr>
        <w:rPr>
          <w:rFonts w:cs="Times New Roman"/>
          <w:color w:val="auto"/>
        </w:rPr>
      </w:pPr>
    </w:p>
    <w:p w14:paraId="716C470E" w14:textId="77777777" w:rsidR="00134F41" w:rsidRDefault="00134F41" w:rsidP="00134F41">
      <w:pPr>
        <w:rPr>
          <w:rFonts w:cs="Times New Roman"/>
          <w:color w:val="auto"/>
        </w:rPr>
      </w:pPr>
    </w:p>
    <w:p w14:paraId="61EEE81C" w14:textId="77777777" w:rsidR="00134F41" w:rsidRDefault="00134F41" w:rsidP="00134F41">
      <w:pPr>
        <w:suppressAutoHyphens/>
        <w:rPr>
          <w:rFonts w:cs="Times New Roman"/>
          <w:color w:val="auto"/>
        </w:rPr>
      </w:pPr>
    </w:p>
    <w:p w14:paraId="254B561C" w14:textId="77777777" w:rsidR="00134F41" w:rsidRDefault="00134F41" w:rsidP="00134F41">
      <w:pPr>
        <w:suppressAutoHyphens/>
        <w:rPr>
          <w:rFonts w:cs="Times New Roman"/>
          <w:color w:val="auto"/>
        </w:rPr>
      </w:pPr>
    </w:p>
    <w:tbl>
      <w:tblPr>
        <w:tblW w:w="0" w:type="auto"/>
        <w:jc w:val="center"/>
        <w:tblLook w:val="01E0" w:firstRow="1" w:lastRow="1" w:firstColumn="1" w:lastColumn="1" w:noHBand="0" w:noVBand="0"/>
      </w:tblPr>
      <w:tblGrid>
        <w:gridCol w:w="3903"/>
        <w:gridCol w:w="815"/>
        <w:gridCol w:w="3786"/>
      </w:tblGrid>
      <w:tr w:rsidR="00134F41" w14:paraId="0444B0DE" w14:textId="77777777" w:rsidTr="00134F41">
        <w:trPr>
          <w:jc w:val="center"/>
        </w:trPr>
        <w:tc>
          <w:tcPr>
            <w:tcW w:w="4248" w:type="dxa"/>
            <w:tcBorders>
              <w:top w:val="single" w:sz="4" w:space="0" w:color="auto"/>
              <w:left w:val="nil"/>
              <w:bottom w:val="nil"/>
              <w:right w:val="nil"/>
            </w:tcBorders>
            <w:hideMark/>
          </w:tcPr>
          <w:p w14:paraId="56334524" w14:textId="77777777" w:rsidR="00134F41" w:rsidRDefault="00134F41">
            <w:pPr>
              <w:pStyle w:val="Corpodetexto"/>
              <w:rPr>
                <w:sz w:val="24"/>
                <w:szCs w:val="24"/>
                <w:lang w:val="it-IT"/>
              </w:rPr>
            </w:pPr>
            <w:r>
              <w:rPr>
                <w:sz w:val="24"/>
                <w:szCs w:val="24"/>
                <w:lang w:val="it-IT"/>
              </w:rPr>
              <w:t xml:space="preserve">Nome: </w:t>
            </w:r>
            <w:r>
              <w:rPr>
                <w:sz w:val="24"/>
                <w:szCs w:val="24"/>
                <w:lang w:val="pt-BR"/>
              </w:rPr>
              <w:t>Eduardo de Mayo Valente Caires</w:t>
            </w:r>
          </w:p>
          <w:p w14:paraId="07F04F2C" w14:textId="77777777" w:rsidR="00134F41" w:rsidRDefault="00134F41">
            <w:pPr>
              <w:rPr>
                <w:rFonts w:cs="Times New Roman"/>
                <w:lang w:val="it-IT" w:eastAsia="en-US"/>
              </w:rPr>
            </w:pPr>
            <w:r>
              <w:rPr>
                <w:rFonts w:cs="Times New Roman"/>
                <w:lang w:val="it-IT" w:eastAsia="en-US"/>
              </w:rPr>
              <w:t>CPF:</w:t>
            </w:r>
            <w:r>
              <w:rPr>
                <w:rFonts w:cs="Times New Roman"/>
                <w:lang w:eastAsia="en-US"/>
              </w:rPr>
              <w:t xml:space="preserve"> 216.064.508-75</w:t>
            </w:r>
          </w:p>
        </w:tc>
        <w:tc>
          <w:tcPr>
            <w:tcW w:w="900" w:type="dxa"/>
          </w:tcPr>
          <w:p w14:paraId="2919FD57" w14:textId="77777777" w:rsidR="00134F41" w:rsidRDefault="00134F41">
            <w:pPr>
              <w:outlineLvl w:val="2"/>
              <w:rPr>
                <w:rFonts w:cs="Times New Roman"/>
                <w:lang w:val="it-IT" w:eastAsia="en-US"/>
              </w:rPr>
            </w:pPr>
          </w:p>
        </w:tc>
        <w:tc>
          <w:tcPr>
            <w:tcW w:w="4115" w:type="dxa"/>
            <w:tcBorders>
              <w:top w:val="single" w:sz="4" w:space="0" w:color="auto"/>
              <w:left w:val="nil"/>
              <w:bottom w:val="nil"/>
              <w:right w:val="nil"/>
            </w:tcBorders>
            <w:hideMark/>
          </w:tcPr>
          <w:p w14:paraId="6518A87A" w14:textId="77777777" w:rsidR="00134F41" w:rsidRDefault="00134F41">
            <w:pPr>
              <w:rPr>
                <w:rFonts w:cs="Times New Roman"/>
                <w:lang w:val="it-IT" w:eastAsia="en-US"/>
              </w:rPr>
            </w:pPr>
            <w:r>
              <w:rPr>
                <w:rFonts w:cs="Times New Roman"/>
                <w:lang w:val="it-IT" w:eastAsia="en-US"/>
              </w:rPr>
              <w:t xml:space="preserve">Nome: </w:t>
            </w:r>
            <w:r>
              <w:rPr>
                <w:rFonts w:cs="Times New Roman"/>
                <w:lang w:eastAsia="en-US"/>
              </w:rPr>
              <w:t>Marina Moura de Barros</w:t>
            </w:r>
          </w:p>
          <w:p w14:paraId="7E044129" w14:textId="77777777" w:rsidR="00134F41" w:rsidRDefault="00134F41">
            <w:pPr>
              <w:rPr>
                <w:rFonts w:cs="Times New Roman"/>
                <w:lang w:val="de-DE" w:eastAsia="en-US"/>
              </w:rPr>
            </w:pPr>
            <w:r>
              <w:rPr>
                <w:rFonts w:cs="Times New Roman"/>
                <w:lang w:val="de-DE" w:eastAsia="en-US"/>
              </w:rPr>
              <w:t xml:space="preserve">CPF: </w:t>
            </w:r>
            <w:r>
              <w:rPr>
                <w:rFonts w:cs="Times New Roman"/>
                <w:lang w:eastAsia="en-US"/>
              </w:rPr>
              <w:t>352.642.788-73</w:t>
            </w:r>
          </w:p>
        </w:tc>
      </w:tr>
    </w:tbl>
    <w:p w14:paraId="5A41E893" w14:textId="77777777" w:rsidR="00134F41" w:rsidRDefault="00134F41" w:rsidP="00134F41">
      <w:pPr>
        <w:rPr>
          <w:rFonts w:cs="Times New Roman"/>
          <w:b/>
          <w:color w:val="000000"/>
        </w:rPr>
      </w:pPr>
      <w:bookmarkStart w:id="241" w:name="_DV_M400"/>
      <w:bookmarkStart w:id="242" w:name="_DV_M401"/>
      <w:bookmarkStart w:id="243" w:name="_DV_M402"/>
      <w:bookmarkStart w:id="244" w:name="_DV_M403"/>
      <w:bookmarkStart w:id="245" w:name="_DV_M404"/>
      <w:bookmarkStart w:id="246" w:name="_DV_M406"/>
      <w:bookmarkStart w:id="247" w:name="_DV_M411"/>
      <w:bookmarkStart w:id="248" w:name="_DV_M412"/>
      <w:bookmarkStart w:id="249" w:name="_DV_M413"/>
      <w:bookmarkStart w:id="250" w:name="_DV_M414"/>
      <w:bookmarkStart w:id="251" w:name="_DV_M415"/>
      <w:bookmarkStart w:id="252" w:name="_DV_M416"/>
      <w:bookmarkStart w:id="253" w:name="_DV_M417"/>
      <w:bookmarkStart w:id="254" w:name="_DV_M418"/>
      <w:bookmarkStart w:id="255" w:name="_DV_M419"/>
      <w:bookmarkStart w:id="256" w:name="_DV_M423"/>
      <w:bookmarkStart w:id="257" w:name="_DV_M425"/>
      <w:bookmarkStart w:id="258" w:name="_DV_M426"/>
      <w:bookmarkStart w:id="259" w:name="_DV_M428"/>
      <w:bookmarkStart w:id="260" w:name="_DV_M429"/>
      <w:bookmarkStart w:id="261" w:name="_DV_M430"/>
      <w:bookmarkStart w:id="262" w:name="_DV_M431"/>
      <w:bookmarkStart w:id="263" w:name="_DV_M435"/>
      <w:bookmarkStart w:id="264" w:name="_DV_M436"/>
      <w:bookmarkStart w:id="265" w:name="_DV_M43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EC89D3B" w14:textId="77777777" w:rsidR="00A66AC5" w:rsidRDefault="00A66AC5"/>
    <w:sectPr w:rsidR="00A66AC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8E7A6" w14:textId="77777777" w:rsidR="006801D5" w:rsidRDefault="006801D5" w:rsidP="00134F41">
      <w:pPr>
        <w:spacing w:line="240" w:lineRule="auto"/>
      </w:pPr>
      <w:r>
        <w:separator/>
      </w:r>
    </w:p>
  </w:endnote>
  <w:endnote w:type="continuationSeparator" w:id="0">
    <w:p w14:paraId="436BCEBE" w14:textId="77777777" w:rsidR="006801D5" w:rsidRDefault="006801D5" w:rsidP="00134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91A76" w14:textId="77777777" w:rsidR="006801D5" w:rsidRDefault="006801D5" w:rsidP="00134F41">
      <w:pPr>
        <w:spacing w:line="240" w:lineRule="auto"/>
      </w:pPr>
      <w:r>
        <w:separator/>
      </w:r>
    </w:p>
  </w:footnote>
  <w:footnote w:type="continuationSeparator" w:id="0">
    <w:p w14:paraId="655CDA7C" w14:textId="77777777" w:rsidR="006801D5" w:rsidRDefault="006801D5" w:rsidP="00134F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B40DD" w14:textId="1D208E6D" w:rsidR="00134F41" w:rsidRDefault="00134F41">
    <w:pPr>
      <w:pStyle w:val="Cabealho"/>
    </w:pPr>
    <w:r>
      <w:rPr>
        <w:noProof/>
      </w:rPr>
      <w:drawing>
        <wp:inline distT="0" distB="0" distL="0" distR="0" wp14:anchorId="26DE528D" wp14:editId="3A11C2AA">
          <wp:extent cx="1005840" cy="548640"/>
          <wp:effectExtent l="0" t="0" r="3810" b="381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0504B4F5" w14:textId="77777777" w:rsidR="00134F41" w:rsidRDefault="00134F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E7392"/>
    <w:multiLevelType w:val="hybridMultilevel"/>
    <w:tmpl w:val="833291C0"/>
    <w:lvl w:ilvl="0" w:tplc="1AE40252">
      <w:start w:val="1"/>
      <w:numFmt w:val="lowerRoman"/>
      <w:lvlText w:val="(%1)"/>
      <w:lvlJc w:val="left"/>
      <w:pPr>
        <w:ind w:left="720" w:hanging="360"/>
      </w:pPr>
      <w:rPr>
        <w:b w:val="0"/>
        <w:bCs/>
        <w:i w:val="0"/>
        <w:color w:val="00000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7121185"/>
    <w:multiLevelType w:val="hybridMultilevel"/>
    <w:tmpl w:val="21ECBEA4"/>
    <w:lvl w:ilvl="0" w:tplc="35101BF2">
      <w:start w:val="1"/>
      <w:numFmt w:val="lowerRoman"/>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41"/>
    <w:rsid w:val="00134F41"/>
    <w:rsid w:val="006801D5"/>
    <w:rsid w:val="006D5FFF"/>
    <w:rsid w:val="008E3999"/>
    <w:rsid w:val="00A66AC5"/>
    <w:rsid w:val="00B75833"/>
    <w:rsid w:val="00FE2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81B2"/>
  <w15:chartTrackingRefBased/>
  <w15:docId w15:val="{906E2759-4DF6-4843-84A8-5901E8CC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41"/>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134F4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1"/>
    <w:uiPriority w:val="9"/>
    <w:semiHidden/>
    <w:unhideWhenUsed/>
    <w:qFormat/>
    <w:rsid w:val="00134F4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4F4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uiPriority w:val="9"/>
    <w:semiHidden/>
    <w:rsid w:val="00134F41"/>
    <w:rPr>
      <w:rFonts w:asciiTheme="majorHAnsi" w:eastAsiaTheme="majorEastAsia" w:hAnsiTheme="majorHAnsi" w:cstheme="majorBidi"/>
      <w:color w:val="2F5496" w:themeColor="accent1" w:themeShade="BF"/>
      <w:sz w:val="26"/>
      <w:szCs w:val="26"/>
      <w:lang w:eastAsia="pt-BR"/>
    </w:rPr>
  </w:style>
  <w:style w:type="character" w:customStyle="1" w:styleId="TtuloChar">
    <w:name w:val="Título Char"/>
    <w:aliases w:val="t Char"/>
    <w:basedOn w:val="Fontepargpadro"/>
    <w:link w:val="Ttulo"/>
    <w:locked/>
    <w:rsid w:val="00134F41"/>
    <w:rPr>
      <w:rFonts w:ascii="Times New Roman" w:hAnsi="Times New Roman" w:cs="Times New Roman"/>
      <w:b/>
      <w:color w:val="000000" w:themeColor="text1"/>
      <w:sz w:val="24"/>
      <w:szCs w:val="20"/>
      <w:lang w:val="en-GB" w:eastAsia="pt-BR"/>
    </w:rPr>
  </w:style>
  <w:style w:type="paragraph" w:styleId="Ttulo">
    <w:name w:val="Title"/>
    <w:aliases w:val="t"/>
    <w:basedOn w:val="Normal"/>
    <w:link w:val="TtuloChar"/>
    <w:qFormat/>
    <w:rsid w:val="00134F41"/>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rFonts w:cs="Times New Roman"/>
      <w:b/>
      <w:szCs w:val="20"/>
      <w:lang w:val="en-GB"/>
    </w:rPr>
  </w:style>
  <w:style w:type="character" w:customStyle="1" w:styleId="TtuloChar1">
    <w:name w:val="Título Char1"/>
    <w:basedOn w:val="Fontepargpadro"/>
    <w:uiPriority w:val="10"/>
    <w:rsid w:val="00134F41"/>
    <w:rPr>
      <w:rFonts w:asciiTheme="majorHAnsi" w:eastAsiaTheme="majorEastAsia" w:hAnsiTheme="majorHAnsi" w:cstheme="majorBidi"/>
      <w:spacing w:val="-10"/>
      <w:kern w:val="28"/>
      <w:sz w:val="56"/>
      <w:szCs w:val="56"/>
      <w:lang w:eastAsia="pt-BR"/>
    </w:rPr>
  </w:style>
  <w:style w:type="character" w:customStyle="1" w:styleId="CorpodetextoChar">
    <w:name w:val="Corpo de texto Char"/>
    <w:aliases w:val="body text Char,bt Char"/>
    <w:basedOn w:val="Fontepargpadro"/>
    <w:link w:val="Corpodetexto"/>
    <w:semiHidden/>
    <w:locked/>
    <w:rsid w:val="00134F41"/>
    <w:rPr>
      <w:rFonts w:ascii="Times New Roman" w:hAnsi="Times New Roman" w:cs="Times New Roman"/>
      <w:color w:val="000000" w:themeColor="text1"/>
      <w:sz w:val="18"/>
      <w:szCs w:val="18"/>
      <w:lang w:val="en-US" w:eastAsia="x-none"/>
    </w:rPr>
  </w:style>
  <w:style w:type="paragraph" w:styleId="Corpodetexto">
    <w:name w:val="Body Text"/>
    <w:aliases w:val="body text,bt"/>
    <w:basedOn w:val="Normal"/>
    <w:link w:val="CorpodetextoChar"/>
    <w:semiHidden/>
    <w:unhideWhenUsed/>
    <w:rsid w:val="00134F41"/>
    <w:rPr>
      <w:rFonts w:cs="Times New Roman"/>
      <w:sz w:val="18"/>
      <w:szCs w:val="18"/>
      <w:lang w:val="en-US" w:eastAsia="x-none"/>
    </w:rPr>
  </w:style>
  <w:style w:type="character" w:customStyle="1" w:styleId="CorpodetextoChar1">
    <w:name w:val="Corpo de texto Char1"/>
    <w:basedOn w:val="Fontepargpadro"/>
    <w:uiPriority w:val="99"/>
    <w:semiHidden/>
    <w:rsid w:val="00134F41"/>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Capítulo Char,Normal numerado Char,Meu Char"/>
    <w:link w:val="PargrafodaLista"/>
    <w:uiPriority w:val="34"/>
    <w:qFormat/>
    <w:locked/>
    <w:rsid w:val="00134F41"/>
    <w:rPr>
      <w:rFonts w:ascii="Times New Roman" w:hAnsi="Times New Roman" w:cs="Times New Roman"/>
      <w:color w:val="000000" w:themeColor="text1"/>
      <w:sz w:val="20"/>
      <w:szCs w:val="20"/>
      <w:lang w:eastAsia="pt-BR"/>
    </w:rPr>
  </w:style>
  <w:style w:type="paragraph" w:styleId="PargrafodaLista">
    <w:name w:val="List Paragraph"/>
    <w:aliases w:val="Vitor Título,Vitor T’tulo,Capítulo,Normal numerado,Meu"/>
    <w:basedOn w:val="Normal"/>
    <w:link w:val="PargrafodaListaChar"/>
    <w:uiPriority w:val="34"/>
    <w:qFormat/>
    <w:rsid w:val="00134F41"/>
    <w:pPr>
      <w:ind w:left="720"/>
      <w:contextualSpacing/>
    </w:pPr>
    <w:rPr>
      <w:rFonts w:cs="Times New Roman"/>
      <w:sz w:val="20"/>
      <w:szCs w:val="20"/>
    </w:rPr>
  </w:style>
  <w:style w:type="paragraph" w:customStyle="1" w:styleId="BodyText21">
    <w:name w:val="Body Text 21"/>
    <w:basedOn w:val="Normal"/>
    <w:uiPriority w:val="99"/>
    <w:rsid w:val="00134F41"/>
  </w:style>
  <w:style w:type="character" w:customStyle="1" w:styleId="Tahoma11Char">
    <w:name w:val="Tahoma11 Char"/>
    <w:link w:val="Tahoma11"/>
    <w:locked/>
    <w:rsid w:val="00134F41"/>
    <w:rPr>
      <w:rFonts w:ascii="Univers (W1)" w:hAnsi="Univers (W1)" w:cs="Univers (W1)"/>
      <w:lang w:eastAsia="pt-BR"/>
    </w:rPr>
  </w:style>
  <w:style w:type="paragraph" w:customStyle="1" w:styleId="Tahoma11">
    <w:name w:val="Tahoma11"/>
    <w:link w:val="Tahoma11Char"/>
    <w:qFormat/>
    <w:rsid w:val="00134F41"/>
    <w:pPr>
      <w:spacing w:after="240" w:line="320" w:lineRule="exact"/>
      <w:jc w:val="both"/>
    </w:pPr>
    <w:rPr>
      <w:rFonts w:ascii="Univers (W1)" w:hAnsi="Univers (W1)" w:cs="Univers (W1)"/>
      <w:lang w:eastAsia="pt-BR"/>
    </w:rPr>
  </w:style>
  <w:style w:type="character" w:customStyle="1" w:styleId="Ttulo2Char1">
    <w:name w:val="Título 2 Char1"/>
    <w:link w:val="Ttulo2"/>
    <w:uiPriority w:val="9"/>
    <w:semiHidden/>
    <w:locked/>
    <w:rsid w:val="00134F41"/>
    <w:rPr>
      <w:rFonts w:asciiTheme="majorHAnsi" w:eastAsiaTheme="majorEastAsia" w:hAnsiTheme="majorHAnsi" w:cstheme="majorBidi"/>
      <w:b/>
      <w:bCs/>
      <w:color w:val="4472C4" w:themeColor="accent1"/>
      <w:sz w:val="26"/>
      <w:szCs w:val="26"/>
      <w:lang w:eastAsia="pt-BR"/>
    </w:rPr>
  </w:style>
  <w:style w:type="table" w:styleId="Tabelacomgrade">
    <w:name w:val="Table Grid"/>
    <w:basedOn w:val="Tabelanormal"/>
    <w:uiPriority w:val="59"/>
    <w:rsid w:val="00134F4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34F41"/>
    <w:pPr>
      <w:tabs>
        <w:tab w:val="center" w:pos="4252"/>
        <w:tab w:val="right" w:pos="8504"/>
      </w:tabs>
      <w:spacing w:line="240" w:lineRule="auto"/>
    </w:pPr>
  </w:style>
  <w:style w:type="character" w:customStyle="1" w:styleId="CabealhoChar">
    <w:name w:val="Cabeçalho Char"/>
    <w:basedOn w:val="Fontepargpadro"/>
    <w:link w:val="Cabealho"/>
    <w:uiPriority w:val="99"/>
    <w:rsid w:val="00134F41"/>
    <w:rPr>
      <w:rFonts w:ascii="Times New Roman" w:hAnsi="Times New Roman"/>
      <w:color w:val="000000" w:themeColor="text1"/>
      <w:sz w:val="24"/>
      <w:szCs w:val="24"/>
      <w:lang w:eastAsia="pt-BR"/>
    </w:rPr>
  </w:style>
  <w:style w:type="paragraph" w:styleId="Rodap">
    <w:name w:val="footer"/>
    <w:basedOn w:val="Normal"/>
    <w:link w:val="RodapChar"/>
    <w:uiPriority w:val="99"/>
    <w:unhideWhenUsed/>
    <w:rsid w:val="00134F41"/>
    <w:pPr>
      <w:tabs>
        <w:tab w:val="center" w:pos="4252"/>
        <w:tab w:val="right" w:pos="8504"/>
      </w:tabs>
      <w:spacing w:line="240" w:lineRule="auto"/>
    </w:pPr>
  </w:style>
  <w:style w:type="character" w:customStyle="1" w:styleId="RodapChar">
    <w:name w:val="Rodapé Char"/>
    <w:basedOn w:val="Fontepargpadro"/>
    <w:link w:val="Rodap"/>
    <w:uiPriority w:val="99"/>
    <w:rsid w:val="00134F41"/>
    <w:rPr>
      <w:rFonts w:ascii="Times New Roman" w:hAnsi="Times New Roman"/>
      <w:color w:val="000000" w:themeColor="text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3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1392</Words>
  <Characters>7523</Characters>
  <Application>Microsoft Office Word</Application>
  <DocSecurity>0</DocSecurity>
  <Lines>62</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NTB-076</dc:creator>
  <cp:keywords/>
  <dc:description/>
  <cp:lastModifiedBy>Rinaldo Rabello</cp:lastModifiedBy>
  <cp:revision>2</cp:revision>
  <dcterms:created xsi:type="dcterms:W3CDTF">2021-01-29T02:04:00Z</dcterms:created>
  <dcterms:modified xsi:type="dcterms:W3CDTF">2021-01-29T02:04:00Z</dcterms:modified>
</cp:coreProperties>
</file>