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598039BF"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sidR="003B4453">
        <w:rPr>
          <w:rFonts w:ascii="Leelawadee" w:hAnsi="Leelawadee" w:cs="Leelawadee"/>
        </w:rPr>
        <w:t>Rua Leopoldo Couto de Magalhães Junior, nº 1.098, cj. 64, CEP 04542-001</w:t>
      </w:r>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355389" w:rsidR="006F2F3D" w:rsidRPr="00DD1E55" w:rsidRDefault="00D45191" w:rsidP="00D45191">
      <w:pPr>
        <w:widowControl w:val="0"/>
        <w:spacing w:line="360" w:lineRule="auto"/>
        <w:jc w:val="both"/>
        <w:rPr>
          <w:rFonts w:ascii="Leelawadee" w:eastAsia="Arial Unicode MS" w:hAnsi="Leelawadee" w:cs="Leelawadee"/>
          <w:color w:val="000000"/>
        </w:rPr>
      </w:pPr>
      <w:bookmarkStart w:id="5" w:name="_DV_M7"/>
      <w:bookmarkEnd w:id="5"/>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sidR="00CF13B0">
        <w:rPr>
          <w:rFonts w:ascii="Leelawadee" w:hAnsi="Leelawadee" w:cs="Leelawadee"/>
        </w:rPr>
        <w:t>E</w:t>
      </w:r>
      <w:r w:rsidRPr="00DD1E55">
        <w:rPr>
          <w:rFonts w:ascii="Leelawadee" w:hAnsi="Leelawadee" w:cs="Leelawadee"/>
        </w:rPr>
        <w:t xml:space="preserve">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6" w:name="_Toc510869697"/>
      <w:bookmarkStart w:id="7" w:name="OLE_LINK57"/>
      <w:bookmarkStart w:id="8" w:name="OLE_LINK58"/>
      <w:r w:rsidRPr="00DD1E55">
        <w:rPr>
          <w:rFonts w:ascii="Leelawadee" w:hAnsi="Leelawadee" w:cs="Leelawadee"/>
          <w:sz w:val="20"/>
        </w:rPr>
        <w:t xml:space="preserve">II – </w:t>
      </w:r>
      <w:bookmarkEnd w:id="6"/>
      <w:r w:rsidRPr="00DD1E55">
        <w:rPr>
          <w:rFonts w:ascii="Leelawadee" w:hAnsi="Leelawadee" w:cs="Leelawadee"/>
          <w:sz w:val="20"/>
        </w:rPr>
        <w:t>CONSIDERAÇÕES PRELIMINARES</w:t>
      </w:r>
    </w:p>
    <w:p w14:paraId="4EBE59E4" w14:textId="77777777" w:rsidR="00021AF6" w:rsidRDefault="00021AF6" w:rsidP="002D18C5">
      <w:pPr>
        <w:pStyle w:val="PargrafodaLista"/>
        <w:rPr>
          <w:rFonts w:ascii="Leelawadee" w:hAnsi="Leelawadee" w:cs="Leelawadee"/>
        </w:rPr>
      </w:pPr>
      <w:bookmarkStart w:id="9" w:name="_Hlk5396954"/>
      <w:bookmarkStart w:id="10" w:name="_Hlk504053465"/>
      <w:bookmarkStart w:id="11" w:name="_Hlk9468188"/>
    </w:p>
    <w:p w14:paraId="1D5CC938" w14:textId="1696DBE6" w:rsidR="00324AAE" w:rsidRDefault="00F55A92" w:rsidP="00021AF6">
      <w:pPr>
        <w:numPr>
          <w:ilvl w:val="0"/>
          <w:numId w:val="14"/>
        </w:numPr>
        <w:suppressAutoHyphens/>
        <w:spacing w:line="360" w:lineRule="auto"/>
        <w:ind w:left="0" w:firstLine="0"/>
        <w:jc w:val="both"/>
        <w:rPr>
          <w:rFonts w:ascii="Leelawadee" w:hAnsi="Leelawadee" w:cs="Leelawadee"/>
        </w:rPr>
      </w:pPr>
      <w:r>
        <w:rPr>
          <w:rFonts w:ascii="Leelawadee" w:hAnsi="Leelawadee" w:cs="Leelawadee"/>
        </w:rPr>
        <w:t xml:space="preserve">a </w:t>
      </w:r>
      <w:r w:rsidR="00866969">
        <w:rPr>
          <w:rFonts w:ascii="Leelawadee" w:hAnsi="Leelawadee" w:cs="Leelawadee"/>
        </w:rPr>
        <w:t>Fiduciante é proprietária d</w:t>
      </w:r>
      <w:r w:rsidR="00C97773" w:rsidRPr="00DD1E55">
        <w:rPr>
          <w:rFonts w:ascii="Leelawadee" w:eastAsia="Times New Roman" w:hAnsi="Leelawadee" w:cs="Leelawadee"/>
          <w:lang w:eastAsia="en-US"/>
        </w:rPr>
        <w:t xml:space="preserve">o </w:t>
      </w:r>
      <w:r w:rsidR="00C97773"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C97773" w:rsidRPr="00121497">
        <w:rPr>
          <w:rFonts w:ascii="Leelawadee" w:hAnsi="Leelawadee" w:cs="Leelawadee"/>
        </w:rPr>
        <w:t xml:space="preserve"> </w:t>
      </w:r>
      <w:r w:rsidR="00C97773">
        <w:rPr>
          <w:rFonts w:ascii="Leelawadee" w:hAnsi="Leelawadee" w:cs="Leelawadee"/>
        </w:rPr>
        <w:t>(“</w:t>
      </w:r>
      <w:r w:rsidR="00C97773" w:rsidRPr="002D18C5">
        <w:rPr>
          <w:rFonts w:ascii="Leelawadee" w:hAnsi="Leelawadee" w:cs="Leelawadee"/>
          <w:u w:val="single"/>
        </w:rPr>
        <w:t>Imóvel</w:t>
      </w:r>
      <w:r w:rsidR="00C97773">
        <w:rPr>
          <w:rFonts w:ascii="Leelawadee" w:hAnsi="Leelawadee" w:cs="Leelawadee"/>
        </w:rPr>
        <w:t xml:space="preserve">”), </w:t>
      </w:r>
      <w:r w:rsidR="007B3900">
        <w:rPr>
          <w:rFonts w:ascii="Leelawadee" w:hAnsi="Leelawadee" w:cs="Leelawadee"/>
        </w:rPr>
        <w:t xml:space="preserve">que está locado nos termos do </w:t>
      </w:r>
      <w:r w:rsidR="00324AAE" w:rsidRPr="00121497">
        <w:rPr>
          <w:rFonts w:ascii="Leelawadee" w:hAnsi="Leelawadee" w:cs="Leelawadee"/>
        </w:rPr>
        <w:t xml:space="preserve">Contrato Atípico de Locação de Imóvel Comercial e Outras Avenças, celebrado, de um lado, pela </w:t>
      </w:r>
      <w:r w:rsidR="00324AAE" w:rsidRPr="00121497">
        <w:rPr>
          <w:rFonts w:ascii="Leelawadee" w:hAnsi="Leelawadee" w:cs="Leelawadee"/>
          <w:b/>
          <w:bCs/>
        </w:rPr>
        <w:t>BRF S.A.</w:t>
      </w:r>
      <w:r w:rsidR="00324AAE" w:rsidRPr="00121497">
        <w:rPr>
          <w:rFonts w:ascii="Leelawadee" w:hAnsi="Leelawadee" w:cs="Leelawadee"/>
        </w:rPr>
        <w:t>, sociedade por ações com sede na Cidade de Itajaí, Estado de Santa Catarina, na Rua Tzachel, nº 475, CEP 88.301-600, inscrita no CNPJ/MF sob o nº 01.838.723/0001-27</w:t>
      </w:r>
      <w:r w:rsidR="00324AAE" w:rsidRPr="00121497">
        <w:rPr>
          <w:rFonts w:ascii="Leelawadee" w:hAnsi="Leelawadee" w:cs="Leelawadee"/>
          <w:shd w:val="clear" w:color="auto" w:fill="FFFFFF"/>
        </w:rPr>
        <w:t xml:space="preserve"> (“</w:t>
      </w:r>
      <w:r w:rsidR="00324AAE" w:rsidRPr="00121497">
        <w:rPr>
          <w:rFonts w:ascii="Leelawadee" w:hAnsi="Leelawadee" w:cs="Leelawadee"/>
          <w:u w:val="single"/>
          <w:shd w:val="clear" w:color="auto" w:fill="FFFFFF"/>
        </w:rPr>
        <w:t>Locatária</w:t>
      </w:r>
      <w:r w:rsidR="00324AAE" w:rsidRPr="00121497">
        <w:rPr>
          <w:rFonts w:ascii="Leelawadee" w:hAnsi="Leelawadee" w:cs="Leelawadee" w:hint="eastAsia"/>
          <w:shd w:val="clear" w:color="auto" w:fill="FFFFFF"/>
        </w:rPr>
        <w:t>”</w:t>
      </w:r>
      <w:r w:rsidR="00324AAE">
        <w:rPr>
          <w:rFonts w:ascii="Leelawadee" w:hAnsi="Leelawadee" w:cs="Leelawadee"/>
          <w:shd w:val="clear" w:color="auto" w:fill="FFFFFF"/>
        </w:rPr>
        <w:t xml:space="preserve"> ou “</w:t>
      </w:r>
      <w:r w:rsidR="00324AAE" w:rsidRPr="00121497">
        <w:rPr>
          <w:rFonts w:ascii="Leelawadee" w:hAnsi="Leelawadee" w:cs="Leelawadee"/>
          <w:u w:val="single"/>
          <w:shd w:val="clear" w:color="auto" w:fill="FFFFFF"/>
        </w:rPr>
        <w:t>Devedora</w:t>
      </w:r>
      <w:r w:rsidR="00324AAE">
        <w:rPr>
          <w:rFonts w:ascii="Leelawadee" w:hAnsi="Leelawadee" w:cs="Leelawadee"/>
          <w:shd w:val="clear" w:color="auto" w:fill="FFFFFF"/>
        </w:rPr>
        <w:t>”</w:t>
      </w:r>
      <w:r w:rsidR="00324AAE" w:rsidRPr="00121497">
        <w:rPr>
          <w:rFonts w:ascii="Leelawadee" w:hAnsi="Leelawadee" w:cs="Leelawadee"/>
          <w:shd w:val="clear" w:color="auto" w:fill="FFFFFF"/>
        </w:rPr>
        <w:t xml:space="preserve">) </w:t>
      </w:r>
      <w:r w:rsidR="00324AAE" w:rsidRPr="00121497">
        <w:rPr>
          <w:rFonts w:ascii="Leelawadee" w:hAnsi="Leelawadee" w:cs="Leelawadee"/>
        </w:rPr>
        <w:t>e, de outro lado, pel</w:t>
      </w:r>
      <w:r w:rsidR="00324AAE">
        <w:rPr>
          <w:rFonts w:ascii="Leelawadee" w:hAnsi="Leelawadee" w:cs="Leelawadee"/>
        </w:rPr>
        <w:t>o</w:t>
      </w:r>
      <w:r w:rsidR="00324AAE" w:rsidRPr="00121497">
        <w:rPr>
          <w:rFonts w:ascii="Leelawadee" w:hAnsi="Leelawadee" w:cs="Leelawadee"/>
        </w:rPr>
        <w:t xml:space="preserve"> </w:t>
      </w:r>
      <w:r w:rsidR="003B7633">
        <w:rPr>
          <w:rFonts w:ascii="Leelawadee" w:hAnsi="Leelawadee" w:cs="Leelawadee"/>
        </w:rPr>
        <w:t>Fiduciante</w:t>
      </w:r>
      <w:r w:rsidR="00324AAE" w:rsidRPr="00121497">
        <w:rPr>
          <w:rFonts w:ascii="Leelawadee" w:hAnsi="Leelawadee" w:cs="Leelawadee"/>
        </w:rPr>
        <w:t>, datado de 13 de outubro de 2011 e conforme aditado em 10 de abril de 2012, 10 de maio de 2013, 24 de novembro de 2015, e 03 de abril de 2020 (“</w:t>
      </w:r>
      <w:r w:rsidR="00324AAE" w:rsidRPr="00121497">
        <w:rPr>
          <w:rFonts w:ascii="Leelawadee" w:hAnsi="Leelawadee" w:cs="Leelawadee"/>
          <w:u w:val="single"/>
        </w:rPr>
        <w:t>Contrato de Locação</w:t>
      </w:r>
      <w:r w:rsidR="00324AAE">
        <w:rPr>
          <w:rFonts w:ascii="Leelawadee" w:hAnsi="Leelawadee" w:cs="Leelawadee"/>
          <w:u w:val="single"/>
        </w:rPr>
        <w:t xml:space="preserve"> Atípica</w:t>
      </w:r>
      <w:r w:rsidR="00324AAE" w:rsidRPr="00121497">
        <w:rPr>
          <w:rFonts w:ascii="Leelawadee" w:hAnsi="Leelawadee" w:cs="Leelawadee" w:hint="eastAsia"/>
        </w:rPr>
        <w:t>”</w:t>
      </w:r>
      <w:r w:rsidR="00324AAE" w:rsidRPr="00121497">
        <w:rPr>
          <w:rFonts w:ascii="Leelawadee" w:hAnsi="Leelawadee" w:cs="Leelawadee"/>
        </w:rPr>
        <w:t xml:space="preserve">), referente ao </w:t>
      </w:r>
      <w:r w:rsidR="00324AAE" w:rsidRPr="00DC62BF">
        <w:rPr>
          <w:rFonts w:ascii="Leelawadee" w:eastAsia="Times" w:hAnsi="Leelawadee" w:cs="Leelawadee"/>
        </w:rPr>
        <w:t>Imóvel</w:t>
      </w:r>
      <w:r w:rsidR="001F1F94">
        <w:rPr>
          <w:rFonts w:ascii="Leelawadee" w:hAnsi="Leelawadee" w:cs="Leelawadee"/>
        </w:rPr>
        <w:t>;</w:t>
      </w:r>
    </w:p>
    <w:p w14:paraId="7D462FFB" w14:textId="77777777" w:rsidR="001C2F9C" w:rsidRDefault="001C2F9C" w:rsidP="002D18C5">
      <w:pPr>
        <w:pStyle w:val="PargrafodaLista"/>
        <w:rPr>
          <w:rFonts w:ascii="Leelawadee" w:hAnsi="Leelawadee" w:cs="Leelawadee"/>
        </w:rPr>
      </w:pPr>
    </w:p>
    <w:p w14:paraId="347EBDDA" w14:textId="4CE401C1" w:rsidR="001C2F9C" w:rsidRDefault="001C2F9C" w:rsidP="00021AF6">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sidR="0099233A">
        <w:rPr>
          <w:rFonts w:ascii="Leelawadee" w:hAnsi="Leelawadee" w:cs="Leelawadee"/>
        </w:rPr>
        <w:t>credora dos créditos imobiliários decorrentes do Contrato de locação Atípica (“</w:t>
      </w:r>
      <w:r w:rsidR="0099233A" w:rsidRPr="002D18C5">
        <w:rPr>
          <w:rFonts w:ascii="Leelawadee" w:hAnsi="Leelawadee" w:cs="Leelawadee"/>
          <w:u w:val="single"/>
        </w:rPr>
        <w:t>Créditos Imobiliários</w:t>
      </w:r>
      <w:r w:rsidR="0099233A">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w:t>
      </w:r>
      <w:r w:rsidR="002B18A5">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Pr>
          <w:rFonts w:ascii="Leelawadee" w:hAnsi="Leelawadee" w:cs="Leelawadee"/>
        </w:rPr>
        <w:t xml:space="preserve">09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sidR="00266130">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BA030C1" w14:textId="77777777" w:rsidR="00324AAE" w:rsidRDefault="00324AAE" w:rsidP="002D18C5">
      <w:pPr>
        <w:pStyle w:val="PargrafodaLista"/>
        <w:rPr>
          <w:rFonts w:ascii="Leelawadee" w:hAnsi="Leelawadee" w:cs="Leelawadee"/>
        </w:rPr>
      </w:pPr>
    </w:p>
    <w:p w14:paraId="0BDC1C38" w14:textId="4E705034" w:rsidR="00021AF6" w:rsidRPr="00021AF6" w:rsidRDefault="00021AF6" w:rsidP="00021AF6">
      <w:pPr>
        <w:numPr>
          <w:ilvl w:val="0"/>
          <w:numId w:val="14"/>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sidR="0030006D">
        <w:rPr>
          <w:rFonts w:ascii="Leelawadee" w:hAnsi="Leelawadee" w:cs="Leelawadee"/>
        </w:rPr>
        <w:t>Fiduciante</w:t>
      </w:r>
      <w:r w:rsidRPr="00021AF6">
        <w:rPr>
          <w:rFonts w:ascii="Leelawadee" w:hAnsi="Leelawadee" w:cs="Leelawadee"/>
        </w:rPr>
        <w:t xml:space="preserve"> celebr</w:t>
      </w:r>
      <w:r w:rsidR="000679ED">
        <w:rPr>
          <w:rFonts w:ascii="Leelawadee" w:hAnsi="Leelawadee" w:cs="Leelawadee"/>
        </w:rPr>
        <w:t>ou</w:t>
      </w:r>
      <w:r w:rsidRPr="00021AF6">
        <w:rPr>
          <w:rFonts w:ascii="Leelawadee" w:hAnsi="Leelawadee" w:cs="Leelawadee"/>
        </w:rPr>
        <w:t xml:space="preserve"> </w:t>
      </w:r>
      <w:r w:rsidR="000679ED">
        <w:rPr>
          <w:rFonts w:ascii="Leelawadee" w:hAnsi="Leelawadee" w:cs="Leelawadee"/>
        </w:rPr>
        <w:t xml:space="preserve">com a Fiduciária </w:t>
      </w:r>
      <w:r w:rsidR="009C1945">
        <w:rPr>
          <w:rFonts w:ascii="Leelawadee" w:hAnsi="Leelawadee" w:cs="Leelawadee"/>
        </w:rPr>
        <w:t>em 9 de dezembro de 2020 o</w:t>
      </w:r>
      <w:r w:rsidR="000679ED" w:rsidRPr="00FD483A">
        <w:rPr>
          <w:rFonts w:ascii="Leelawadee" w:hAnsi="Leelawadee" w:cs="Leelawadee"/>
          <w:szCs w:val="24"/>
          <w:lang w:eastAsia="zh-CN"/>
        </w:rPr>
        <w:t xml:space="preserve"> </w:t>
      </w:r>
      <w:r w:rsidR="000679ED" w:rsidRPr="00E17BB5">
        <w:rPr>
          <w:rFonts w:ascii="Leelawadee" w:hAnsi="Leelawadee" w:cs="Leelawadee"/>
          <w:szCs w:val="24"/>
          <w:lang w:eastAsia="zh-CN"/>
        </w:rPr>
        <w:t>“</w:t>
      </w:r>
      <w:r w:rsidR="000679ED" w:rsidRPr="00E17BB5">
        <w:rPr>
          <w:rFonts w:ascii="Leelawadee" w:hAnsi="Leelawadee" w:cs="Leelawadee"/>
          <w:i/>
          <w:iCs/>
          <w:szCs w:val="24"/>
          <w:lang w:eastAsia="zh-CN"/>
        </w:rPr>
        <w:t xml:space="preserve">Instrumento Particular de Contrato de Cessão de Créditos Imobiliários e Outras Avenças” </w:t>
      </w:r>
      <w:r w:rsidR="000679ED" w:rsidRPr="00E17BB5">
        <w:rPr>
          <w:rFonts w:ascii="Leelawadee" w:hAnsi="Leelawadee" w:cs="Leelawadee"/>
          <w:szCs w:val="24"/>
          <w:lang w:eastAsia="zh-CN"/>
        </w:rPr>
        <w:t>(“</w:t>
      </w:r>
      <w:r w:rsidR="000679ED" w:rsidRPr="00E17BB5">
        <w:rPr>
          <w:rFonts w:ascii="Leelawadee" w:hAnsi="Leelawadee" w:cs="Leelawadee"/>
          <w:szCs w:val="24"/>
          <w:u w:val="single"/>
          <w:lang w:eastAsia="zh-CN"/>
        </w:rPr>
        <w:t>Contrato de Cessão</w:t>
      </w:r>
      <w:r w:rsidR="000679ED" w:rsidRPr="00E17BB5">
        <w:rPr>
          <w:rFonts w:ascii="Leelawadee" w:hAnsi="Leelawadee" w:cs="Leelawadee"/>
          <w:szCs w:val="24"/>
          <w:lang w:eastAsia="zh-CN"/>
        </w:rPr>
        <w:t>”)</w:t>
      </w:r>
      <w:r w:rsidR="000679ED" w:rsidRPr="00FD483A">
        <w:rPr>
          <w:rFonts w:ascii="Leelawadee" w:hAnsi="Leelawadee" w:cs="Leelawadee"/>
          <w:szCs w:val="24"/>
          <w:lang w:eastAsia="zh-CN"/>
        </w:rPr>
        <w:t xml:space="preserve">, </w:t>
      </w:r>
      <w:r w:rsidR="0017610C">
        <w:rPr>
          <w:rFonts w:ascii="Leelawadee" w:hAnsi="Leelawadee" w:cs="Leelawadee"/>
          <w:szCs w:val="24"/>
          <w:lang w:eastAsia="zh-CN"/>
        </w:rPr>
        <w:t>por meio do qual os</w:t>
      </w:r>
      <w:r w:rsidR="000679ED" w:rsidRPr="00FD483A">
        <w:rPr>
          <w:rFonts w:ascii="Leelawadee" w:hAnsi="Leelawadee" w:cs="Leelawadee"/>
          <w:szCs w:val="24"/>
          <w:lang w:eastAsia="zh-CN"/>
        </w:rPr>
        <w:t xml:space="preserve"> </w:t>
      </w:r>
      <w:r w:rsidR="004603AC" w:rsidRPr="00FD483A">
        <w:rPr>
          <w:rFonts w:ascii="Leelawadee" w:hAnsi="Leelawadee" w:cs="Leelawadee"/>
          <w:szCs w:val="24"/>
          <w:lang w:eastAsia="zh-CN"/>
        </w:rPr>
        <w:t>Créditos Imobiliários</w:t>
      </w:r>
      <w:r w:rsidRPr="00021AF6">
        <w:rPr>
          <w:rFonts w:ascii="Leelawadee" w:hAnsi="Leelawadee" w:cs="Leelawadee"/>
        </w:rPr>
        <w:t xml:space="preserve">, representados pela CCI, </w:t>
      </w:r>
      <w:r w:rsidR="00F42BCB">
        <w:rPr>
          <w:rFonts w:ascii="Leelawadee" w:hAnsi="Leelawadee" w:cs="Leelawadee"/>
        </w:rPr>
        <w:t>foram cedidos à</w:t>
      </w:r>
      <w:r w:rsidRPr="00021AF6">
        <w:rPr>
          <w:rFonts w:ascii="Leelawadee" w:hAnsi="Leelawadee" w:cs="Leelawadee"/>
        </w:rPr>
        <w:t xml:space="preserve"> </w:t>
      </w:r>
      <w:r w:rsidR="00EA6080">
        <w:rPr>
          <w:rFonts w:ascii="Leelawadee" w:hAnsi="Leelawadee" w:cs="Leelawadee"/>
        </w:rPr>
        <w:t>Fiduciária</w:t>
      </w:r>
      <w:r w:rsidRPr="00021AF6">
        <w:rPr>
          <w:rFonts w:ascii="Leelawadee" w:hAnsi="Leelawadee" w:cs="Leelawadee"/>
        </w:rPr>
        <w:t xml:space="preserve"> para vincular os Créditos Imobiliários aos </w:t>
      </w:r>
      <w:r w:rsidR="00590457" w:rsidRPr="00DD1E55">
        <w:rPr>
          <w:rFonts w:ascii="Leelawadee" w:hAnsi="Leelawadee" w:cs="Leelawadee"/>
        </w:rPr>
        <w:t xml:space="preserve">Certificados de Recebíveis Imobiliários da </w:t>
      </w:r>
      <w:r w:rsidR="00590457">
        <w:rPr>
          <w:rFonts w:ascii="Leelawadee" w:hAnsi="Leelawadee" w:cs="Leelawadee"/>
        </w:rPr>
        <w:t>142ª</w:t>
      </w:r>
      <w:r w:rsidR="00590457" w:rsidRPr="00DD1E55">
        <w:rPr>
          <w:rFonts w:ascii="Leelawadee" w:hAnsi="Leelawadee" w:cs="Leelawadee"/>
        </w:rPr>
        <w:t xml:space="preserve"> Série da </w:t>
      </w:r>
      <w:r w:rsidR="00590457">
        <w:rPr>
          <w:rFonts w:ascii="Leelawadee" w:hAnsi="Leelawadee" w:cs="Leelawadee"/>
        </w:rPr>
        <w:t>4</w:t>
      </w:r>
      <w:r w:rsidR="00590457" w:rsidRPr="00DD1E55">
        <w:rPr>
          <w:rFonts w:ascii="Leelawadee" w:hAnsi="Leelawadee" w:cs="Leelawadee"/>
        </w:rPr>
        <w:t>ª Emissão da Securitizadora (“</w:t>
      </w:r>
      <w:r w:rsidR="00590457" w:rsidRPr="00DD1E55">
        <w:rPr>
          <w:rFonts w:ascii="Leelawadee" w:hAnsi="Leelawadee" w:cs="Leelawadee"/>
          <w:u w:val="single"/>
        </w:rPr>
        <w:t>CRI</w:t>
      </w:r>
      <w:r w:rsidR="00590457"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“Segundo Aditamento ao Termo de Securitização de Créditos Imobiliários da 142ª Série da 4ª Emissão de Certificados de Recebíveis Imobiliários da ISEC Securitizadora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sidR="00D90E35">
        <w:rPr>
          <w:rFonts w:ascii="Leelawadee" w:hAnsi="Leelawadee" w:cs="Leelawadee"/>
        </w:rPr>
        <w:t>, que consolida o</w:t>
      </w:r>
      <w:r w:rsidR="00723478">
        <w:rPr>
          <w:rFonts w:ascii="Leelawadee" w:hAnsi="Leelawadee" w:cs="Leelawadee"/>
        </w:rPr>
        <w:t xml:space="preserve"> “</w:t>
      </w:r>
      <w:r w:rsidR="00723478" w:rsidRPr="002D18C5">
        <w:rPr>
          <w:rFonts w:ascii="Leelawadee" w:hAnsi="Leelawadee" w:cs="Leelawadee"/>
          <w:u w:val="single"/>
        </w:rPr>
        <w:t xml:space="preserve">Termo </w:t>
      </w:r>
      <w:r w:rsidR="00D90E35" w:rsidRPr="002D18C5">
        <w:rPr>
          <w:rFonts w:ascii="Leelawadee" w:hAnsi="Leelawadee" w:cs="Leelawadee"/>
          <w:u w:val="single"/>
        </w:rPr>
        <w:t>de Securitização</w:t>
      </w:r>
      <w:r w:rsidR="00D90E35">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4C43E4">
        <w:rPr>
          <w:rFonts w:ascii="Leelawadee" w:hAnsi="Leelawadee" w:cs="Leelawadee"/>
        </w:rPr>
        <w:t xml:space="preserve">na mesma data </w:t>
      </w:r>
      <w:r w:rsidRPr="00021AF6">
        <w:rPr>
          <w:rFonts w:ascii="Leelawadee" w:hAnsi="Leelawadee" w:cs="Leelawadee"/>
        </w:rPr>
        <w:t xml:space="preserve">entre a </w:t>
      </w:r>
      <w:r w:rsidR="00EA6080">
        <w:rPr>
          <w:rFonts w:ascii="Leelawadee" w:hAnsi="Leelawadee" w:cs="Leelawadee"/>
        </w:rPr>
        <w:t>Fiduciária</w:t>
      </w:r>
      <w:r w:rsidRPr="00021AF6">
        <w:rPr>
          <w:rFonts w:ascii="Leelawadee" w:hAnsi="Leelawadee" w:cs="Leelawadee"/>
        </w:rPr>
        <w:t xml:space="preserve"> e </w:t>
      </w:r>
      <w:r w:rsidR="000A18DE">
        <w:rPr>
          <w:rFonts w:ascii="Leelawadee" w:hAnsi="Leelawadee" w:cs="Leelawadee"/>
        </w:rPr>
        <w:t>a</w:t>
      </w:r>
      <w:r w:rsidRPr="00021AF6">
        <w:rPr>
          <w:rFonts w:ascii="Leelawadee" w:hAnsi="Leelawadee" w:cs="Leelawadee"/>
        </w:rPr>
        <w:t xml:space="preserve"> </w:t>
      </w:r>
      <w:r w:rsidR="000A18DE">
        <w:rPr>
          <w:rFonts w:ascii="Leelawadee" w:hAnsi="Leelawadee" w:cs="Leelawadee"/>
        </w:rPr>
        <w:t>Simplific Pavarini, na qualidade de agente fiduciário dos CRI</w:t>
      </w:r>
      <w:r w:rsidRPr="00021AF6">
        <w:rPr>
          <w:rFonts w:ascii="Leelawadee" w:hAnsi="Leelawadee" w:cs="Leelawadee"/>
        </w:rPr>
        <w:t>;</w:t>
      </w:r>
    </w:p>
    <w:bookmarkEnd w:id="11"/>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9"/>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0"/>
    <w:p w14:paraId="499E9F5A" w14:textId="2EAC8376"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331E80" w:rsidRPr="00500BC6">
        <w:rPr>
          <w:rFonts w:ascii="Leelawadee UI" w:hAnsi="Leelawadee UI" w:cs="Leelawadee UI"/>
        </w:rPr>
        <w:t>Imóvel</w:t>
      </w:r>
      <w:r w:rsidR="00D50B5C">
        <w:rPr>
          <w:rFonts w:ascii="Leelawadee UI" w:hAnsi="Leelawadee UI" w:cs="Leelawadee UI"/>
        </w:rPr>
        <w:t xml:space="preserve">, </w:t>
      </w:r>
      <w:r w:rsidR="00331E80">
        <w:rPr>
          <w:rFonts w:ascii="Leelawadee" w:hAnsi="Leelawadee" w:cs="Leelawadee"/>
          <w:color w:val="000000" w:themeColor="text1"/>
        </w:rPr>
        <w:t>descrito na</w:t>
      </w:r>
      <w:r w:rsidR="00D50B5C">
        <w:rPr>
          <w:rFonts w:ascii="Leelawadee" w:hAnsi="Leelawadee" w:cs="Leelawadee"/>
          <w:color w:val="000000" w:themeColor="text1"/>
        </w:rPr>
        <w:t xml:space="preserv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r w:rsidR="00E943A2">
        <w:rPr>
          <w:rFonts w:ascii="Leelawadee" w:hAnsi="Leelawadee" w:cs="Leelawadee"/>
          <w:color w:val="000000" w:themeColor="text1"/>
        </w:rPr>
        <w:t>5.2.</w:t>
      </w:r>
      <w:r w:rsidR="006E0C56">
        <w:rPr>
          <w:rFonts w:ascii="Leelawadee" w:hAnsi="Leelawadee" w:cs="Leelawadee"/>
          <w:color w:val="000000" w:themeColor="text1"/>
        </w:rPr>
        <w:t xml:space="preserve"> d</w:t>
      </w:r>
      <w:r w:rsidR="00E943A2">
        <w:rPr>
          <w:rFonts w:ascii="Leelawadee" w:hAnsi="Leelawadee" w:cs="Leelawadee"/>
          <w:color w:val="000000" w:themeColor="text1"/>
        </w:rPr>
        <w:t>o</w:t>
      </w:r>
      <w:r w:rsidR="006E0C56">
        <w:rPr>
          <w:rFonts w:ascii="Leelawadee" w:hAnsi="Leelawadee" w:cs="Leelawadee"/>
          <w:color w:val="000000" w:themeColor="text1"/>
        </w:rPr>
        <w:t xml:space="preserve"> </w:t>
      </w:r>
      <w:r w:rsidR="00E943A2">
        <w:rPr>
          <w:rFonts w:ascii="Leelawadee" w:hAnsi="Leelawadee" w:cs="Leelawadee"/>
          <w:color w:val="000000" w:themeColor="text1"/>
        </w:rPr>
        <w:t>Contrato de Cessão</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008A0DF6" w:rsidRPr="00DF51AE">
        <w:rPr>
          <w:rFonts w:ascii="Leelawadee" w:eastAsia="MS Mincho" w:hAnsi="Leelawadee" w:cs="Leelawadee"/>
        </w:rPr>
        <w:t xml:space="preserve">com o intuito de assegurar (i) o cumprimento de </w:t>
      </w:r>
      <w:r w:rsidR="008A0DF6" w:rsidRPr="00DF51AE">
        <w:rPr>
          <w:rFonts w:ascii="Leelawadee" w:hAnsi="Leelawadee" w:cs="Leelawadee"/>
        </w:rPr>
        <w:t xml:space="preserve">todas as obrigações pecuniárias, presentes e futuras, principais e acessórias, assumidas ou que venham a ser assumidas pela Devedora </w:t>
      </w:r>
      <w:r w:rsidR="008A0DF6" w:rsidRPr="00DF51AE">
        <w:rPr>
          <w:rFonts w:ascii="Leelawadee" w:eastAsia="Arial Unicode MS" w:hAnsi="Leelawadee" w:cs="Leelawadee"/>
        </w:rPr>
        <w:t>no Contrato de Locação Atípica</w:t>
      </w:r>
      <w:r w:rsidR="008A0DF6" w:rsidRPr="00DF51AE">
        <w:rPr>
          <w:rFonts w:ascii="Leelawadee" w:hAnsi="Leelawadee" w:cs="Leelawadee"/>
        </w:rPr>
        <w:t xml:space="preserve">, o que inclui o pagamento dos </w:t>
      </w:r>
      <w:r w:rsidR="008A0DF6" w:rsidRPr="00DF51AE">
        <w:rPr>
          <w:rFonts w:ascii="Leelawadee" w:eastAsia="MS Mincho" w:hAnsi="Leelawadee" w:cs="Leelawadee"/>
        </w:rPr>
        <w:t xml:space="preserve">Créditos Imobiliários; (ii) o cumprimento de </w:t>
      </w:r>
      <w:r w:rsidR="008A0DF6" w:rsidRPr="00DF51AE">
        <w:rPr>
          <w:rFonts w:ascii="Leelawadee" w:eastAsia="Arial Unicode MS" w:hAnsi="Leelawadee" w:cs="Leelawadee"/>
        </w:rPr>
        <w:t xml:space="preserve">todas as obrigações, presentes e futuras, principais e acessórias, assumidas ou que venham a ser assumidas pelo </w:t>
      </w:r>
      <w:r w:rsidR="008A0DF6">
        <w:rPr>
          <w:rFonts w:ascii="Leelawadee" w:eastAsia="Arial Unicode MS" w:hAnsi="Leelawadee" w:cs="Leelawadee"/>
        </w:rPr>
        <w:t>Fiduciante</w:t>
      </w:r>
      <w:r w:rsidR="008A0DF6" w:rsidRPr="00DF51AE">
        <w:rPr>
          <w:rFonts w:ascii="Leelawadee" w:eastAsia="Arial Unicode MS" w:hAnsi="Leelawadee" w:cs="Leelawadee"/>
        </w:rPr>
        <w:t xml:space="preserve"> no </w:t>
      </w:r>
      <w:r w:rsidR="008A0DF6">
        <w:rPr>
          <w:rFonts w:ascii="Leelawadee" w:eastAsia="Arial Unicode MS" w:hAnsi="Leelawadee" w:cs="Leelawadee"/>
        </w:rPr>
        <w:t>Contrato de Cessão</w:t>
      </w:r>
      <w:r w:rsidR="008A0DF6" w:rsidRPr="00DF51AE">
        <w:rPr>
          <w:rFonts w:ascii="Leelawadee" w:hAnsi="Leelawadee" w:cs="Leelawadee"/>
        </w:rPr>
        <w:t xml:space="preserve">, </w:t>
      </w:r>
      <w:r w:rsidR="008A0DF6" w:rsidRPr="00DF51AE">
        <w:rPr>
          <w:rFonts w:ascii="Leelawadee" w:eastAsia="MS Mincho" w:hAnsi="Leelawadee" w:cs="Leelawadee"/>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sidR="008A0DF6">
        <w:rPr>
          <w:rFonts w:ascii="Leelawadee" w:eastAsia="MS Mincho" w:hAnsi="Leelawadee" w:cs="Leelawadee"/>
        </w:rPr>
        <w:t>da operação</w:t>
      </w:r>
      <w:r w:rsidR="008A0DF6" w:rsidRPr="00DF51AE">
        <w:rPr>
          <w:rFonts w:ascii="Leelawadee" w:eastAsia="MS Mincho" w:hAnsi="Leelawadee" w:cs="Leelawadee"/>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8A0DF6" w:rsidRPr="00E13295">
        <w:rPr>
          <w:rFonts w:ascii="Leelawadee" w:eastAsia="MS Mincho" w:hAnsi="Leelawadee" w:cs="Leelawadee"/>
        </w:rPr>
        <w:t>“</w:t>
      </w:r>
      <w:r w:rsidR="008A0DF6" w:rsidRPr="000D1610">
        <w:rPr>
          <w:rFonts w:ascii="Leelawadee" w:eastAsia="MS Mincho" w:hAnsi="Leelawadee" w:cs="Leelawadee"/>
          <w:u w:val="single"/>
        </w:rPr>
        <w:t>Obrigações Garantidas</w:t>
      </w:r>
      <w:r w:rsidR="008A0DF6" w:rsidRPr="000D1610">
        <w:rPr>
          <w:rFonts w:ascii="Leelawadee" w:eastAsia="MS Mincho" w:hAnsi="Leelawadee" w:cs="Leelawadee"/>
        </w:rPr>
        <w:t>”)</w:t>
      </w:r>
      <w:r w:rsidR="00CC2147" w:rsidRPr="00DD1E55">
        <w:rPr>
          <w:rFonts w:ascii="Leelawadee" w:eastAsia="Times New Roman" w:hAnsi="Leelawadee" w:cs="Leelawadee"/>
          <w:lang w:eastAsia="en-US"/>
        </w:rPr>
        <w:t>;</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7"/>
    <w:bookmarkEnd w:id="8"/>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12" w:name="OLE_LINK71"/>
      <w:bookmarkStart w:id="13"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12"/>
      <w:bookmarkEnd w:id="13"/>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2183762"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C76EDA">
        <w:rPr>
          <w:rFonts w:ascii="Leelawadee" w:hAnsi="Leelawadee" w:cs="Leelawadee"/>
          <w:u w:val="single"/>
        </w:rPr>
        <w:t>Ofício de Registro de Imóveis</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14"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14"/>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24A91E8D"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xml:space="preserve">” </w:t>
      </w:r>
      <w:r w:rsidR="000630DD">
        <w:rPr>
          <w:rFonts w:ascii="Leelawadee" w:hAnsi="Leelawadee" w:cs="Leelawadee"/>
        </w:rPr>
        <w:t>e</w:t>
      </w:r>
      <w:r w:rsidR="009241D8" w:rsidRPr="00DD1E55">
        <w:rPr>
          <w:rFonts w:ascii="Leelawadee" w:hAnsi="Leelawadee" w:cs="Leelawadee"/>
        </w:rPr>
        <w:t xml:space="preserve"> “</w:t>
      </w:r>
      <w:r w:rsidR="000630DD">
        <w:rPr>
          <w:rFonts w:ascii="Leelawadee" w:hAnsi="Leelawadee" w:cs="Leelawadee"/>
        </w:rPr>
        <w:t>b</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345BB1E1" w:rsidR="009A19A0" w:rsidRPr="00FF7114" w:rsidRDefault="00314C9A"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Pr>
          <w:rFonts w:ascii="Leelawadee" w:hAnsi="Leelawadee" w:cs="Leelawadee"/>
        </w:rPr>
        <w:t>Descrição dos Créditos Imobiliários: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187C2EE9" w:rsidR="009A19A0"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 </w:t>
      </w:r>
      <w:r w:rsidRPr="00D85668">
        <w:rPr>
          <w:rFonts w:ascii="Leelawadee" w:eastAsia="Calibri" w:hAnsi="Leelawadee" w:cs="Leelawadee" w:hint="cs"/>
        </w:rPr>
        <w:t>R$ </w:t>
      </w:r>
      <w:r w:rsidR="00314C9A">
        <w:rPr>
          <w:rFonts w:ascii="Leelawadee" w:hAnsi="Leelawadee" w:cs="Leelawadee"/>
          <w:color w:val="000000"/>
        </w:rPr>
        <w:t>174.285.585,38</w:t>
      </w:r>
      <w:r w:rsidR="00314C9A" w:rsidRPr="00B9392F">
        <w:rPr>
          <w:rFonts w:ascii="Leelawadee" w:eastAsia="Times New Roman" w:hAnsi="Leelawadee" w:cs="Leelawadee"/>
          <w:color w:val="000000"/>
        </w:rPr>
        <w:t xml:space="preserve"> (</w:t>
      </w:r>
      <w:r w:rsidR="00314C9A" w:rsidRPr="00B9392F">
        <w:rPr>
          <w:rFonts w:ascii="Leelawadee" w:hAnsi="Leelawadee" w:cs="Leelawadee"/>
          <w:color w:val="000000"/>
        </w:rPr>
        <w:t>cento e setenta e quatro milhões, duzentos e oitenta e cinco mil, quinhentos e oitenta e cinco reais e trinta e oito centavos</w:t>
      </w:r>
      <w:r w:rsidR="00314C9A">
        <w:rPr>
          <w:rFonts w:ascii="Leelawadee" w:hAnsi="Leelawadee" w:cs="Leelawadee"/>
          <w:color w:val="000000"/>
        </w:rPr>
        <w:t>);</w:t>
      </w:r>
    </w:p>
    <w:p w14:paraId="4C890684" w14:textId="3EE81CDD" w:rsidR="00314C9A" w:rsidRDefault="00314C9A" w:rsidP="00D347B0">
      <w:pPr>
        <w:numPr>
          <w:ilvl w:val="0"/>
          <w:numId w:val="16"/>
        </w:numPr>
        <w:tabs>
          <w:tab w:val="clear" w:pos="1080"/>
          <w:tab w:val="num" w:pos="-2322"/>
        </w:tabs>
        <w:spacing w:line="360" w:lineRule="auto"/>
        <w:ind w:left="1418" w:hanging="712"/>
        <w:jc w:val="both"/>
        <w:rPr>
          <w:rFonts w:ascii="Leelawadee" w:hAnsi="Leelawadee" w:cs="Leelawadee"/>
        </w:rPr>
      </w:pPr>
      <w:r>
        <w:rPr>
          <w:rFonts w:ascii="Leelawadee" w:hAnsi="Leelawadee" w:cs="Leelawadee"/>
        </w:rPr>
        <w:t>Data de Vencimento: 15 de dezembro de 2027;</w:t>
      </w:r>
    </w:p>
    <w:p w14:paraId="69A823F9" w14:textId="089FABDA" w:rsidR="00314C9A" w:rsidRDefault="00314C9A" w:rsidP="00D347B0">
      <w:pPr>
        <w:numPr>
          <w:ilvl w:val="0"/>
          <w:numId w:val="16"/>
        </w:numPr>
        <w:tabs>
          <w:tab w:val="clear" w:pos="1080"/>
          <w:tab w:val="num" w:pos="-2322"/>
        </w:tabs>
        <w:spacing w:line="360" w:lineRule="auto"/>
        <w:ind w:left="1418" w:hanging="712"/>
        <w:jc w:val="both"/>
        <w:rPr>
          <w:rFonts w:ascii="Leelawadee" w:hAnsi="Leelawadee" w:cs="Leelawadee"/>
        </w:rPr>
      </w:pPr>
      <w:r>
        <w:rPr>
          <w:rFonts w:ascii="Leelawadee" w:hAnsi="Leelawadee" w:cs="Leelawadee"/>
        </w:rPr>
        <w:t>Forma de Pagamento: Mensal;</w:t>
      </w:r>
    </w:p>
    <w:p w14:paraId="0047B0BC" w14:textId="6F20729D" w:rsidR="00314C9A" w:rsidRPr="00314C9A" w:rsidRDefault="00314C9A" w:rsidP="00314C9A">
      <w:pPr>
        <w:numPr>
          <w:ilvl w:val="0"/>
          <w:numId w:val="16"/>
        </w:numPr>
        <w:tabs>
          <w:tab w:val="clear" w:pos="1080"/>
          <w:tab w:val="num" w:pos="-2322"/>
        </w:tabs>
        <w:spacing w:line="360" w:lineRule="auto"/>
        <w:ind w:left="1418" w:hanging="712"/>
        <w:jc w:val="both"/>
        <w:rPr>
          <w:rFonts w:ascii="Leelawadee" w:hAnsi="Leelawadee" w:cs="Leelawadee"/>
        </w:rPr>
      </w:pPr>
      <w:r w:rsidRPr="00314C9A">
        <w:rPr>
          <w:rFonts w:ascii="Leelawadee" w:hAnsi="Leelawadee" w:cs="Leelawadee"/>
        </w:rPr>
        <w:t xml:space="preserve">Multa e Encargos Moratórios: </w:t>
      </w:r>
      <w:r w:rsidRPr="00314C9A">
        <w:rPr>
          <w:rFonts w:ascii="Leelawadee" w:hAnsi="Leelawadee" w:cs="Leelawadee"/>
          <w:bCs/>
        </w:rPr>
        <w:t>Nos termos dos itens 17.1 do Contrato de Locação Atípica, a Devedora pagará a locadora, a título de perdas e danos pré-fixados, o valor correspondente ao Contrato pelo valor do aluguel em vigo à época da ocorrência do fato, corrigindo monetariamente na forma aqui ajustada, p</w:t>
      </w:r>
      <w:r w:rsidRPr="00021AF6">
        <w:rPr>
          <w:rFonts w:ascii="Leelawadee" w:hAnsi="Leelawadee" w:cs="Leelawadee"/>
          <w:bCs/>
        </w:rPr>
        <w:t>ro-rata-die. C</w:t>
      </w:r>
      <w:r w:rsidRPr="00314C9A">
        <w:rPr>
          <w:rFonts w:ascii="Leelawadee" w:hAnsi="Leelawadee" w:cs="Leelawadee"/>
          <w:bCs/>
        </w:rPr>
        <w:t xml:space="preserve">aso ocorra qualquer uma das hipóteses </w:t>
      </w:r>
      <w:r w:rsidRPr="00314C9A">
        <w:rPr>
          <w:rFonts w:ascii="Leelawadee" w:hAnsi="Leelawadee" w:cs="Leelawadee"/>
          <w:bCs/>
        </w:rPr>
        <w:lastRenderedPageBreak/>
        <w:t>de término antecipado mencionadas nos itens 20.1. e 21.1. do Contrato de Locação Atípica, a Devedora pagará à locadora o valor correspondente à 3 (três) meses de aluguéis mensais em vigor à época da infração, sem prejuízo de a Devedora inocente, independente e simultaneamente, dar por rescindido de pleno direito a locação, desde que seja identificado um evento de inadimplemento</w:t>
      </w:r>
      <w:r>
        <w:rPr>
          <w:rFonts w:ascii="Leelawadee" w:hAnsi="Leelawadee" w:cs="Leelawadee"/>
          <w:bCs/>
        </w:rPr>
        <w:t xml:space="preserve">Atualização Monetária: </w:t>
      </w:r>
      <w:r>
        <w:rPr>
          <w:rFonts w:ascii="Leelawadee" w:hAnsi="Leelawadee" w:cs="Leelawadee"/>
        </w:rPr>
        <w:t>Anual,</w:t>
      </w:r>
      <w:r w:rsidRPr="00FF7114">
        <w:rPr>
          <w:rFonts w:ascii="Leelawadee" w:hAnsi="Leelawadee" w:cs="Leelawadee" w:hint="cs"/>
        </w:rPr>
        <w:t xml:space="preserve"> pela variação acumulada do IPCA/IBGE;</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15"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4E3B6EF"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942F18">
              <w:rPr>
                <w:rFonts w:ascii="Leelawadee" w:eastAsia="MS Mincho" w:hAnsi="Leelawadee" w:cs="Leelawadee"/>
                <w:color w:val="000000"/>
                <w:sz w:val="20"/>
              </w:rPr>
              <w:t>58</w:t>
            </w:r>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r w:rsidR="00942F18">
              <w:rPr>
                <w:rFonts w:ascii="Leelawadee" w:eastAsia="MS Mincho" w:hAnsi="Leelawadee" w:cs="Leelawadee"/>
                <w:color w:val="000000"/>
                <w:sz w:val="20"/>
              </w:rPr>
              <w:t>quinhentos e oitenta</w:t>
            </w:r>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79B4875"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2D1A6534"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42F18"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3E5CD16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r w:rsidR="00942F18">
              <w:rPr>
                <w:rFonts w:ascii="Leelawadee" w:eastAsia="MS Mincho" w:hAnsi="Leelawadee" w:cs="Leelawadee"/>
                <w:color w:val="000000"/>
                <w:sz w:val="20"/>
              </w:rPr>
              <w:t>2</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r w:rsidR="00942F18">
              <w:rPr>
                <w:rFonts w:ascii="Leelawadee" w:eastAsia="MS Mincho" w:hAnsi="Leelawadee" w:cs="Leelawadee"/>
                <w:color w:val="000000"/>
                <w:sz w:val="20"/>
              </w:rPr>
              <w:t>dois</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0705DF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4748BC">
              <w:rPr>
                <w:rFonts w:ascii="Leelawadee" w:hAnsi="Leelawadee" w:cs="Leelawadee"/>
                <w:sz w:val="20"/>
              </w:rPr>
              <w:t>Anual,</w:t>
            </w:r>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71B9773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73203660"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15"/>
    </w:tbl>
    <w:p w14:paraId="121D2850" w14:textId="77777777" w:rsidR="004E24D8" w:rsidRPr="00FF7114" w:rsidRDefault="004E24D8" w:rsidP="009A19A0">
      <w:pPr>
        <w:spacing w:line="360" w:lineRule="auto"/>
        <w:jc w:val="both"/>
        <w:rPr>
          <w:rFonts w:ascii="Leelawadee" w:hAnsi="Leelawadee" w:cs="Leelawadee"/>
        </w:rPr>
      </w:pPr>
    </w:p>
    <w:p w14:paraId="1A3C39DB" w14:textId="17D8C05E"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w:t>
      </w:r>
      <w:r w:rsidR="00D81E60">
        <w:rPr>
          <w:rFonts w:ascii="Leelawadee" w:hAnsi="Leelawadee" w:cs="Leelawadee"/>
        </w:rPr>
        <w:t>o Contrato de Locação Atípica, no Contrato de Cessão</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16" w:name="_Toc510869699"/>
      <w:r w:rsidRPr="00DD1E55">
        <w:rPr>
          <w:rFonts w:ascii="Leelawadee" w:hAnsi="Leelawadee" w:cs="Leelawadee"/>
          <w:sz w:val="20"/>
        </w:rPr>
        <w:lastRenderedPageBreak/>
        <w:t xml:space="preserve">CLÁUSULA TERCEIRA – </w:t>
      </w:r>
      <w:bookmarkEnd w:id="16"/>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17" w:name="OLE_LINK3"/>
      <w:bookmarkStart w:id="18" w:name="OLE_LINK4"/>
      <w:r w:rsidR="00110CAD" w:rsidRPr="00DD1E55">
        <w:rPr>
          <w:rFonts w:ascii="Leelawadee" w:hAnsi="Leelawadee" w:cs="Leelawadee"/>
        </w:rPr>
        <w:t xml:space="preserve">a </w:t>
      </w:r>
      <w:bookmarkEnd w:id="17"/>
      <w:bookmarkEnd w:id="18"/>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w:t>
      </w:r>
      <w:r w:rsidR="00DB580E" w:rsidRPr="00DB580E">
        <w:rPr>
          <w:rFonts w:ascii="Leelawadee" w:hAnsi="Leelawadee" w:cs="Leelawadee"/>
          <w:bCs/>
          <w:iCs/>
        </w:rPr>
        <w:lastRenderedPageBreak/>
        <w:t xml:space="preserve">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19"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19"/>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lastRenderedPageBreak/>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lastRenderedPageBreak/>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20"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20"/>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21"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21"/>
    </w:p>
    <w:p w14:paraId="201AC4A9" w14:textId="77777777" w:rsidR="00DC202F" w:rsidRPr="00DD1E55" w:rsidRDefault="00DC202F" w:rsidP="003F2E7C">
      <w:pPr>
        <w:spacing w:line="360" w:lineRule="auto"/>
        <w:jc w:val="both"/>
        <w:rPr>
          <w:rFonts w:ascii="Leelawadee" w:hAnsi="Leelawadee" w:cs="Leelawadee"/>
          <w:b/>
        </w:rPr>
      </w:pPr>
    </w:p>
    <w:p w14:paraId="3DF740B7" w14:textId="5912C72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3F76DA">
        <w:rPr>
          <w:rFonts w:ascii="Leelawadee" w:hAnsi="Leelawadee" w:cs="Leelawadee"/>
        </w:rPr>
        <w:t>o</w:t>
      </w:r>
      <w:r w:rsidR="0097711B" w:rsidRPr="00DD1E55">
        <w:rPr>
          <w:rFonts w:ascii="Leelawadee" w:hAnsi="Leelawadee" w:cs="Leelawadee"/>
        </w:rPr>
        <w:t xml:space="preserve"> </w:t>
      </w:r>
      <w:r w:rsidR="003F76DA">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22" w:name="_Hlk6167652"/>
      <w:r w:rsidR="00A15A82" w:rsidRPr="00DD1E55">
        <w:rPr>
          <w:rFonts w:ascii="Leelawadee" w:hAnsi="Leelawadee" w:cs="Leelawadee"/>
        </w:rPr>
        <w:t xml:space="preserve">Fiduciante e às </w:t>
      </w:r>
      <w:bookmarkEnd w:id="22"/>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lastRenderedPageBreak/>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23" w:name="_DV_C209"/>
      <w:r w:rsidRPr="00DD1E55">
        <w:rPr>
          <w:rFonts w:ascii="Leelawadee" w:eastAsia="Arial Unicode MS" w:hAnsi="Leelawadee" w:cs="Leelawadee"/>
        </w:rPr>
        <w:t>das Obrigações</w:t>
      </w:r>
      <w:bookmarkStart w:id="24" w:name="_DV_M159"/>
      <w:bookmarkEnd w:id="23"/>
      <w:bookmarkEnd w:id="24"/>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25" w:name="_DV_C211"/>
      <w:r w:rsidRPr="00DD1E55">
        <w:rPr>
          <w:rFonts w:ascii="Leelawadee" w:hAnsi="Leelawadee" w:cs="Leelawadee"/>
        </w:rPr>
        <w:lastRenderedPageBreak/>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25"/>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26"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27" w:name="_DV_C213"/>
      <w:bookmarkEnd w:id="26"/>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27"/>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8"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29" w:name="_DV_C215"/>
      <w:bookmarkEnd w:id="28"/>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29"/>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0"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31" w:name="_DV_C217"/>
      <w:bookmarkEnd w:id="30"/>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32"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32"/>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31"/>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3"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34" w:name="_DV_C219"/>
      <w:bookmarkEnd w:id="33"/>
      <w:r w:rsidRPr="00DD1E55">
        <w:rPr>
          <w:rFonts w:ascii="Leelawadee" w:eastAsia="Arial Unicode MS" w:hAnsi="Leelawadee" w:cs="Leelawadee"/>
        </w:rPr>
        <w:lastRenderedPageBreak/>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34"/>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5" w:name="_DV_C220"/>
    </w:p>
    <w:bookmarkEnd w:id="35"/>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36"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36"/>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37"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37"/>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38"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39"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39"/>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38"/>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40"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40"/>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1"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42"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43" w:name="_DV_C230"/>
      <w:bookmarkEnd w:id="41"/>
      <w:bookmarkEnd w:id="42"/>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44" w:name="_DV_C231"/>
      <w:bookmarkStart w:id="45" w:name="WCTOCLevel2Mark47in19Q02"/>
      <w:bookmarkEnd w:id="43"/>
      <w:r w:rsidR="00A367A2" w:rsidRPr="00DD1E55">
        <w:rPr>
          <w:rFonts w:ascii="Leelawadee" w:eastAsia="Arial Unicode MS" w:hAnsi="Leelawadee" w:cs="Leelawadee"/>
        </w:rPr>
        <w:t xml:space="preserve"> de qualquer de suas obrigações;</w:t>
      </w:r>
      <w:bookmarkEnd w:id="44"/>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46"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47" w:name="WCTOCLevel2Mark48in19Q02"/>
      <w:bookmarkEnd w:id="45"/>
      <w:bookmarkEnd w:id="46"/>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47"/>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48"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48"/>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49"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49"/>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50" w:name="_Toc510869701"/>
      <w:r w:rsidRPr="00DD1E55">
        <w:rPr>
          <w:rFonts w:ascii="Leelawadee" w:hAnsi="Leelawadee" w:cs="Leelawadee"/>
          <w:b/>
        </w:rPr>
        <w:t>CLÁUSULA QUINTA – LEILÃO EXTRAJUDICIAL</w:t>
      </w:r>
      <w:bookmarkEnd w:id="50"/>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 xml:space="preserve">definido no </w:t>
      </w:r>
      <w:r w:rsidR="00F51646" w:rsidRPr="00DD1E55">
        <w:rPr>
          <w:rFonts w:ascii="Leelawadee" w:hAnsi="Leelawadee" w:cs="Leelawadee"/>
        </w:rPr>
        <w:lastRenderedPageBreak/>
        <w:t>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w:t>
      </w:r>
      <w:r w:rsidR="000E485A" w:rsidRPr="00DD1E55">
        <w:rPr>
          <w:rFonts w:ascii="Leelawadee" w:hAnsi="Leelawadee" w:cs="Leelawadee"/>
        </w:rPr>
        <w:lastRenderedPageBreak/>
        <w:t xml:space="preserve">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51"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51"/>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lastRenderedPageBreak/>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52" w:name="_Toc510869703"/>
      <w:r w:rsidRPr="00DD1E55">
        <w:rPr>
          <w:rFonts w:ascii="Leelawadee" w:hAnsi="Leelawadee" w:cs="Leelawadee"/>
          <w:sz w:val="20"/>
        </w:rPr>
        <w:t xml:space="preserve">CLÁUSULA SÉTIMA – </w:t>
      </w:r>
      <w:bookmarkEnd w:id="52"/>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5C7FD667" w:rsidR="009B6CE6" w:rsidRPr="00DD1E55" w:rsidRDefault="002472AC" w:rsidP="009B6CE6">
      <w:pPr>
        <w:suppressAutoHyphens/>
        <w:spacing w:line="360" w:lineRule="auto"/>
        <w:jc w:val="both"/>
        <w:rPr>
          <w:rFonts w:ascii="Leelawadee" w:hAnsi="Leelawadee" w:cs="Leelawadee"/>
          <w:b/>
          <w:color w:val="000000"/>
        </w:rPr>
      </w:pPr>
      <w:bookmarkStart w:id="53" w:name="_Hlk5397004"/>
      <w:r>
        <w:rPr>
          <w:rFonts w:ascii="Leelawadee" w:hAnsi="Leelawadee" w:cs="Leelawadee"/>
          <w:b/>
        </w:rPr>
        <w:t xml:space="preserve">LOGBRAS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681F8701" w14:textId="0A37AEE2" w:rsidR="007D3385" w:rsidRPr="00D10253" w:rsidRDefault="00E943A2" w:rsidP="007D3385">
      <w:pPr>
        <w:shd w:val="clear" w:color="auto" w:fill="FFFFFF"/>
        <w:spacing w:line="360" w:lineRule="auto"/>
        <w:rPr>
          <w:rFonts w:ascii="Leelawadee" w:eastAsia="Arial Unicode MS" w:hAnsi="Leelawadee" w:cs="Leelawadee"/>
        </w:rPr>
      </w:pPr>
      <w:r>
        <w:rPr>
          <w:rFonts w:ascii="Leelawadee" w:hAnsi="Leelawadee" w:cs="Leelawadee"/>
        </w:rPr>
        <w:t>Rua Leopoldo Couto de Magalhães Junior, nº 1.098, cj. 64</w:t>
      </w:r>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lastRenderedPageBreak/>
        <w:t>São Paulo</w:t>
      </w:r>
      <w:r w:rsidRPr="00D10253">
        <w:rPr>
          <w:rFonts w:ascii="Leelawadee" w:eastAsia="Arial Unicode MS" w:hAnsi="Leelawadee" w:cs="Leelawadee" w:hint="cs"/>
        </w:rPr>
        <w:t xml:space="preserve"> – SP</w:t>
      </w:r>
    </w:p>
    <w:bookmarkEnd w:id="53"/>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w:t>
      </w:r>
      <w:r w:rsidRPr="00C76EDA">
        <w:rPr>
          <w:rFonts w:ascii="Leelawadee" w:eastAsia="Arial Unicode MS" w:hAnsi="Leelawadee" w:cs="Leelawadee"/>
          <w:w w:val="0"/>
        </w:rPr>
        <w:t xml:space="preserve">eletrônico: </w:t>
      </w:r>
      <w:hyperlink r:id="rId11" w:history="1">
        <w:r w:rsidR="00DA4F7E" w:rsidRPr="00C76EDA">
          <w:rPr>
            <w:rFonts w:eastAsia="Arial Unicode MS"/>
            <w:w w:val="0"/>
          </w:rPr>
          <w:t>gestao@isecbrasil.com.br</w:t>
        </w:r>
      </w:hyperlink>
      <w:r w:rsidR="00DA4F7E" w:rsidRPr="00C76EDA">
        <w:rPr>
          <w:rFonts w:ascii="Leelawadee" w:eastAsia="Arial Unicode MS" w:hAnsi="Leelawadee" w:cs="Leelawadee"/>
          <w:w w:val="0"/>
        </w:rPr>
        <w:t xml:space="preserve"> </w:t>
      </w:r>
      <w:r w:rsidR="00DA4F7E" w:rsidRPr="00B269AC">
        <w:rPr>
          <w:rFonts w:ascii="Leelawadee" w:eastAsia="Arial Unicode MS" w:hAnsi="Leelawadee" w:cs="Leelawadee"/>
          <w:w w:val="0"/>
        </w:rPr>
        <w:t>e juridico</w:t>
      </w:r>
      <w:r w:rsidR="00DA4F7E">
        <w:rPr>
          <w:rFonts w:ascii="Leelawadee" w:eastAsia="Arial Unicode MS" w:hAnsi="Leelawadee" w:cs="Leelawadee"/>
          <w:w w:val="0"/>
        </w:rPr>
        <w:t>@isecbrasil.com.br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54"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55" w:name="_DV_M244"/>
      <w:bookmarkStart w:id="56" w:name="_DV_M245"/>
      <w:bookmarkStart w:id="57" w:name="_DV_M246"/>
      <w:bookmarkStart w:id="58" w:name="_DV_M247"/>
      <w:bookmarkStart w:id="59" w:name="_DV_M249"/>
      <w:bookmarkStart w:id="60" w:name="_DV_M252"/>
      <w:bookmarkStart w:id="61" w:name="_DV_M253"/>
      <w:bookmarkStart w:id="62" w:name="_DV_M254"/>
      <w:bookmarkStart w:id="63" w:name="_DV_M255"/>
      <w:bookmarkStart w:id="64" w:name="_DV_M256"/>
      <w:bookmarkStart w:id="65" w:name="_DV_M257"/>
      <w:bookmarkStart w:id="66" w:name="_DV_M258"/>
      <w:bookmarkStart w:id="67" w:name="_DV_M259"/>
      <w:bookmarkStart w:id="68" w:name="_DV_M260"/>
      <w:bookmarkStart w:id="69" w:name="_DV_M261"/>
      <w:bookmarkStart w:id="70" w:name="_DV_M262"/>
      <w:bookmarkStart w:id="71" w:name="_DV_M263"/>
      <w:bookmarkStart w:id="72" w:name="_DV_M265"/>
      <w:bookmarkStart w:id="73" w:name="_DV_M266"/>
      <w:bookmarkStart w:id="74" w:name="_DV_M267"/>
      <w:bookmarkStart w:id="75" w:name="_DV_M268"/>
      <w:bookmarkStart w:id="76" w:name="_DV_M272"/>
      <w:bookmarkStart w:id="77" w:name="_DV_M273"/>
      <w:bookmarkStart w:id="78" w:name="_DV_M14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79" w:name="_DV_M290"/>
      <w:bookmarkEnd w:id="79"/>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80" w:name="_DV_M291"/>
      <w:bookmarkStart w:id="81" w:name="_DV_M292"/>
      <w:bookmarkStart w:id="82" w:name="_DV_M293"/>
      <w:bookmarkStart w:id="83" w:name="_DV_M294"/>
      <w:bookmarkStart w:id="84" w:name="_DV_M295"/>
      <w:bookmarkStart w:id="85" w:name="_DV_M296"/>
      <w:bookmarkStart w:id="86" w:name="_DV_M297"/>
      <w:bookmarkEnd w:id="80"/>
      <w:bookmarkEnd w:id="81"/>
      <w:bookmarkEnd w:id="82"/>
      <w:bookmarkEnd w:id="83"/>
      <w:bookmarkEnd w:id="84"/>
      <w:bookmarkEnd w:id="85"/>
      <w:bookmarkEnd w:id="86"/>
    </w:p>
    <w:p w14:paraId="29858326" w14:textId="77777777" w:rsidR="0092415C" w:rsidRPr="00DD1E55" w:rsidRDefault="0092415C" w:rsidP="003F2E7C">
      <w:pPr>
        <w:spacing w:line="360" w:lineRule="auto"/>
        <w:jc w:val="both"/>
        <w:rPr>
          <w:rFonts w:ascii="Leelawadee" w:hAnsi="Leelawadee" w:cs="Leelawadee"/>
        </w:rPr>
      </w:pPr>
    </w:p>
    <w:bookmarkEnd w:id="54"/>
    <w:p w14:paraId="4CED38BD" w14:textId="77777777" w:rsidR="000B47FF" w:rsidRPr="00630682" w:rsidRDefault="000B47FF" w:rsidP="000B47FF">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87" w:name="OLE_LINK55"/>
      <w:bookmarkStart w:id="88" w:name="OLE_LINK56"/>
      <w:r w:rsidRPr="00DD1E55">
        <w:rPr>
          <w:rFonts w:ascii="Leelawadee" w:hAnsi="Leelawadee" w:cs="Leelawadee"/>
        </w:rPr>
        <w:t>(O restante da página intencionalmente deixado em branco.)</w:t>
      </w:r>
    </w:p>
    <w:p w14:paraId="60E7E516" w14:textId="3190E251"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89" w:name="_Hlk5214020"/>
      <w:r w:rsidR="002472AC" w:rsidRPr="002472AC">
        <w:rPr>
          <w:rFonts w:ascii="Leelawadee" w:eastAsia="Times New Roman" w:hAnsi="Leelawadee" w:cs="Leelawadee"/>
          <w:lang w:eastAsia="en-US"/>
        </w:rPr>
        <w:t>Logbras</w:t>
      </w:r>
      <w:r w:rsidR="00AA6D06">
        <w:rPr>
          <w:rFonts w:ascii="Leelawadee" w:eastAsia="Times New Roman" w:hAnsi="Leelawadee" w:cs="Leelawadee"/>
          <w:lang w:eastAsia="en-US"/>
        </w:rPr>
        <w:t xml:space="preserve"> Salvador</w:t>
      </w:r>
      <w:r w:rsidR="002472AC"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2472AC" w:rsidRPr="002472AC">
        <w:rPr>
          <w:rFonts w:ascii="Leelawadee" w:eastAsia="Times New Roman" w:hAnsi="Leelawadee" w:cs="Leelawadee"/>
          <w:lang w:eastAsia="en-US"/>
        </w:rPr>
        <w:t xml:space="preserve"> </w:t>
      </w:r>
      <w:r w:rsidR="009B6CE6" w:rsidRPr="002472AC">
        <w:rPr>
          <w:rFonts w:ascii="Leelawadee" w:eastAsia="Times New Roman" w:hAnsi="Leelawadee" w:cs="Leelawadee"/>
          <w:lang w:eastAsia="en-US"/>
        </w:rPr>
        <w:t>S.A.</w:t>
      </w:r>
      <w:bookmarkEnd w:id="89"/>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76AB4FE6" w:rsidR="00CF6644" w:rsidRPr="00DD1E55" w:rsidRDefault="002472AC"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 xml:space="preserve">LOGBRAS </w:t>
            </w:r>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87"/>
      <w:bookmarkEnd w:id="88"/>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7E3AE909"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w:t>
      </w:r>
      <w:r w:rsidR="00AA6D06">
        <w:rPr>
          <w:rFonts w:ascii="Leelawadee" w:eastAsia="Times New Roman" w:hAnsi="Leelawadee" w:cs="Leelawadee"/>
          <w:lang w:eastAsia="en-US"/>
        </w:rPr>
        <w:t>Salvador</w:t>
      </w:r>
      <w:r w:rsidR="00AA6D06"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AA6D06"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4FD9FE30" w:rsidR="00421DD1"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8F957DE" w14:textId="10ACD716"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1C42F26" w14:textId="6E519B92"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BCA16EA" w14:textId="22DDF7F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7F4461" w14:textId="056F222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37E98CD" w14:textId="7AB8A764"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8FAAD01" w14:textId="77777777" w:rsidR="00AA6D06" w:rsidRPr="00DD1E55"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7B7C3E1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51F2B0C4"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ABBAD" w14:textId="77777777" w:rsidR="00FC4B7C" w:rsidRDefault="00FC4B7C">
      <w:r>
        <w:separator/>
      </w:r>
    </w:p>
  </w:endnote>
  <w:endnote w:type="continuationSeparator" w:id="0">
    <w:p w14:paraId="30937532" w14:textId="77777777" w:rsidR="00FC4B7C" w:rsidRDefault="00FC4B7C">
      <w:r>
        <w:continuationSeparator/>
      </w:r>
    </w:p>
  </w:endnote>
  <w:endnote w:type="continuationNotice" w:id="1">
    <w:p w14:paraId="4377C3B9" w14:textId="77777777" w:rsidR="00FC4B7C" w:rsidRDefault="00FC4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Leelawadee UI">
    <w:panose1 w:val="020B0502040204020203"/>
    <w:charset w:val="00"/>
    <w:family w:val="swiss"/>
    <w:pitch w:val="variable"/>
    <w:sig w:usb0="A3000003" w:usb1="00000000" w:usb2="00010000" w:usb3="00000000" w:csb0="000101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46894" w14:textId="77777777" w:rsidR="00FC4B7C" w:rsidRDefault="00FC4B7C">
      <w:r>
        <w:separator/>
      </w:r>
    </w:p>
  </w:footnote>
  <w:footnote w:type="continuationSeparator" w:id="0">
    <w:p w14:paraId="1B578785" w14:textId="77777777" w:rsidR="00FC4B7C" w:rsidRDefault="00FC4B7C">
      <w:r>
        <w:continuationSeparator/>
      </w:r>
    </w:p>
  </w:footnote>
  <w:footnote w:type="continuationNotice" w:id="1">
    <w:p w14:paraId="1DC2B43F" w14:textId="77777777" w:rsidR="00FC4B7C" w:rsidRDefault="00FC4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4"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6"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5"/>
  </w:num>
  <w:num w:numId="2">
    <w:abstractNumId w:val="11"/>
  </w:num>
  <w:num w:numId="3">
    <w:abstractNumId w:val="25"/>
  </w:num>
  <w:num w:numId="4">
    <w:abstractNumId w:val="12"/>
  </w:num>
  <w:num w:numId="5">
    <w:abstractNumId w:val="10"/>
  </w:num>
  <w:num w:numId="6">
    <w:abstractNumId w:val="16"/>
  </w:num>
  <w:num w:numId="7">
    <w:abstractNumId w:val="7"/>
  </w:num>
  <w:num w:numId="8">
    <w:abstractNumId w:val="9"/>
  </w:num>
  <w:num w:numId="9">
    <w:abstractNumId w:val="4"/>
  </w:num>
  <w:num w:numId="10">
    <w:abstractNumId w:val="17"/>
  </w:num>
  <w:num w:numId="11">
    <w:abstractNumId w:val="6"/>
  </w:num>
  <w:num w:numId="12">
    <w:abstractNumId w:val="26"/>
  </w:num>
  <w:num w:numId="13">
    <w:abstractNumId w:val="27"/>
  </w:num>
  <w:num w:numId="14">
    <w:abstractNumId w:val="20"/>
  </w:num>
  <w:num w:numId="15">
    <w:abstractNumId w:val="19"/>
  </w:num>
  <w:num w:numId="16">
    <w:abstractNumId w:val="23"/>
  </w:num>
  <w:num w:numId="17">
    <w:abstractNumId w:val="15"/>
  </w:num>
  <w:num w:numId="18">
    <w:abstractNumId w:val="13"/>
  </w:num>
  <w:num w:numId="19">
    <w:abstractNumId w:val="8"/>
  </w:num>
  <w:num w:numId="20">
    <w:abstractNumId w:val="3"/>
  </w:num>
  <w:num w:numId="21">
    <w:abstractNumId w:val="1"/>
  </w:num>
  <w:num w:numId="22">
    <w:abstractNumId w:val="0"/>
  </w:num>
  <w:num w:numId="23">
    <w:abstractNumId w:val="18"/>
  </w:num>
  <w:num w:numId="24">
    <w:abstractNumId w:val="14"/>
  </w:num>
  <w:num w:numId="25">
    <w:abstractNumId w:val="22"/>
  </w:num>
  <w:num w:numId="26">
    <w:abstractNumId w:val="21"/>
  </w:num>
  <w:num w:numId="27">
    <w:abstractNumId w:val="24"/>
  </w:num>
  <w:num w:numId="2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17C82"/>
    <w:rsid w:val="0002032C"/>
    <w:rsid w:val="00020494"/>
    <w:rsid w:val="00021AF6"/>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0DD"/>
    <w:rsid w:val="00063773"/>
    <w:rsid w:val="00066592"/>
    <w:rsid w:val="0006756F"/>
    <w:rsid w:val="000679ED"/>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3BD1"/>
    <w:rsid w:val="0009464F"/>
    <w:rsid w:val="00096AF3"/>
    <w:rsid w:val="000A077E"/>
    <w:rsid w:val="000A09D4"/>
    <w:rsid w:val="000A18DE"/>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0877"/>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7610C"/>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2F9C"/>
    <w:rsid w:val="001C5705"/>
    <w:rsid w:val="001C5EDE"/>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1F94"/>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130"/>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8CF"/>
    <w:rsid w:val="002A10D8"/>
    <w:rsid w:val="002A51ED"/>
    <w:rsid w:val="002A5A6F"/>
    <w:rsid w:val="002A5B0B"/>
    <w:rsid w:val="002A64BC"/>
    <w:rsid w:val="002B05F5"/>
    <w:rsid w:val="002B18A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8C5"/>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006D"/>
    <w:rsid w:val="00301A2F"/>
    <w:rsid w:val="00304EDF"/>
    <w:rsid w:val="00305C22"/>
    <w:rsid w:val="00307CC9"/>
    <w:rsid w:val="00310AC1"/>
    <w:rsid w:val="00310D80"/>
    <w:rsid w:val="00313509"/>
    <w:rsid w:val="00314055"/>
    <w:rsid w:val="003146D8"/>
    <w:rsid w:val="00314BF3"/>
    <w:rsid w:val="00314C9A"/>
    <w:rsid w:val="00315127"/>
    <w:rsid w:val="003153FA"/>
    <w:rsid w:val="003166D6"/>
    <w:rsid w:val="003223E7"/>
    <w:rsid w:val="00323D81"/>
    <w:rsid w:val="00324AAE"/>
    <w:rsid w:val="003265FF"/>
    <w:rsid w:val="00327B70"/>
    <w:rsid w:val="00331E8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453"/>
    <w:rsid w:val="003B4C34"/>
    <w:rsid w:val="003B5932"/>
    <w:rsid w:val="003B6CAD"/>
    <w:rsid w:val="003B7633"/>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3F76DA"/>
    <w:rsid w:val="004016BB"/>
    <w:rsid w:val="004016D7"/>
    <w:rsid w:val="00404B30"/>
    <w:rsid w:val="004053D9"/>
    <w:rsid w:val="004143D7"/>
    <w:rsid w:val="00415215"/>
    <w:rsid w:val="004155CE"/>
    <w:rsid w:val="004219A3"/>
    <w:rsid w:val="00421DD1"/>
    <w:rsid w:val="004220EE"/>
    <w:rsid w:val="00422A48"/>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3AC"/>
    <w:rsid w:val="00460404"/>
    <w:rsid w:val="00460851"/>
    <w:rsid w:val="0046103A"/>
    <w:rsid w:val="00464B6D"/>
    <w:rsid w:val="004669B9"/>
    <w:rsid w:val="004705B6"/>
    <w:rsid w:val="00472CA4"/>
    <w:rsid w:val="00474593"/>
    <w:rsid w:val="004748BC"/>
    <w:rsid w:val="00474A52"/>
    <w:rsid w:val="00474B9C"/>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3E4"/>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47F7C"/>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0457"/>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2F41"/>
    <w:rsid w:val="0063306D"/>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23E"/>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3478"/>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2B23"/>
    <w:rsid w:val="007B3900"/>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6969"/>
    <w:rsid w:val="008670ED"/>
    <w:rsid w:val="0087104B"/>
    <w:rsid w:val="00871A48"/>
    <w:rsid w:val="008744AD"/>
    <w:rsid w:val="008745DC"/>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0DF6"/>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583"/>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33A"/>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1945"/>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75E"/>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6D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0E0F"/>
    <w:rsid w:val="00B216FC"/>
    <w:rsid w:val="00B229F6"/>
    <w:rsid w:val="00B22DB5"/>
    <w:rsid w:val="00B2376B"/>
    <w:rsid w:val="00B24A0C"/>
    <w:rsid w:val="00B25730"/>
    <w:rsid w:val="00B2593E"/>
    <w:rsid w:val="00B25A39"/>
    <w:rsid w:val="00B25F34"/>
    <w:rsid w:val="00B25FDE"/>
    <w:rsid w:val="00B262ED"/>
    <w:rsid w:val="00B269AC"/>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28D"/>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5B15"/>
    <w:rsid w:val="00BC69DB"/>
    <w:rsid w:val="00BC6B22"/>
    <w:rsid w:val="00BD10E7"/>
    <w:rsid w:val="00BD2753"/>
    <w:rsid w:val="00BD4DB6"/>
    <w:rsid w:val="00BD551E"/>
    <w:rsid w:val="00BD5EA7"/>
    <w:rsid w:val="00BD6661"/>
    <w:rsid w:val="00BD6AEE"/>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13FB"/>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706E7"/>
    <w:rsid w:val="00C71397"/>
    <w:rsid w:val="00C718B9"/>
    <w:rsid w:val="00C71EE8"/>
    <w:rsid w:val="00C72F3F"/>
    <w:rsid w:val="00C72F80"/>
    <w:rsid w:val="00C7347A"/>
    <w:rsid w:val="00C76ED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773"/>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3B0"/>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1E60"/>
    <w:rsid w:val="00D871EE"/>
    <w:rsid w:val="00D87514"/>
    <w:rsid w:val="00D8751B"/>
    <w:rsid w:val="00D87663"/>
    <w:rsid w:val="00D87EC9"/>
    <w:rsid w:val="00D904AA"/>
    <w:rsid w:val="00D90665"/>
    <w:rsid w:val="00D90E3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3A2"/>
    <w:rsid w:val="00E94AAA"/>
    <w:rsid w:val="00E95527"/>
    <w:rsid w:val="00EA1770"/>
    <w:rsid w:val="00EA2637"/>
    <w:rsid w:val="00EA29F1"/>
    <w:rsid w:val="00EA4D18"/>
    <w:rsid w:val="00EA5B59"/>
    <w:rsid w:val="00EA5FA0"/>
    <w:rsid w:val="00EA608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BCB"/>
    <w:rsid w:val="00F42C7E"/>
    <w:rsid w:val="00F45976"/>
    <w:rsid w:val="00F45F50"/>
    <w:rsid w:val="00F46155"/>
    <w:rsid w:val="00F4635B"/>
    <w:rsid w:val="00F50BFD"/>
    <w:rsid w:val="00F50C1C"/>
    <w:rsid w:val="00F51646"/>
    <w:rsid w:val="00F53564"/>
    <w:rsid w:val="00F5501B"/>
    <w:rsid w:val="00F55A92"/>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2CEF"/>
    <w:rsid w:val="00FB5588"/>
    <w:rsid w:val="00FB59DA"/>
    <w:rsid w:val="00FC14F6"/>
    <w:rsid w:val="00FC1645"/>
    <w:rsid w:val="00FC19CC"/>
    <w:rsid w:val="00FC3533"/>
    <w:rsid w:val="00FC409A"/>
    <w:rsid w:val="00FC49C7"/>
    <w:rsid w:val="00FC4B7C"/>
    <w:rsid w:val="00FC6194"/>
    <w:rsid w:val="00FC6F9C"/>
    <w:rsid w:val="00FD059B"/>
    <w:rsid w:val="00FD2599"/>
    <w:rsid w:val="00FD25B3"/>
    <w:rsid w:val="00FD2602"/>
    <w:rsid w:val="00FD40CD"/>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2.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9818B0-4F21-4E7C-9BF5-387ECBC8FF4B}"/>
</file>

<file path=customXml/itemProps4.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7813</Words>
  <Characters>42192</Characters>
  <Application>Microsoft Office Word</Application>
  <DocSecurity>4</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 Advogados</dc:creator>
  <cp:lastModifiedBy>i2a advogados</cp:lastModifiedBy>
  <cp:revision>2</cp:revision>
  <cp:lastPrinted>2019-05-24T12:38:00Z</cp:lastPrinted>
  <dcterms:created xsi:type="dcterms:W3CDTF">2020-12-07T13:46:00Z</dcterms:created>
  <dcterms:modified xsi:type="dcterms:W3CDTF">2020-12-07T13:46:00Z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