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0DC4A3B" w:rsidR="00854331" w:rsidRPr="00927E02" w:rsidRDefault="00881541" w:rsidP="00731575">
      <w:pPr>
        <w:widowControl w:val="0"/>
        <w:spacing w:line="300" w:lineRule="exact"/>
        <w:jc w:val="center"/>
        <w:rPr>
          <w:bCs/>
          <w:smallCaps/>
          <w:color w:val="000000"/>
          <w:sz w:val="26"/>
          <w:szCs w:val="26"/>
          <w14:ligatures w14:val="standard"/>
        </w:rPr>
      </w:pPr>
      <w:r w:rsidRPr="00B0669B">
        <w:rPr>
          <w:bCs/>
          <w:smallCaps/>
          <w:color w:val="000000"/>
          <w:sz w:val="26"/>
          <w:szCs w:val="26"/>
          <w:highlight w:val="yellow"/>
          <w14:ligatures w14:val="standard"/>
        </w:rPr>
        <w:t>[</w:t>
      </w:r>
      <w:r w:rsidR="005F10D4">
        <w:rPr>
          <w:bCs/>
          <w:smallCaps/>
          <w:color w:val="000000"/>
          <w:sz w:val="26"/>
          <w:szCs w:val="26"/>
          <w:highlight w:val="yellow"/>
          <w14:ligatures w14:val="standard"/>
        </w:rPr>
        <w:t>=</w:t>
      </w:r>
      <w:r w:rsidRPr="00B0669B">
        <w:rPr>
          <w:bCs/>
          <w:smallCaps/>
          <w:color w:val="000000"/>
          <w:sz w:val="26"/>
          <w:szCs w:val="26"/>
          <w:highlight w:val="yellow"/>
          <w14:ligatures w14:val="standard"/>
        </w:rPr>
        <w:t>]</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3812BE65"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21F0740"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lastRenderedPageBreak/>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20A24508"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Imobiliários DI decorrentes das Debêntures DI.</w:t>
      </w:r>
      <w:r w:rsidR="000A3EEB" w:rsidRPr="00EC508D">
        <w:rPr>
          <w:sz w:val="26"/>
          <w:szCs w:val="26"/>
        </w:rPr>
        <w:t xml:space="preserve"> </w:t>
      </w:r>
    </w:p>
    <w:p w14:paraId="4057A5C0" w14:textId="77777777" w:rsidR="00FE584D" w:rsidRPr="00B0669B" w:rsidRDefault="00FE584D" w:rsidP="005C284E">
      <w:pPr>
        <w:widowControl w:val="0"/>
        <w:tabs>
          <w:tab w:val="left" w:pos="3331"/>
        </w:tabs>
        <w:spacing w:line="300" w:lineRule="exact"/>
        <w:ind w:left="993"/>
        <w:jc w:val="both"/>
        <w:rPr>
          <w:color w:val="000000"/>
          <w:sz w:val="26"/>
          <w:szCs w:val="26"/>
          <w:highlight w:val="yellow"/>
          <w14:ligatures w14:val="standard"/>
        </w:rPr>
      </w:pPr>
    </w:p>
    <w:p w14:paraId="0C642881" w14:textId="0C3F17FB"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lastRenderedPageBreak/>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w:t>
      </w:r>
      <w:r w:rsidR="00B25DB6" w:rsidRPr="00927E02">
        <w:rPr>
          <w:sz w:val="26"/>
          <w:szCs w:val="26"/>
          <w14:ligatures w14:val="standard"/>
        </w:rPr>
        <w:lastRenderedPageBreak/>
        <w:t xml:space="preserve">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4DAC1142"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59316C">
        <w:rPr>
          <w:sz w:val="26"/>
          <w:szCs w:val="26"/>
        </w:rPr>
        <w:t>14</w:t>
      </w:r>
      <w:r w:rsidR="0059581D"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w:t>
      </w:r>
      <w:r w:rsidR="005B59DE" w:rsidRPr="00927E02">
        <w:rPr>
          <w:sz w:val="26"/>
          <w:szCs w:val="26"/>
        </w:rPr>
        <w:lastRenderedPageBreak/>
        <w:t>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 xml:space="preserve">qualquer diretor, conselheiro, cônjuge, companheiro ou parente até o 2º (segundo) grau de qualquer das pessoas </w:t>
      </w:r>
      <w:r w:rsidR="00F92A60" w:rsidRPr="00927E02">
        <w:rPr>
          <w:sz w:val="26"/>
          <w:szCs w:val="26"/>
          <w14:ligatures w14:val="standard"/>
        </w:rPr>
        <w:lastRenderedPageBreak/>
        <w:t>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11E1FE6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EC508D">
        <w:rPr>
          <w:color w:val="000000"/>
          <w:sz w:val="26"/>
          <w:szCs w:val="26"/>
          <w:u w:val="single"/>
          <w14:ligatures w14:val="standard"/>
        </w:rPr>
        <w:t xml:space="preserve">Anexo </w:t>
      </w:r>
      <w:r w:rsidR="00702244" w:rsidRPr="00EC508D">
        <w:rPr>
          <w:color w:val="000000"/>
          <w:sz w:val="26"/>
          <w:szCs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w:t>
      </w:r>
      <w:r w:rsidR="006C089B" w:rsidRPr="00927E02">
        <w:rPr>
          <w:color w:val="000000"/>
          <w:sz w:val="26"/>
          <w:szCs w:val="26"/>
          <w14:ligatures w14:val="standard"/>
        </w:rPr>
        <w:lastRenderedPageBreak/>
        <w:t>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117F0B3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EC508D">
        <w:rPr>
          <w:color w:val="000000"/>
          <w:sz w:val="26"/>
          <w:szCs w:val="26"/>
          <w:u w:val="single"/>
          <w14:ligatures w14:val="standard"/>
        </w:rPr>
        <w:t xml:space="preserve">Anexo </w:t>
      </w:r>
      <w:r w:rsidR="004F3D0F" w:rsidRPr="00EC508D">
        <w:rPr>
          <w:color w:val="000000"/>
          <w:sz w:val="26"/>
          <w:szCs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 xml:space="preserve">B3 S.A. – Brasil, Bolsa, Balcão, sociedade por </w:t>
      </w:r>
      <w:r w:rsidR="00FB61F6" w:rsidRPr="00927E02">
        <w:rPr>
          <w:sz w:val="26"/>
          <w:szCs w:val="26"/>
        </w:rPr>
        <w:lastRenderedPageBreak/>
        <w:t>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2" w:name="_Hlk3495815"/>
      <w:r w:rsidRPr="00927E02">
        <w:rPr>
          <w:sz w:val="26"/>
          <w:szCs w:val="26"/>
          <w14:ligatures w14:val="standard"/>
        </w:rPr>
        <w:t>Diário Oficial do Estado de São Paulo</w:t>
      </w:r>
      <w:bookmarkEnd w:id="22"/>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w:t>
      </w:r>
      <w:r w:rsidR="0053339D" w:rsidRPr="00927E02">
        <w:rPr>
          <w:sz w:val="26"/>
          <w:szCs w:val="26"/>
        </w:rPr>
        <w:lastRenderedPageBreak/>
        <w:t xml:space="preserve">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5C1CA786"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EC508D">
        <w:rPr>
          <w:sz w:val="26"/>
          <w:szCs w:val="26"/>
          <w14:ligatures w14:val="standard"/>
        </w:rPr>
        <w:t xml:space="preserve">em </w:t>
      </w:r>
      <w:r w:rsidR="002F1F84" w:rsidRPr="00EC508D">
        <w:rPr>
          <w:sz w:val="26"/>
          <w:szCs w:val="26"/>
          <w:highlight w:val="yellow"/>
          <w14:ligatures w14:val="standard"/>
        </w:rPr>
        <w:t>[=]</w:t>
      </w:r>
      <w:r w:rsidR="002F1F84" w:rsidRPr="00EC508D">
        <w:rPr>
          <w:sz w:val="26"/>
          <w:szCs w:val="26"/>
          <w14:ligatures w14:val="standard"/>
        </w:rPr>
        <w:t xml:space="preserve"> </w:t>
      </w:r>
      <w:r w:rsidR="000A3EEB" w:rsidRPr="00EC508D">
        <w:rPr>
          <w:sz w:val="26"/>
          <w:szCs w:val="26"/>
          <w14:ligatures w14:val="standard"/>
        </w:rPr>
        <w:t xml:space="preserve">de dezembro de 2020,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2A4F241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3" w:name="_Hlk3495355"/>
      <w:r w:rsidRPr="00927E02">
        <w:rPr>
          <w:sz w:val="26"/>
          <w:szCs w:val="26"/>
          <w14:ligatures w14:val="standard"/>
        </w:rPr>
        <w:t>"</w:t>
      </w:r>
      <w:bookmarkStart w:id="24"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3"/>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w:t>
      </w:r>
      <w:r w:rsidRPr="00927E02">
        <w:rPr>
          <w:sz w:val="26"/>
          <w:szCs w:val="26"/>
          <w14:ligatures w14:val="standard"/>
        </w:rPr>
        <w:lastRenderedPageBreak/>
        <w:t>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5"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5"/>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6"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6"/>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7"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7"/>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xml:space="preserve">" significa a Lei n.º 4.591, de 16 de dezembro de 1964, </w:t>
      </w:r>
      <w:r w:rsidRPr="00927E02">
        <w:rPr>
          <w:sz w:val="26"/>
          <w:szCs w:val="26"/>
          <w14:ligatures w14:val="standard"/>
        </w:rPr>
        <w:lastRenderedPageBreak/>
        <w:t>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28"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28"/>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29" w:name="_Hlk3499795"/>
      <w:r w:rsidRPr="00927E02">
        <w:rPr>
          <w:sz w:val="26"/>
          <w:szCs w:val="26"/>
          <w14:ligatures w14:val="standard"/>
        </w:rPr>
        <w:t>Módulo de Distribuição de Ativos</w:t>
      </w:r>
      <w:bookmarkEnd w:id="29"/>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w:t>
      </w:r>
      <w:r w:rsidRPr="00927E02">
        <w:rPr>
          <w:sz w:val="26"/>
          <w:szCs w:val="26"/>
        </w:rPr>
        <w:lastRenderedPageBreak/>
        <w:t>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0"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0"/>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1"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1"/>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2"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2"/>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3"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4"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4"/>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com a consequente constituição do </w:t>
      </w:r>
      <w:r w:rsidRPr="00927E02">
        <w:rPr>
          <w:color w:val="000000"/>
          <w:sz w:val="26"/>
          <w:szCs w:val="26"/>
          <w14:ligatures w14:val="standard"/>
        </w:rPr>
        <w:lastRenderedPageBreak/>
        <w:t>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5"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5"/>
    </w:p>
    <w:bookmarkEnd w:id="33"/>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4121F475"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w:t>
      </w:r>
      <w:r w:rsidRPr="00927E02">
        <w:rPr>
          <w:sz w:val="26"/>
          <w:szCs w:val="26"/>
        </w:rPr>
        <w:lastRenderedPageBreak/>
        <w:t>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13554480"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 4.373</w:t>
      </w:r>
      <w:r>
        <w:rPr>
          <w:sz w:val="26"/>
          <w:szCs w:val="26"/>
          <w14:ligatures w14:val="standard"/>
        </w:rPr>
        <w:t>" significa a Resolução do CMN n.º 4.373, de 29 de setembro de 2014.</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6"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36"/>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48624C0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xml:space="preserve">, a Emissora obriga-se a </w:t>
      </w:r>
      <w:r w:rsidRPr="00927E02">
        <w:rPr>
          <w:rFonts w:cs="Arial"/>
          <w:sz w:val="26"/>
          <w:szCs w:val="26"/>
          <w14:ligatures w14:val="standard"/>
        </w:rPr>
        <w:lastRenderedPageBreak/>
        <w:t>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3"/>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927E02">
        <w:rPr>
          <w:rFonts w:ascii="Times New Roman" w:hAnsi="Times New Roman"/>
          <w:b w:val="0"/>
          <w:smallCaps/>
          <w:color w:val="000000"/>
          <w:sz w:val="26"/>
          <w:szCs w:val="26"/>
          <w:u w:val="single"/>
          <w14:ligatures w14:val="standard"/>
        </w:rPr>
        <w:t>Objeto</w:t>
      </w:r>
      <w:bookmarkEnd w:id="38"/>
      <w:r w:rsidRPr="00927E02">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17B57F06"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46"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46"/>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EC508D">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48"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48"/>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49" w:name="_Hlk3733930"/>
      <w:bookmarkStart w:id="50"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49"/>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lastRenderedPageBreak/>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w:t>
      </w:r>
      <w:r w:rsidRPr="00927E02">
        <w:rPr>
          <w:sz w:val="26"/>
          <w:szCs w:val="26"/>
        </w:rPr>
        <w:lastRenderedPageBreak/>
        <w:t xml:space="preserve">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3"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por assembleia geral dos Titulares de CRI</w:t>
      </w:r>
      <w:r w:rsidR="00AF4FD2" w:rsidRPr="00927E02">
        <w:rPr>
          <w:rFonts w:cs="Arial"/>
          <w:sz w:val="26"/>
          <w:szCs w:val="26"/>
          <w14:ligatures w14:val="standard"/>
        </w:rPr>
        <w:t>;</w:t>
      </w:r>
      <w:bookmarkEnd w:id="53"/>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4"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4"/>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29A18FC"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EC508D">
        <w:rPr>
          <w:color w:val="000000"/>
          <w:sz w:val="26"/>
          <w:szCs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7FA0AA96"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CRI será de</w:t>
      </w:r>
      <w:r w:rsidR="00EF59F3" w:rsidRPr="00EB33A0">
        <w:rPr>
          <w:color w:val="000000"/>
          <w:sz w:val="26"/>
          <w:szCs w:val="26"/>
          <w14:ligatures w14:val="standard"/>
        </w:rPr>
        <w:t xml:space="preserve"> 3.</w:t>
      </w:r>
      <w:r w:rsidR="00EB33A0" w:rsidRPr="00EB33A0">
        <w:rPr>
          <w:color w:val="000000"/>
          <w:sz w:val="26"/>
          <w:szCs w:val="26"/>
          <w14:ligatures w14:val="standard"/>
        </w:rPr>
        <w:t>64</w:t>
      </w:r>
      <w:r w:rsidR="00EB33A0" w:rsidRPr="00EC508D">
        <w:rPr>
          <w:color w:val="000000"/>
          <w:sz w:val="26"/>
          <w:szCs w:val="26"/>
          <w14:ligatures w14:val="standard"/>
        </w:rPr>
        <w:t>5</w:t>
      </w:r>
      <w:r w:rsidR="00EB33A0" w:rsidRPr="00EB33A0">
        <w:rPr>
          <w:color w:val="000000"/>
          <w:sz w:val="26"/>
          <w:szCs w:val="26"/>
          <w14:ligatures w14:val="standard"/>
        </w:rPr>
        <w:t xml:space="preserve"> </w:t>
      </w:r>
      <w:r w:rsidR="00EF59F3" w:rsidRPr="00EB33A0">
        <w:rPr>
          <w:color w:val="000000"/>
          <w:sz w:val="26"/>
          <w:szCs w:val="26"/>
          <w14:ligatures w14:val="standard"/>
        </w:rPr>
        <w:t xml:space="preserve">(três mil seiscentos e quarenta e </w:t>
      </w:r>
      <w:r w:rsidR="00EB33A0" w:rsidRPr="00EC508D">
        <w:rPr>
          <w:color w:val="000000"/>
          <w:sz w:val="26"/>
          <w:szCs w:val="26"/>
          <w14:ligatures w14:val="standard"/>
        </w:rPr>
        <w:t>cinco</w:t>
      </w:r>
      <w:r w:rsidR="00EF59F3" w:rsidRPr="00EB33A0">
        <w:rPr>
          <w:color w:val="000000"/>
          <w:sz w:val="26"/>
          <w:szCs w:val="26"/>
          <w14:ligatures w14:val="standard"/>
        </w:rPr>
        <w:t>) dias</w:t>
      </w:r>
      <w:r w:rsidR="00EF59F3">
        <w:rPr>
          <w:color w:val="000000"/>
          <w:sz w:val="26"/>
          <w:szCs w:val="26"/>
          <w14:ligatures w14:val="standard"/>
        </w:rPr>
        <w:t xml:space="preserve"> corridos</w:t>
      </w:r>
      <w:r w:rsidR="00EF59F3" w:rsidRPr="00927E02">
        <w:rPr>
          <w:color w:val="000000"/>
          <w:sz w:val="26"/>
          <w:szCs w:val="26"/>
          <w14:ligatures w14:val="standard"/>
        </w:rPr>
        <w:t xml:space="preserve">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B0669B">
        <w:rPr>
          <w:color w:val="000000"/>
          <w:sz w:val="26"/>
          <w:szCs w:val="26"/>
          <w14:ligatures w14:val="standard"/>
        </w:rPr>
        <w:t xml:space="preserve"> </w:t>
      </w:r>
      <w:r w:rsidR="00A413C0" w:rsidRPr="00B0669B">
        <w:rPr>
          <w:color w:val="000000"/>
          <w:sz w:val="26"/>
          <w:szCs w:val="26"/>
          <w14:ligatures w14:val="standard"/>
        </w:rPr>
        <w:t xml:space="preserve">de </w:t>
      </w:r>
      <w:r w:rsidR="00644C2B" w:rsidRPr="00B0669B">
        <w:rPr>
          <w:color w:val="000000"/>
          <w:sz w:val="26"/>
          <w:szCs w:val="26"/>
          <w14:ligatures w14:val="standard"/>
        </w:rPr>
        <w:t>dezembro</w:t>
      </w:r>
      <w:r w:rsidR="00A413C0" w:rsidRPr="00B0669B">
        <w:rPr>
          <w:color w:val="000000"/>
          <w:sz w:val="26"/>
          <w:szCs w:val="26"/>
          <w14:ligatures w14:val="standard"/>
        </w:rPr>
        <w:t xml:space="preserve"> de 20</w:t>
      </w:r>
      <w:r w:rsidR="00AC0AA9" w:rsidRPr="00B0669B">
        <w:rPr>
          <w:color w:val="000000"/>
          <w:sz w:val="26"/>
          <w:szCs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5"/>
      <w:r w:rsidR="0001190D" w:rsidRPr="00927E02">
        <w:rPr>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6" w:name="_Hlk3498873"/>
      <w:bookmarkStart w:id="57"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6"/>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57"/>
      <w:r w:rsidR="004941B5" w:rsidRPr="00927E02">
        <w:rPr>
          <w:sz w:val="26"/>
          <w:szCs w:val="26"/>
        </w:rPr>
        <w:t xml:space="preserve">Valor Nominal Unitário dos CRI IPCA </w:t>
      </w:r>
      <w:r w:rsidR="0001190D" w:rsidRPr="00927E02">
        <w:rPr>
          <w:sz w:val="26"/>
          <w:szCs w:val="26"/>
        </w:rPr>
        <w:t xml:space="preserve">ou saldo do Valor Nominal Unitário dos CRI </w:t>
      </w:r>
      <w:r w:rsidR="0001190D" w:rsidRPr="00927E02">
        <w:rPr>
          <w:sz w:val="26"/>
          <w:szCs w:val="26"/>
        </w:rPr>
        <w:lastRenderedPageBreak/>
        <w:t xml:space="preserve">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58"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59" w:name="_Hlk17976022"/>
      <w:r w:rsidR="00AC0AA9" w:rsidRPr="00927E02">
        <w:rPr>
          <w:sz w:val="26"/>
          <w:szCs w:val="26"/>
        </w:rPr>
        <w:t xml:space="preserve">Sobre o Valor Nominal Unitário </w:t>
      </w:r>
      <w:bookmarkStart w:id="60"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0"/>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1" w:name="_Hlk514249334"/>
      <w:r w:rsidR="00414528" w:rsidRPr="00927E02">
        <w:rPr>
          <w:sz w:val="26"/>
          <w:szCs w:val="26"/>
        </w:rPr>
        <w:t xml:space="preserve">a um determinado percentual ao ano, base 252 (duzentos e cinquenta e dois) dias úteis,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2"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2"/>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1"/>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w:t>
      </w:r>
      <w:r w:rsidR="00AC0AA9" w:rsidRPr="00927E02">
        <w:rPr>
          <w:sz w:val="26"/>
          <w:szCs w:val="26"/>
        </w:rPr>
        <w:lastRenderedPageBreak/>
        <w:t xml:space="preserve">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58"/>
      <w:bookmarkEnd w:id="59"/>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726431AA"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3" w:name="_Hlk3499150"/>
      <w:bookmarkStart w:id="64"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0264264C"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3"/>
    <w:bookmarkEnd w:id="64"/>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1AECC7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 xml:space="preserve">16 </w:t>
      </w:r>
      <w:r w:rsidR="00AD61DE" w:rsidRPr="00EC508D">
        <w:rPr>
          <w:sz w:val="26"/>
          <w:szCs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0009B458"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primeira parcela, no valor correspondente a 33,3333% </w:t>
      </w:r>
      <w:r w:rsidRPr="00927E02">
        <w:rPr>
          <w:sz w:val="26"/>
          <w:szCs w:val="26"/>
        </w:rPr>
        <w:lastRenderedPageBreak/>
        <w:t>(</w:t>
      </w:r>
      <w:r w:rsidR="00866957" w:rsidRPr="00927E02">
        <w:rPr>
          <w:sz w:val="26"/>
          <w:szCs w:val="26"/>
        </w:rPr>
        <w:t>trinta e três inteiros e três mil trezentos e trinta e três décimos de milésimos por cento</w:t>
      </w:r>
      <w:r w:rsidRPr="00927E02">
        <w:rPr>
          <w:sz w:val="26"/>
          <w:szCs w:val="26"/>
        </w:rPr>
        <w:t xml:space="preserve">) do saldo do Valor Nominal Unitário Atualizado dos CRI IPCA, devida em </w:t>
      </w:r>
      <w:r w:rsidR="002138BE" w:rsidRPr="00EC508D">
        <w:rPr>
          <w:sz w:val="26"/>
          <w:szCs w:val="26"/>
          <w:u w:val="single"/>
        </w:rPr>
        <w:t xml:space="preserve">15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w:t>
      </w:r>
      <w:r w:rsidR="008769B1" w:rsidRPr="00EC508D">
        <w:rPr>
          <w:sz w:val="26"/>
          <w:szCs w:val="26"/>
          <w:u w:val="single"/>
        </w:rPr>
        <w:t>2028</w:t>
      </w:r>
      <w:r w:rsidRPr="00927E02">
        <w:rPr>
          <w:sz w:val="26"/>
          <w:szCs w:val="26"/>
        </w:rPr>
        <w:t>;</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6A5EA03"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do saldo do Valor Nominal Unitário Atualizado dos CRI IPCA, devida </w:t>
      </w:r>
      <w:r w:rsidRPr="00443BDE">
        <w:rPr>
          <w:sz w:val="26"/>
          <w:szCs w:val="26"/>
        </w:rPr>
        <w:t xml:space="preserve">em </w:t>
      </w:r>
      <w:r w:rsidR="002138BE" w:rsidRPr="00EC508D">
        <w:rPr>
          <w:sz w:val="26"/>
          <w:szCs w:val="26"/>
          <w:u w:val="single"/>
        </w:rPr>
        <w:t xml:space="preserve">17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75939BB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w:t>
      </w:r>
      <w:r w:rsidRPr="00443BDE">
        <w:rPr>
          <w:sz w:val="26"/>
          <w:szCs w:val="26"/>
        </w:rPr>
        <w:t xml:space="preserve">a, </w:t>
      </w:r>
      <w:r w:rsidR="002138BE" w:rsidRPr="00EC508D">
        <w:rPr>
          <w:sz w:val="26"/>
          <w:szCs w:val="26"/>
          <w:u w:val="single"/>
        </w:rPr>
        <w:t xml:space="preserve">16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5" w:name="_Hlk3499309"/>
      <w:r w:rsidR="008755AF" w:rsidRPr="00927E02">
        <w:rPr>
          <w:sz w:val="26"/>
          <w:szCs w:val="26"/>
          <w14:ligatures w14:val="standard"/>
        </w:rPr>
        <w:t>Não serão constituídas garantias específicas, reais ou pessoais, sobre os CRI</w:t>
      </w:r>
      <w:bookmarkEnd w:id="65"/>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A5F668"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0E5196E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4A8579BC"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6"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w:t>
      </w:r>
      <w:r w:rsidRPr="00927E02">
        <w:rPr>
          <w:rFonts w:cs="Arial"/>
          <w:sz w:val="26"/>
          <w:szCs w:val="26"/>
          <w14:ligatures w14:val="standard"/>
        </w:rPr>
        <w:lastRenderedPageBreak/>
        <w:t xml:space="preserve">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6"/>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66694C5A"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r w:rsidR="005728B6" w:rsidRPr="00EC508D">
        <w:rPr>
          <w:b/>
          <w:bCs/>
          <w:i/>
          <w:iCs/>
          <w:sz w:val="26"/>
          <w:szCs w:val="26"/>
          <w14:ligatures w14:val="standard"/>
        </w:rPr>
        <w:t>[Nota PG: ISEC está s</w:t>
      </w:r>
      <w:r w:rsidR="001615BE" w:rsidRPr="00EC508D">
        <w:rPr>
          <w:b/>
          <w:bCs/>
          <w:i/>
          <w:iCs/>
          <w:sz w:val="26"/>
          <w:szCs w:val="26"/>
          <w14:ligatures w14:val="standard"/>
        </w:rPr>
        <w:t>olicitando.]</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67"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67"/>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68"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68"/>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69" w:name="_Hlk3722281"/>
      <w:bookmarkStart w:id="70"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w:t>
      </w:r>
      <w:r w:rsidR="00731575" w:rsidRPr="00927E02">
        <w:rPr>
          <w:color w:val="000000"/>
          <w:sz w:val="26"/>
          <w:szCs w:val="26"/>
          <w14:ligatures w14:val="standard"/>
        </w:rPr>
        <w:lastRenderedPageBreak/>
        <w:t xml:space="preserve">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1" w:name="_DV_M64"/>
      <w:bookmarkStart w:id="72" w:name="_DV_M65"/>
      <w:bookmarkStart w:id="73" w:name="_DV_M66"/>
      <w:bookmarkStart w:id="74" w:name="_DV_M67"/>
      <w:bookmarkEnd w:id="69"/>
      <w:bookmarkEnd w:id="70"/>
      <w:bookmarkEnd w:id="71"/>
      <w:bookmarkEnd w:id="72"/>
      <w:bookmarkEnd w:id="73"/>
      <w:bookmarkEnd w:id="74"/>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5" w:name="_Hlk3722294"/>
      <w:bookmarkStart w:id="76"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5"/>
    </w:p>
    <w:bookmarkEnd w:id="76"/>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77"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w:t>
      </w:r>
      <w:r w:rsidRPr="00927E02">
        <w:rPr>
          <w:color w:val="000000"/>
          <w:sz w:val="26"/>
          <w:szCs w:val="26"/>
          <w14:ligatures w14:val="standard"/>
        </w:rPr>
        <w:lastRenderedPageBreak/>
        <w:t>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77"/>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78"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79" w:name="_Ref328665579"/>
    </w:p>
    <w:p w14:paraId="129FB817" w14:textId="3262DDBA"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0"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0"/>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w:t>
      </w:r>
      <w:r w:rsidR="00406740" w:rsidRPr="00EC508D">
        <w:rPr>
          <w:sz w:val="26"/>
          <w:szCs w:val="26"/>
          <w:u w:val="single"/>
        </w:rPr>
        <w:t xml:space="preserve">Anexo </w:t>
      </w:r>
      <w:r w:rsidR="000211B8" w:rsidRPr="00EC508D">
        <w:rPr>
          <w:sz w:val="26"/>
          <w:szCs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79"/>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lastRenderedPageBreak/>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5CF3B145" w:rsidR="00731575" w:rsidRPr="00B0669B"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w:t>
      </w:r>
      <w:r w:rsidR="00AF71FC" w:rsidRPr="00927E02">
        <w:rPr>
          <w:sz w:val="26"/>
          <w:szCs w:val="26"/>
        </w:rPr>
        <w:lastRenderedPageBreak/>
        <w:t xml:space="preserve">aplicação de DIk, será sempre considerada a Taxa DI divulgada no </w:t>
      </w:r>
      <w:r w:rsidR="00AC45BF" w:rsidRPr="00EC508D">
        <w:rPr>
          <w:sz w:val="26"/>
          <w:szCs w:val="26"/>
        </w:rPr>
        <w:t>2</w:t>
      </w:r>
      <w:r w:rsidR="00AF71FC" w:rsidRPr="00EC508D">
        <w:rPr>
          <w:sz w:val="26"/>
          <w:szCs w:val="26"/>
        </w:rPr>
        <w:t>º (</w:t>
      </w:r>
      <w:r w:rsidR="00AC45BF" w:rsidRPr="00EC508D">
        <w:rPr>
          <w:sz w:val="26"/>
          <w:szCs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EC508D">
        <w:rPr>
          <w:sz w:val="26"/>
          <w:szCs w:val="26"/>
        </w:rPr>
        <w:t>9</w:t>
      </w:r>
      <w:r w:rsidR="009F088D" w:rsidRPr="00EC508D">
        <w:rPr>
          <w:sz w:val="26"/>
          <w:szCs w:val="26"/>
        </w:rPr>
        <w:t xml:space="preserve">, considerando que os dias </w:t>
      </w:r>
      <w:r w:rsidR="001D16CD" w:rsidRPr="00EC508D">
        <w:rPr>
          <w:sz w:val="26"/>
          <w:szCs w:val="26"/>
        </w:rPr>
        <w:t>9</w:t>
      </w:r>
      <w:r w:rsidR="00255CAC" w:rsidRPr="00EC508D">
        <w:rPr>
          <w:sz w:val="26"/>
          <w:szCs w:val="26"/>
        </w:rPr>
        <w:t xml:space="preserve">, </w:t>
      </w:r>
      <w:r w:rsidR="001D16CD" w:rsidRPr="00EC508D">
        <w:rPr>
          <w:sz w:val="26"/>
          <w:szCs w:val="26"/>
        </w:rPr>
        <w:t>10</w:t>
      </w:r>
      <w:r w:rsidR="009F088D" w:rsidRPr="00EC508D">
        <w:rPr>
          <w:sz w:val="26"/>
          <w:szCs w:val="26"/>
        </w:rPr>
        <w:t xml:space="preserve"> e 1</w:t>
      </w:r>
      <w:r w:rsidR="001D16CD" w:rsidRPr="00EC508D">
        <w:rPr>
          <w:sz w:val="26"/>
          <w:szCs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0.7pt" o:ole="">
            <v:imagedata r:id="rId15" o:title=""/>
          </v:shape>
          <o:OLEObject Type="Embed" ProgID="Equation.3" ShapeID="_x0000_i1025" DrawAspect="Content" ObjectID="_1669219371"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78"/>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lastRenderedPageBreak/>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17" o:title=""/>
          </v:shape>
          <o:OLEObject Type="Embed" ProgID="Equation.3" ShapeID="_x0000_i1026" DrawAspect="Content" ObjectID="_1669219372"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19" o:title=""/>
          </v:shape>
          <o:OLEObject Type="Embed" ProgID="Equation.3" ShapeID="_x0000_i1027" DrawAspect="Content" ObjectID="_1669219373"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 xml:space="preserve">NIk = valor do número-índice do IPCA do mês anterior ao mês de atualização, caso a atualização seja em data anterior ou na própria Data de Aniversário dos CRI IPCA. Após a Data de Aniversário, </w:t>
      </w:r>
      <w:r w:rsidRPr="00927E02">
        <w:rPr>
          <w:sz w:val="26"/>
          <w:szCs w:val="26"/>
        </w:rPr>
        <w:lastRenderedPageBreak/>
        <w:t>'NIk'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0.7pt;height:43.2pt" o:ole="">
            <v:imagedata r:id="rId21" o:title=""/>
          </v:shape>
          <o:OLEObject Type="Embed" ProgID="Equation.3" ShapeID="_x0000_i1028" DrawAspect="Content" ObjectID="_1669219374"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3B1BDD36" w:rsidR="00A113B7" w:rsidRPr="00927E02" w:rsidRDefault="00A113B7" w:rsidP="00A113B7">
      <w:pPr>
        <w:spacing w:line="300" w:lineRule="exact"/>
        <w:ind w:left="1701"/>
        <w:jc w:val="both"/>
        <w:rPr>
          <w:sz w:val="26"/>
          <w:szCs w:val="26"/>
        </w:rPr>
      </w:pPr>
      <w:r w:rsidRPr="00EC508D">
        <w:rPr>
          <w:sz w:val="26"/>
          <w:szCs w:val="26"/>
        </w:rPr>
        <w:t>Considera-se como "</w:t>
      </w:r>
      <w:r w:rsidRPr="00EC508D">
        <w:rPr>
          <w:sz w:val="26"/>
          <w:szCs w:val="26"/>
          <w:u w:val="single"/>
        </w:rPr>
        <w:t>Data de Aniversário</w:t>
      </w:r>
      <w:r w:rsidRPr="00EC508D">
        <w:rPr>
          <w:sz w:val="26"/>
          <w:szCs w:val="26"/>
        </w:rPr>
        <w:t xml:space="preserve">" </w:t>
      </w:r>
      <w:r w:rsidR="007637E5" w:rsidRPr="00EC508D">
        <w:rPr>
          <w:sz w:val="26"/>
          <w:szCs w:val="26"/>
        </w:rPr>
        <w:t xml:space="preserve">todo dia 15 (quinze), de cada mês, conforme as datas da coluna "Datas de Pagamento da Remuneração IPCA" previstas no </w:t>
      </w:r>
      <w:r w:rsidR="007637E5" w:rsidRPr="00EC508D">
        <w:rPr>
          <w:sz w:val="26"/>
          <w:szCs w:val="26"/>
          <w:u w:val="single"/>
        </w:rPr>
        <w:t xml:space="preserve">Anexo </w:t>
      </w:r>
      <w:r w:rsidR="00B127B5">
        <w:rPr>
          <w:sz w:val="26"/>
          <w:szCs w:val="26"/>
          <w:u w:val="single"/>
        </w:rPr>
        <w:t>IX</w:t>
      </w:r>
      <w:r w:rsidR="002138BE">
        <w:rPr>
          <w:sz w:val="26"/>
          <w:szCs w:val="26"/>
          <w:u w:val="single"/>
        </w:rPr>
        <w:t>.A</w:t>
      </w:r>
      <w:r w:rsidR="007637E5" w:rsidRPr="00EC508D">
        <w:rPr>
          <w:sz w:val="26"/>
          <w:szCs w:val="26"/>
        </w:rPr>
        <w:t xml:space="preserve"> dest</w:t>
      </w:r>
      <w:r w:rsidR="00B127B5">
        <w:rPr>
          <w:sz w:val="26"/>
          <w:szCs w:val="26"/>
        </w:rPr>
        <w:t>e</w:t>
      </w:r>
      <w:r w:rsidR="007637E5" w:rsidRPr="00EC508D">
        <w:rPr>
          <w:sz w:val="26"/>
          <w:szCs w:val="26"/>
        </w:rPr>
        <w:t xml:space="preserve"> </w:t>
      </w:r>
      <w:r w:rsidR="00B127B5">
        <w:rPr>
          <w:sz w:val="26"/>
          <w:szCs w:val="26"/>
        </w:rPr>
        <w:t>Termo de Securitização</w:t>
      </w:r>
      <w:r w:rsidR="007637E5" w:rsidRPr="00EC508D">
        <w:rPr>
          <w:sz w:val="26"/>
          <w:szCs w:val="26"/>
        </w:rPr>
        <w:t>.</w:t>
      </w:r>
    </w:p>
    <w:p w14:paraId="4FB29137" w14:textId="77777777" w:rsidR="00A113B7" w:rsidRPr="00927E02" w:rsidRDefault="00A113B7" w:rsidP="00A113B7">
      <w:pPr>
        <w:spacing w:line="300" w:lineRule="exact"/>
        <w:ind w:left="1701"/>
        <w:jc w:val="both"/>
        <w:rPr>
          <w:sz w:val="26"/>
          <w:szCs w:val="26"/>
        </w:rPr>
      </w:pPr>
    </w:p>
    <w:p w14:paraId="1079C2A6" w14:textId="2D063EE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projetado, calculado com base na última projeção </w:t>
      </w:r>
      <w:r w:rsidRPr="00927E02">
        <w:rPr>
          <w:sz w:val="26"/>
          <w:szCs w:val="26"/>
          <w:u w:val="single"/>
        </w:rPr>
        <w:t>disponível</w:t>
      </w:r>
      <w:r w:rsidRPr="00927E02">
        <w:rPr>
          <w:bCs/>
          <w:iCs/>
          <w:sz w:val="26"/>
          <w:szCs w:val="26"/>
        </w:rPr>
        <w:t xml:space="preserve">, divulgada pela ANBIMA da variação percentual do IPCA, </w:t>
      </w:r>
      <w:r w:rsidR="00B539E8">
        <w:rPr>
          <w:bCs/>
          <w:iCs/>
          <w:sz w:val="26"/>
          <w:szCs w:val="26"/>
        </w:rPr>
        <w:t xml:space="preserve">que </w:t>
      </w:r>
      <w:r w:rsidR="00B539E8">
        <w:rPr>
          <w:bCs/>
          <w:iCs/>
          <w:sz w:val="26"/>
          <w:szCs w:val="26"/>
        </w:rPr>
        <w:lastRenderedPageBreak/>
        <w:t xml:space="preserve">deverá ser a mesma utilizada para o cálculo da remuneração das Debêntures IPCA, </w:t>
      </w:r>
      <w:r w:rsidRPr="00927E02">
        <w:rPr>
          <w:bCs/>
          <w:iCs/>
          <w:sz w:val="26"/>
          <w:szCs w:val="26"/>
        </w:rPr>
        <w:t>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03E0E64E"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2" w:name="_Hlk57033379"/>
      <w:r w:rsidRPr="00927E02">
        <w:rPr>
          <w:sz w:val="26"/>
          <w:szCs w:val="26"/>
        </w:rPr>
        <w:t xml:space="preserve">sobre o Valor Nominal Unitário Atualizado dos CRI IPCA </w:t>
      </w:r>
      <w:r w:rsidR="008069AA" w:rsidRPr="00927E02">
        <w:rPr>
          <w:sz w:val="26"/>
          <w:szCs w:val="26"/>
        </w:rPr>
        <w:t xml:space="preserve">ou saldo do Valor Nominal Unitário Atualizado </w:t>
      </w:r>
      <w:r w:rsidR="008069AA" w:rsidRPr="00927E02">
        <w:rPr>
          <w:sz w:val="26"/>
          <w:szCs w:val="26"/>
        </w:rPr>
        <w:lastRenderedPageBreak/>
        <w:t>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83" w:name="_Hlk58339577"/>
      <w:r w:rsidR="00606273" w:rsidRPr="00927E02">
        <w:rPr>
          <w:sz w:val="26"/>
          <w:szCs w:val="26"/>
        </w:rPr>
        <w:t xml:space="preserve">a um determinado percentual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3"/>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2"/>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EC508D">
        <w:rPr>
          <w:sz w:val="26"/>
          <w:szCs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5.3pt;height:57.6pt" o:ole="" fillcolor="window">
            <v:imagedata r:id="rId24" o:title=""/>
          </v:shape>
          <o:OLEObject Type="Embed" ProgID="Equation.3" ShapeID="_x0000_i1029" DrawAspect="Content" ObjectID="_1669219375"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84" w:name="_Ref286330516"/>
      <w:bookmarkStart w:id="85" w:name="_Ref286331549"/>
      <w:bookmarkStart w:id="86" w:name="_Ref466392985"/>
      <w:bookmarkStart w:id="87"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w:t>
      </w:r>
      <w:r w:rsidRPr="00927E02">
        <w:rPr>
          <w:sz w:val="26"/>
          <w:szCs w:val="26"/>
        </w:rPr>
        <w:lastRenderedPageBreak/>
        <w:t xml:space="preserve">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88" w:name="_Ref286330522"/>
      <w:bookmarkEnd w:id="84"/>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lastRenderedPageBreak/>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 xml:space="preserve">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w:t>
      </w:r>
      <w:r w:rsidR="00DA57BD" w:rsidRPr="00927E02">
        <w:rPr>
          <w:sz w:val="26"/>
          <w:szCs w:val="26"/>
        </w:rPr>
        <w:lastRenderedPageBreak/>
        <w:t>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5"/>
      <w:bookmarkEnd w:id="86"/>
      <w:bookmarkEnd w:id="87"/>
      <w:bookmarkEnd w:id="88"/>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89"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lastRenderedPageBreak/>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89"/>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0"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0"/>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1"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2" w:name="_Hlk3499643"/>
      <w:r w:rsidRPr="00927E02">
        <w:rPr>
          <w:sz w:val="26"/>
          <w:szCs w:val="26"/>
          <w14:ligatures w14:val="standard"/>
        </w:rPr>
        <w:t xml:space="preserve">Os valores oriundos da </w:t>
      </w:r>
      <w:r w:rsidRPr="00927E02">
        <w:rPr>
          <w:sz w:val="26"/>
          <w:szCs w:val="26"/>
          <w14:ligatures w14:val="standard"/>
        </w:rPr>
        <w:lastRenderedPageBreak/>
        <w:t xml:space="preserve">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2"/>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3"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FA736A9"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45853F9D"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52AD06B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1D1CDB1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w:t>
      </w:r>
      <w:r w:rsidR="00E61FB2" w:rsidRPr="00927E02">
        <w:rPr>
          <w:sz w:val="26"/>
          <w:szCs w:val="26"/>
        </w:rPr>
        <w:lastRenderedPageBreak/>
        <w:t xml:space="preserve">nos termos do </w:t>
      </w:r>
      <w:r w:rsidR="00E61FB2" w:rsidRPr="00EC508D">
        <w:rPr>
          <w:sz w:val="26"/>
          <w:szCs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E7BAE8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EC5AC64"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49C9C80"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xml:space="preserve">"), no prazo estabelecido por estes. O Relatório de Verificação deverá ser acompanhado dos respectivos documentos comprobatórios da destinação dos recursos para os Imóveis Lastro (notas fiscais, acompanhados de seus arquivos no </w:t>
      </w:r>
      <w:r w:rsidRPr="00927E02">
        <w:rPr>
          <w:sz w:val="26"/>
          <w:szCs w:val="26"/>
        </w:rPr>
        <w:lastRenderedPageBreak/>
        <w:t>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2AAA4CC9"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4646864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 xml:space="preserve">da </w:t>
      </w:r>
      <w:r w:rsidR="003D5C6F" w:rsidRPr="00927E02">
        <w:rPr>
          <w:sz w:val="26"/>
          <w:szCs w:val="26"/>
        </w:rPr>
        <w:lastRenderedPageBreak/>
        <w:t>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41702D2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71CA4323"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1"/>
      <w:bookmarkEnd w:id="93"/>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4" w:name="_Toc422473371"/>
      <w:bookmarkStart w:id="95"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4"/>
      <w:bookmarkEnd w:id="95"/>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96" w:name="_DV_M96"/>
      <w:bookmarkStart w:id="97" w:name="_DV_M99"/>
      <w:bookmarkStart w:id="98" w:name="_DV_M101"/>
      <w:bookmarkEnd w:id="96"/>
      <w:bookmarkEnd w:id="97"/>
      <w:bookmarkEnd w:id="98"/>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99"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99"/>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0" w:name="_Ref408992126"/>
      <w:bookmarkStart w:id="101" w:name="_Ref408997578"/>
      <w:bookmarkStart w:id="102" w:name="_Ref423022752"/>
      <w:bookmarkStart w:id="103"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0"/>
      <w:bookmarkEnd w:id="101"/>
      <w:bookmarkEnd w:id="102"/>
      <w:r w:rsidR="00FD2DE2" w:rsidRPr="00927E02">
        <w:rPr>
          <w:rFonts w:cs="Arial"/>
          <w:sz w:val="26"/>
          <w:szCs w:val="26"/>
        </w:rPr>
        <w:t>.</w:t>
      </w:r>
    </w:p>
    <w:bookmarkEnd w:id="103"/>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4" w:name="_Toc514105612"/>
      <w:bookmarkStart w:id="105" w:name="_Toc516063760"/>
      <w:bookmarkStart w:id="106"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rPr>
        <w:lastRenderedPageBreak/>
        <w:t>("</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4"/>
      <w:bookmarkEnd w:id="105"/>
      <w:bookmarkEnd w:id="106"/>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07" w:name="_Toc514105613"/>
      <w:bookmarkStart w:id="108" w:name="_Toc516063761"/>
      <w:bookmarkStart w:id="109"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07"/>
      <w:bookmarkEnd w:id="108"/>
      <w:bookmarkEnd w:id="109"/>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0"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0"/>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16287D5C"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lastRenderedPageBreak/>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1" w:name="_Ref264481789"/>
      <w:bookmarkStart w:id="112"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1"/>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2"/>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3"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3"/>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4" w:name="_Toc514105616"/>
      <w:bookmarkStart w:id="115" w:name="_Toc516063763"/>
      <w:bookmarkStart w:id="116"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4"/>
      <w:bookmarkEnd w:id="115"/>
      <w:bookmarkEnd w:id="116"/>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17" w:name="_Toc24656704"/>
      <w:bookmarkStart w:id="118" w:name="_Toc514105617"/>
      <w:bookmarkStart w:id="119"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7"/>
    </w:p>
    <w:bookmarkEnd w:id="118"/>
    <w:bookmarkEnd w:id="119"/>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0" w:name="_Toc163380701"/>
      <w:bookmarkStart w:id="121" w:name="_Toc180553617"/>
      <w:bookmarkStart w:id="122" w:name="_Toc205799092"/>
      <w:bookmarkStart w:id="123" w:name="_Toc241983067"/>
      <w:bookmarkStart w:id="124" w:name="_Toc422473372"/>
      <w:bookmarkStart w:id="125" w:name="_Toc428208321"/>
      <w:r w:rsidRPr="00927E02">
        <w:rPr>
          <w:rFonts w:ascii="Times New Roman" w:hAnsi="Times New Roman"/>
          <w:b w:val="0"/>
          <w:smallCaps/>
          <w:color w:val="000000"/>
          <w:sz w:val="26"/>
          <w:szCs w:val="26"/>
          <w:u w:val="single"/>
          <w14:ligatures w14:val="standard"/>
        </w:rPr>
        <w:t>Garantias</w:t>
      </w:r>
      <w:bookmarkStart w:id="126" w:name="_Toc110076263"/>
      <w:bookmarkEnd w:id="120"/>
      <w:bookmarkEnd w:id="121"/>
      <w:bookmarkEnd w:id="122"/>
      <w:bookmarkEnd w:id="123"/>
      <w:bookmarkEnd w:id="124"/>
      <w:bookmarkEnd w:id="125"/>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7" w:name="_Toc110076264"/>
      <w:bookmarkStart w:id="128" w:name="_Toc163380703"/>
      <w:bookmarkStart w:id="129" w:name="_Toc180553619"/>
      <w:bookmarkStart w:id="130" w:name="_Toc205799094"/>
      <w:bookmarkStart w:id="131" w:name="_Toc241983069"/>
      <w:bookmarkStart w:id="132" w:name="_Toc422473373"/>
      <w:bookmarkStart w:id="133" w:name="_Toc428208322"/>
      <w:bookmarkEnd w:id="126"/>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27"/>
      <w:bookmarkEnd w:id="128"/>
      <w:bookmarkEnd w:id="129"/>
      <w:bookmarkEnd w:id="130"/>
      <w:bookmarkEnd w:id="131"/>
      <w:bookmarkEnd w:id="132"/>
      <w:bookmarkEnd w:id="133"/>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4" w:name="_Hlk3500270"/>
      <w:r w:rsidR="007C276A" w:rsidRPr="00927E02">
        <w:rPr>
          <w:color w:val="000000"/>
          <w:sz w:val="26"/>
          <w:szCs w:val="26"/>
          <w14:ligatures w14:val="standard"/>
        </w:rPr>
        <w:t xml:space="preserve">Haverá o </w:t>
      </w:r>
      <w:bookmarkStart w:id="135"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4"/>
    <w:bookmarkEnd w:id="135"/>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lastRenderedPageBreak/>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1987019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6" w:name="_Hlk3500655"/>
      <w:bookmarkStart w:id="137"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xml:space="preserve">: </w:t>
      </w:r>
      <w:r w:rsidR="00DC1BDD" w:rsidRPr="00927E02">
        <w:rPr>
          <w:b/>
          <w:bCs/>
          <w:i/>
          <w:color w:val="000000"/>
          <w:sz w:val="26"/>
          <w:szCs w:val="26"/>
          <w:highlight w:val="yellow"/>
          <w14:ligatures w14:val="standard"/>
        </w:rPr>
        <w:t xml:space="preserve">Favor </w:t>
      </w:r>
      <w:r w:rsidR="00405417" w:rsidRPr="00927E02">
        <w:rPr>
          <w:b/>
          <w:bCs/>
          <w:i/>
          <w:color w:val="000000"/>
          <w:sz w:val="26"/>
          <w:szCs w:val="26"/>
          <w:highlight w:val="yellow"/>
          <w14:ligatures w14:val="standard"/>
        </w:rPr>
        <w:t>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w:t>
      </w:r>
      <w:r w:rsidRPr="00927E02">
        <w:rPr>
          <w:iCs/>
          <w:color w:val="000000"/>
          <w:sz w:val="26"/>
          <w:szCs w:val="26"/>
          <w14:ligatures w14:val="standard"/>
        </w:rPr>
        <w:lastRenderedPageBreak/>
        <w:t xml:space="preserve">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36"/>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37"/>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6DEDA9DF"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38" w:name="_Hlk3500514"/>
      <w:bookmarkStart w:id="139" w:name="_Hlk3500502"/>
      <w:bookmarkStart w:id="140"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38"/>
    <w:bookmarkEnd w:id="139"/>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w:t>
      </w:r>
      <w:r w:rsidRPr="00927E02">
        <w:rPr>
          <w:sz w:val="26"/>
          <w:szCs w:val="26"/>
        </w:rPr>
        <w:lastRenderedPageBreak/>
        <w:t xml:space="preserve">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77777777" w:rsidR="006833EE" w:rsidRPr="00EC508D"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6833EE">
        <w:rPr>
          <w:sz w:val="26"/>
          <w:szCs w:val="26"/>
        </w:rPr>
        <w:t xml:space="preserve">Por ocasião do Resgate Antecipado </w:t>
      </w:r>
      <w:bookmarkStart w:id="141" w:name="_Hlk58361359"/>
      <w:r w:rsidRPr="006833EE">
        <w:rPr>
          <w:sz w:val="26"/>
          <w:szCs w:val="26"/>
        </w:rPr>
        <w:t>dos CRI</w:t>
      </w:r>
      <w:bookmarkEnd w:id="141"/>
      <w:r w:rsidRPr="006833EE">
        <w:rPr>
          <w:sz w:val="26"/>
          <w:szCs w:val="26"/>
        </w:rPr>
        <w:t xml:space="preserve"> IPCA, o valor a ser pago pela Emissora aos Titulares de CRI IPCA em relação a cada um dos CRI IPCA será equivalente</w:t>
      </w:r>
      <w:r w:rsidR="006833EE" w:rsidRPr="006833EE">
        <w:rPr>
          <w:sz w:val="26"/>
          <w:szCs w:val="26"/>
        </w:rPr>
        <w:t xml:space="preserve"> </w:t>
      </w:r>
      <w:r w:rsidR="006833EE" w:rsidRPr="00EC508D">
        <w:rPr>
          <w:sz w:val="26"/>
          <w:szCs w:val="26"/>
        </w:rPr>
        <w:t>ao valor indicado no item (i) ou no item (ii) abaixo, dos 2 (dois), o que for maior:</w:t>
      </w:r>
    </w:p>
    <w:p w14:paraId="7FE261BA" w14:textId="77777777" w:rsidR="006833EE" w:rsidRPr="00EC508D" w:rsidRDefault="006833EE" w:rsidP="006833EE">
      <w:pPr>
        <w:pStyle w:val="PargrafodaLista"/>
        <w:tabs>
          <w:tab w:val="left" w:pos="993"/>
        </w:tabs>
        <w:spacing w:line="300" w:lineRule="exact"/>
        <w:ind w:left="993"/>
        <w:rPr>
          <w:sz w:val="26"/>
          <w:szCs w:val="26"/>
        </w:rPr>
      </w:pPr>
    </w:p>
    <w:p w14:paraId="2ACC12A9" w14:textId="1ED59885" w:rsidR="006833EE" w:rsidRPr="00EC508D"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EC508D">
        <w:rPr>
          <w:sz w:val="26"/>
          <w:szCs w:val="26"/>
        </w:rPr>
        <w:t xml:space="preserve">Valor Nominal Unitário Atualizado </w:t>
      </w:r>
      <w:r>
        <w:rPr>
          <w:sz w:val="26"/>
          <w:szCs w:val="26"/>
        </w:rPr>
        <w:t>dos CRI</w:t>
      </w:r>
      <w:r w:rsidRPr="00EC508D">
        <w:rPr>
          <w:sz w:val="26"/>
          <w:szCs w:val="26"/>
        </w:rPr>
        <w:t xml:space="preserve"> IPCA, acrescido (a) da respectiva Remuneração IPCA, calculada </w:t>
      </w:r>
      <w:r w:rsidRPr="00EC508D">
        <w:rPr>
          <w:i/>
          <w:iCs/>
          <w:sz w:val="26"/>
          <w:szCs w:val="26"/>
        </w:rPr>
        <w:t>pro rata temporis</w:t>
      </w:r>
      <w:r w:rsidRPr="00EC508D">
        <w:rPr>
          <w:sz w:val="26"/>
          <w:szCs w:val="26"/>
        </w:rPr>
        <w:t xml:space="preserve"> desde a Primeira Data de Integralização </w:t>
      </w:r>
      <w:r>
        <w:rPr>
          <w:sz w:val="26"/>
          <w:szCs w:val="26"/>
        </w:rPr>
        <w:t>dos CRI</w:t>
      </w:r>
      <w:r w:rsidRPr="006833EE">
        <w:rPr>
          <w:sz w:val="26"/>
          <w:szCs w:val="26"/>
        </w:rPr>
        <w:t xml:space="preserve"> </w:t>
      </w:r>
      <w:r w:rsidRPr="00EC508D">
        <w:rPr>
          <w:sz w:val="26"/>
          <w:szCs w:val="26"/>
        </w:rPr>
        <w:t xml:space="preserve">IPCA ou a Data de Pagamento da Remuneração IPCA imediatamente anterior, conforme o caso, inclusive, até a data do efetivo Resgate Antecipado </w:t>
      </w:r>
      <w:r>
        <w:rPr>
          <w:sz w:val="26"/>
          <w:szCs w:val="26"/>
        </w:rPr>
        <w:t>dos CRI</w:t>
      </w:r>
      <w:r w:rsidRPr="006833EE">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 xml:space="preserve">IPCA; ou </w:t>
      </w:r>
    </w:p>
    <w:p w14:paraId="71F49B0F" w14:textId="77777777" w:rsidR="006833EE" w:rsidRPr="00EC508D" w:rsidRDefault="006833EE" w:rsidP="006833EE">
      <w:pPr>
        <w:pStyle w:val="PargrafodaLista"/>
        <w:ind w:left="1701"/>
        <w:rPr>
          <w:sz w:val="26"/>
          <w:szCs w:val="26"/>
        </w:rPr>
      </w:pPr>
      <w:bookmarkStart w:id="142" w:name="_Ref531792666"/>
    </w:p>
    <w:p w14:paraId="4FED7B18" w14:textId="03C1E3F9" w:rsidR="006833EE" w:rsidRPr="00EC508D" w:rsidRDefault="006833EE" w:rsidP="00EC508D">
      <w:pPr>
        <w:pStyle w:val="PargrafodaLista"/>
        <w:widowControl/>
        <w:numPr>
          <w:ilvl w:val="4"/>
          <w:numId w:val="37"/>
        </w:numPr>
        <w:autoSpaceDE/>
        <w:autoSpaceDN/>
        <w:adjustRightInd/>
        <w:spacing w:after="120"/>
        <w:ind w:left="1701" w:hanging="708"/>
        <w:contextualSpacing/>
        <w:jc w:val="both"/>
        <w:rPr>
          <w:sz w:val="26"/>
          <w:szCs w:val="26"/>
        </w:rPr>
      </w:pPr>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r w:rsidRPr="00EC508D">
        <w:rPr>
          <w:i/>
          <w:sz w:val="26"/>
          <w:szCs w:val="26"/>
        </w:rPr>
        <w:t>duration</w:t>
      </w:r>
      <w:r w:rsidRPr="00EC508D">
        <w:rPr>
          <w:sz w:val="26"/>
          <w:szCs w:val="26"/>
        </w:rPr>
        <w:t xml:space="preserve"> remanescente </w:t>
      </w:r>
      <w:r>
        <w:rPr>
          <w:sz w:val="26"/>
          <w:szCs w:val="26"/>
        </w:rPr>
        <w:t>dos CRI</w:t>
      </w:r>
      <w:r w:rsidRPr="006833EE">
        <w:rPr>
          <w:sz w:val="26"/>
          <w:szCs w:val="26"/>
        </w:rPr>
        <w:t xml:space="preserve"> </w:t>
      </w:r>
      <w:r w:rsidRPr="00EC508D">
        <w:rPr>
          <w:sz w:val="26"/>
          <w:szCs w:val="26"/>
        </w:rPr>
        <w:t xml:space="preserve">IPCA, na data do Resgate Antecipado </w:t>
      </w:r>
      <w:r>
        <w:rPr>
          <w:sz w:val="26"/>
          <w:szCs w:val="26"/>
        </w:rPr>
        <w:t>dos CRI</w:t>
      </w:r>
      <w:r w:rsidRPr="006833EE">
        <w:rPr>
          <w:sz w:val="26"/>
          <w:szCs w:val="26"/>
        </w:rPr>
        <w:t xml:space="preserve"> </w:t>
      </w:r>
      <w:r w:rsidRPr="00EC508D">
        <w:rPr>
          <w:sz w:val="26"/>
          <w:szCs w:val="26"/>
        </w:rPr>
        <w:t>IPCA, utilizando-se a cotação indicativa divulgada pela ANBIMA em sua página na rede mundial de computadores (</w:t>
      </w:r>
      <w:hyperlink r:id="rId28" w:history="1">
        <w:r w:rsidRPr="00EC508D">
          <w:rPr>
            <w:rStyle w:val="Hyperlink"/>
            <w:sz w:val="26"/>
            <w:szCs w:val="26"/>
          </w:rPr>
          <w:t>http://www.anbima.com.br</w:t>
        </w:r>
      </w:hyperlink>
      <w:r w:rsidRPr="00EC508D">
        <w:rPr>
          <w:sz w:val="26"/>
          <w:szCs w:val="26"/>
        </w:rPr>
        <w:t xml:space="preserve">) apurada </w:t>
      </w:r>
      <w:r w:rsidRPr="00EC508D">
        <w:rPr>
          <w:sz w:val="26"/>
          <w:szCs w:val="26"/>
        </w:rPr>
        <w:lastRenderedPageBreak/>
        <w:t xml:space="preserve">no segundo Dia Útil imediatamente anterior à data do Resgate Antecipado </w:t>
      </w:r>
      <w:r>
        <w:rPr>
          <w:sz w:val="26"/>
          <w:szCs w:val="26"/>
        </w:rPr>
        <w:t>dos CRI</w:t>
      </w:r>
      <w:r w:rsidRPr="006833EE">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IPCA:</w:t>
      </w:r>
      <w:bookmarkEnd w:id="142"/>
      <w:r w:rsidRPr="00EC508D">
        <w:rPr>
          <w:sz w:val="26"/>
          <w:szCs w:val="26"/>
        </w:rPr>
        <w:t xml:space="preserve"> </w:t>
      </w:r>
    </w:p>
    <w:p w14:paraId="6498303E" w14:textId="77777777" w:rsidR="006833EE" w:rsidRPr="00EC508D" w:rsidRDefault="006833EE" w:rsidP="006833EE">
      <w:pPr>
        <w:pStyle w:val="PargrafodaLista"/>
        <w:rPr>
          <w:sz w:val="26"/>
          <w:szCs w:val="26"/>
        </w:rPr>
      </w:pPr>
    </w:p>
    <w:p w14:paraId="3D7FA346" w14:textId="77777777" w:rsidR="006833EE" w:rsidRPr="00EC508D" w:rsidRDefault="006833EE" w:rsidP="006833EE">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CResgate</m:t>
                      </m:r>
                    </m:e>
                  </m:d>
                </m:e>
              </m:nary>
              <m:ctrlPr>
                <w:rPr>
                  <w:rFonts w:ascii="Cambria Math" w:hAnsi="Cambria Math"/>
                  <w:i/>
                  <w:sz w:val="26"/>
                  <w:szCs w:val="26"/>
                </w:rPr>
              </m:ctrlPr>
            </m:e>
          </m:d>
        </m:oMath>
      </m:oMathPara>
    </w:p>
    <w:p w14:paraId="64A78BB8" w14:textId="77777777" w:rsidR="006833EE" w:rsidRPr="00EC508D" w:rsidRDefault="006833EE" w:rsidP="006833EE">
      <w:pPr>
        <w:pStyle w:val="Body"/>
        <w:spacing w:after="240" w:line="320" w:lineRule="exact"/>
        <w:ind w:left="1701"/>
        <w:rPr>
          <w:rFonts w:ascii="Garamond" w:hAnsi="Garamond"/>
          <w:sz w:val="26"/>
          <w:szCs w:val="26"/>
        </w:rPr>
      </w:pPr>
    </w:p>
    <w:p w14:paraId="0AA80324" w14:textId="1779C297"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833EE">
        <w:rPr>
          <w:rFonts w:ascii="Times New Roman" w:hAnsi="Times New Roman" w:cs="Times New Roman"/>
          <w:sz w:val="26"/>
          <w:szCs w:val="26"/>
        </w:rPr>
        <w:t xml:space="preserve">das parcelas de pagamento </w:t>
      </w:r>
      <w:r w:rsidR="00D76FAB" w:rsidRPr="00D76FAB">
        <w:rPr>
          <w:rFonts w:ascii="Times New Roman" w:hAnsi="Times New Roman" w:cs="Times New Roman"/>
          <w:sz w:val="26"/>
          <w:szCs w:val="26"/>
        </w:rPr>
        <w:t>dos CRI</w:t>
      </w:r>
      <w:r w:rsidRPr="006833EE">
        <w:rPr>
          <w:rFonts w:ascii="Times New Roman" w:hAnsi="Times New Roman" w:cs="Times New Roman"/>
          <w:sz w:val="26"/>
          <w:szCs w:val="26"/>
        </w:rPr>
        <w:t xml:space="preserve"> IPCA;</w:t>
      </w:r>
    </w:p>
    <w:p w14:paraId="6A8D21C4" w14:textId="77777777" w:rsidR="006833EE" w:rsidRPr="00EC508D" w:rsidRDefault="006833EE" w:rsidP="006833EE">
      <w:pPr>
        <w:pStyle w:val="Body"/>
        <w:spacing w:after="0" w:line="300" w:lineRule="exact"/>
        <w:ind w:left="1701"/>
        <w:rPr>
          <w:rFonts w:ascii="Times New Roman" w:hAnsi="Times New Roman"/>
          <w:sz w:val="26"/>
          <w:szCs w:val="26"/>
        </w:rPr>
      </w:pPr>
    </w:p>
    <w:p w14:paraId="4355440E" w14:textId="3B2BD854"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CResgate = fator </w:t>
      </w:r>
      <w:r w:rsidRPr="006833EE">
        <w:rPr>
          <w:rFonts w:ascii="Times New Roman" w:hAnsi="Times New Roman" w:cs="Times New Roman"/>
          <w:sz w:val="26"/>
          <w:szCs w:val="26"/>
        </w:rPr>
        <w:t xml:space="preserve">C acumulado até a data do Resgate Antecipado </w:t>
      </w:r>
      <w:r w:rsidR="00D76FAB" w:rsidRPr="00D76FAB">
        <w:rPr>
          <w:rFonts w:ascii="Times New Roman" w:hAnsi="Times New Roman" w:cs="Times New Roman"/>
          <w:sz w:val="26"/>
          <w:szCs w:val="26"/>
        </w:rPr>
        <w:t>dos CRI</w:t>
      </w:r>
      <w:r w:rsidR="00D76FAB"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w:t>
      </w:r>
      <w:r w:rsidRPr="00EC508D">
        <w:rPr>
          <w:rFonts w:ascii="Times New Roman" w:hAnsi="Times New Roman"/>
          <w:sz w:val="26"/>
          <w:szCs w:val="26"/>
        </w:rPr>
        <w:t xml:space="preserve">conforme </w:t>
      </w:r>
      <w:r w:rsidRPr="006833EE">
        <w:rPr>
          <w:rFonts w:ascii="Times New Roman" w:hAnsi="Times New Roman" w:cs="Times New Roman"/>
          <w:sz w:val="26"/>
          <w:szCs w:val="26"/>
        </w:rPr>
        <w:t xml:space="preserve">definido na Cláusula </w:t>
      </w:r>
      <w:r w:rsidR="00875B38">
        <w:rPr>
          <w:rFonts w:ascii="Times New Roman" w:hAnsi="Times New Roman" w:cs="Times New Roman"/>
          <w:sz w:val="26"/>
          <w:szCs w:val="26"/>
        </w:rPr>
        <w:t>4.8, inciso I</w:t>
      </w:r>
      <w:r w:rsidRPr="006833EE">
        <w:rPr>
          <w:rFonts w:ascii="Times New Roman" w:hAnsi="Times New Roman" w:cs="Times New Roman"/>
          <w:sz w:val="26"/>
          <w:szCs w:val="26"/>
        </w:rPr>
        <w:t>, acima;</w:t>
      </w:r>
    </w:p>
    <w:p w14:paraId="39209D7C" w14:textId="77777777" w:rsidR="006833EE" w:rsidRPr="00EC508D" w:rsidRDefault="006833EE" w:rsidP="006833EE">
      <w:pPr>
        <w:pStyle w:val="Body"/>
        <w:spacing w:after="0" w:line="300" w:lineRule="exact"/>
        <w:ind w:left="1701"/>
        <w:rPr>
          <w:rFonts w:ascii="Times New Roman" w:hAnsi="Times New Roman"/>
          <w:sz w:val="26"/>
          <w:szCs w:val="26"/>
        </w:rPr>
      </w:pPr>
    </w:p>
    <w:p w14:paraId="33467411" w14:textId="6126F446" w:rsidR="006833EE" w:rsidRPr="00EC508D" w:rsidRDefault="006833EE" w:rsidP="006833EE">
      <w:pPr>
        <w:pStyle w:val="Body"/>
        <w:spacing w:after="0" w:line="300" w:lineRule="exact"/>
        <w:ind w:left="1701"/>
        <w:rPr>
          <w:rFonts w:ascii="Times New Roman" w:hAnsi="Times New Roman"/>
          <w:sz w:val="26"/>
          <w:szCs w:val="26"/>
        </w:rPr>
      </w:pPr>
      <w:r w:rsidRPr="006833EE">
        <w:rPr>
          <w:rFonts w:ascii="Times New Roman" w:hAnsi="Times New Roman" w:cs="Times New Roman"/>
          <w:sz w:val="26"/>
          <w:szCs w:val="26"/>
        </w:rPr>
        <w:t xml:space="preserve">VNEk = valor unitário de cada um dos "k" valores futuros devidos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conforme o caso, referenciados à Primeira Data de Integralização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w:t>
      </w:r>
      <w:r w:rsidRPr="00EC508D">
        <w:rPr>
          <w:rFonts w:ascii="Times New Roman" w:hAnsi="Times New Roman"/>
          <w:sz w:val="26"/>
          <w:szCs w:val="26"/>
        </w:rPr>
        <w:t>;</w:t>
      </w:r>
      <w:r w:rsidRPr="006833EE">
        <w:rPr>
          <w:rFonts w:ascii="Times New Roman" w:hAnsi="Times New Roman" w:cs="Times New Roman"/>
          <w:sz w:val="26"/>
          <w:szCs w:val="26"/>
        </w:rPr>
        <w:t xml:space="preserve"> </w:t>
      </w:r>
    </w:p>
    <w:p w14:paraId="30DF77BC" w14:textId="77777777" w:rsidR="006833EE" w:rsidRPr="00EC508D" w:rsidRDefault="006833EE" w:rsidP="006833EE">
      <w:pPr>
        <w:pStyle w:val="Body"/>
        <w:spacing w:after="0" w:line="300" w:lineRule="exact"/>
        <w:ind w:left="1701"/>
        <w:rPr>
          <w:rFonts w:ascii="Times New Roman" w:hAnsi="Times New Roman"/>
          <w:sz w:val="26"/>
          <w:szCs w:val="26"/>
        </w:rPr>
      </w:pPr>
    </w:p>
    <w:p w14:paraId="08012CAF" w14:textId="026B72C1"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833EE">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301BF0B2" w14:textId="77777777" w:rsidR="006833EE" w:rsidRPr="00EC508D" w:rsidRDefault="006833EE" w:rsidP="006833EE">
      <w:pPr>
        <w:pStyle w:val="Body"/>
        <w:spacing w:after="0" w:line="300" w:lineRule="exact"/>
        <w:ind w:left="1701"/>
        <w:rPr>
          <w:rFonts w:ascii="Times New Roman" w:hAnsi="Times New Roman"/>
          <w:sz w:val="26"/>
          <w:szCs w:val="26"/>
        </w:rPr>
      </w:pPr>
    </w:p>
    <w:p w14:paraId="3AED9C34" w14:textId="77777777" w:rsidR="006833EE" w:rsidRPr="006833EE" w:rsidRDefault="006833EE" w:rsidP="006833EE">
      <w:pPr>
        <w:pStyle w:val="Body"/>
        <w:spacing w:after="0" w:line="300" w:lineRule="exact"/>
        <w:ind w:left="1701"/>
        <w:rPr>
          <w:rFonts w:ascii="Times New Roman" w:hAnsi="Times New Roman" w:cs="Times New Roman"/>
          <w:sz w:val="26"/>
          <w:szCs w:val="26"/>
        </w:rPr>
      </w:pPr>
      <w:r w:rsidRPr="00EC508D">
        <w:rPr>
          <w:rFonts w:ascii="Times New Roman" w:hAnsi="Times New Roman"/>
          <w:sz w:val="26"/>
          <w:szCs w:val="26"/>
        </w:rPr>
        <w:t xml:space="preserve">FVPk = </w:t>
      </w:r>
      <w:r w:rsidRPr="006833EE">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EC508D" w:rsidRDefault="006833EE" w:rsidP="006833EE">
      <w:pPr>
        <w:pStyle w:val="Body"/>
        <w:spacing w:after="0" w:line="300" w:lineRule="exact"/>
        <w:ind w:left="1701"/>
        <w:rPr>
          <w:rFonts w:ascii="Times New Roman" w:hAnsi="Times New Roman"/>
          <w:sz w:val="26"/>
          <w:szCs w:val="26"/>
        </w:rPr>
      </w:pPr>
    </w:p>
    <w:p w14:paraId="16E9E58A" w14:textId="77777777" w:rsidR="006833EE" w:rsidRPr="006833EE" w:rsidRDefault="006833EE" w:rsidP="006833EE">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6833EE" w:rsidRDefault="006833EE" w:rsidP="006833EE">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TESOUROIPCA = taxa interna de retorno da NTN-B, com vencimento mais próximo à </w:t>
      </w:r>
      <w:r w:rsidRPr="006833EE">
        <w:rPr>
          <w:rFonts w:ascii="Times New Roman" w:hAnsi="Times New Roman" w:cs="Times New Roman"/>
          <w:i/>
          <w:sz w:val="26"/>
          <w:szCs w:val="26"/>
        </w:rPr>
        <w:t>duration</w:t>
      </w:r>
      <w:r w:rsidRPr="006833EE">
        <w:rPr>
          <w:rFonts w:ascii="Times New Roman" w:hAnsi="Times New Roman" w:cs="Times New Roman"/>
          <w:sz w:val="26"/>
          <w:szCs w:val="26"/>
        </w:rPr>
        <w:t xml:space="preserve"> remanescente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 e</w:t>
      </w:r>
    </w:p>
    <w:p w14:paraId="05ECEA46" w14:textId="77777777" w:rsidR="006833EE" w:rsidRPr="006833EE" w:rsidRDefault="006833EE" w:rsidP="006833EE">
      <w:pPr>
        <w:pStyle w:val="Body"/>
        <w:spacing w:after="0" w:line="300" w:lineRule="exact"/>
        <w:ind w:left="1701"/>
        <w:rPr>
          <w:rFonts w:ascii="Times New Roman" w:hAnsi="Times New Roman" w:cs="Times New Roman"/>
          <w:sz w:val="26"/>
          <w:szCs w:val="26"/>
        </w:rPr>
      </w:pPr>
    </w:p>
    <w:p w14:paraId="6CE434B4" w14:textId="03450D4A"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nk = </w:t>
      </w:r>
      <w:r w:rsidRPr="006833EE">
        <w:rPr>
          <w:rFonts w:ascii="Times New Roman" w:eastAsia="Arial" w:hAnsi="Times New Roman" w:cs="Times New Roman"/>
          <w:sz w:val="26"/>
          <w:szCs w:val="26"/>
          <w:lang w:eastAsia="en-GB"/>
        </w:rPr>
        <w:t xml:space="preserve">número de Dias Úteis entre a data do Resgate Antecipado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eastAsia="Arial" w:hAnsi="Times New Roman" w:cs="Times New Roman"/>
          <w:sz w:val="26"/>
          <w:szCs w:val="26"/>
          <w:lang w:eastAsia="en-GB"/>
        </w:rPr>
        <w:t>IPCA e a data de vencimento programada de cada parcela "k" vincenda.</w:t>
      </w:r>
    </w:p>
    <w:p w14:paraId="030A8280" w14:textId="416750A0" w:rsidR="005F5479" w:rsidRPr="00927E02" w:rsidRDefault="005F5479" w:rsidP="00EC508D">
      <w:pPr>
        <w:pStyle w:val="PargrafodaLista"/>
        <w:tabs>
          <w:tab w:val="left" w:pos="993"/>
        </w:tabs>
        <w:autoSpaceDE/>
        <w:autoSpaceDN/>
        <w:adjustRightInd/>
        <w:spacing w:line="300" w:lineRule="exact"/>
        <w:ind w:left="993"/>
        <w:jc w:val="both"/>
        <w:rPr>
          <w:sz w:val="26"/>
          <w:szCs w:val="26"/>
        </w:rPr>
      </w:pPr>
    </w:p>
    <w:p w14:paraId="0E8C3AE5" w14:textId="0B51948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w:t>
      </w:r>
      <w:r w:rsidRPr="00927E02">
        <w:rPr>
          <w:sz w:val="26"/>
          <w:szCs w:val="26"/>
        </w:rPr>
        <w:lastRenderedPageBreak/>
        <w:t xml:space="preserve">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53BB3D8E"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3" w:name="_Hlk58015396"/>
      <w:bookmarkStart w:id="144" w:name="_Hlk3500550"/>
    </w:p>
    <w:p w14:paraId="22DED556" w14:textId="416D069D"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EC508D">
        <w:rPr>
          <w:sz w:val="26"/>
          <w:szCs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43"/>
    </w:p>
    <w:bookmarkEnd w:id="140"/>
    <w:bookmarkEnd w:id="144"/>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5"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46"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 xml:space="preserve">cada </w:t>
      </w:r>
      <w:r w:rsidR="00100B05" w:rsidRPr="00927E02">
        <w:rPr>
          <w:sz w:val="26"/>
          <w:szCs w:val="26"/>
        </w:rPr>
        <w:lastRenderedPageBreak/>
        <w:t>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46"/>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7"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47"/>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8" w:name="_Ref130283570"/>
      <w:bookmarkStart w:id="149" w:name="_Ref130301134"/>
      <w:bookmarkStart w:id="150" w:name="_Ref137104995"/>
      <w:bookmarkStart w:id="151"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lastRenderedPageBreak/>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2"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2"/>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53"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w:t>
      </w:r>
      <w:r w:rsidRPr="00927E02">
        <w:rPr>
          <w:sz w:val="26"/>
          <w:szCs w:val="26"/>
        </w:rPr>
        <w:lastRenderedPageBreak/>
        <w:t xml:space="preserve">atas dos atos societários relativos à operação, o resgate das Debêntures correspondentes aos referidos CRI, mediante o pagamento (i) com relação aos CRI DI, do Valor Nominal Unitário dos CRI DI ou do saldo do Valor Nominal Unitário </w:t>
      </w:r>
      <w:r w:rsidRPr="00927E02">
        <w:rPr>
          <w:sz w:val="26"/>
          <w:szCs w:val="26"/>
        </w:rPr>
        <w:lastRenderedPageBreak/>
        <w:t xml:space="preserve">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Atualizado dos CRI IPCA ou do saldo do Valor Nominal Unitário Atualizado dos CRI IPCA, conforme o caso e se aplicável,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53"/>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4" w:name="_Ref272360045"/>
      <w:bookmarkStart w:id="155" w:name="_Ref278402643"/>
      <w:bookmarkStart w:id="156"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4"/>
      <w:bookmarkEnd w:id="155"/>
      <w:bookmarkEnd w:id="156"/>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57" w:name="_Ref466555020"/>
    </w:p>
    <w:p w14:paraId="31C0C795" w14:textId="6E4347C7"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lastRenderedPageBreak/>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57"/>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58"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58"/>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lastRenderedPageBreak/>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9" w:name="_Ref356481704"/>
      <w:bookmarkStart w:id="160" w:name="_Ref359943338"/>
      <w:bookmarkEnd w:id="148"/>
      <w:bookmarkEnd w:id="149"/>
      <w:bookmarkEnd w:id="150"/>
      <w:bookmarkEnd w:id="151"/>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59"/>
      <w:bookmarkEnd w:id="160"/>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1" w:name="_Ref466590056"/>
      <w:r w:rsidRPr="00927E02">
        <w:rPr>
          <w:sz w:val="26"/>
          <w:szCs w:val="26"/>
        </w:rPr>
        <w:lastRenderedPageBreak/>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1"/>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2"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2"/>
    </w:p>
    <w:p w14:paraId="011859B9" w14:textId="77777777" w:rsidR="000D15A5" w:rsidRPr="00927E02" w:rsidRDefault="000D15A5" w:rsidP="00E1140A">
      <w:pPr>
        <w:tabs>
          <w:tab w:val="num" w:pos="1701"/>
        </w:tabs>
        <w:spacing w:line="300" w:lineRule="exact"/>
        <w:ind w:left="1701" w:hanging="708"/>
        <w:rPr>
          <w:sz w:val="26"/>
          <w:szCs w:val="26"/>
        </w:rPr>
      </w:pPr>
      <w:bookmarkStart w:id="163"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3"/>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w:t>
      </w:r>
      <w:r w:rsidRPr="00927E02">
        <w:rPr>
          <w:sz w:val="26"/>
          <w:szCs w:val="26"/>
        </w:rPr>
        <w:lastRenderedPageBreak/>
        <w:t xml:space="preserve">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w:t>
      </w:r>
      <w:r w:rsidRPr="00927E02">
        <w:rPr>
          <w:sz w:val="26"/>
          <w:szCs w:val="26"/>
        </w:rPr>
        <w:lastRenderedPageBreak/>
        <w:t xml:space="preserve">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4"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4"/>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5" w:name="_DV_M126"/>
      <w:bookmarkEnd w:id="165"/>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3C4D621"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6"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5"/>
    <w:bookmarkEnd w:id="166"/>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w:t>
      </w:r>
      <w:r w:rsidRPr="00927E02">
        <w:rPr>
          <w:color w:val="000000"/>
          <w:sz w:val="26"/>
          <w:szCs w:val="26"/>
          <w14:ligatures w14:val="standard"/>
        </w:rPr>
        <w:lastRenderedPageBreak/>
        <w:t xml:space="preserve">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3B34107E"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w:t>
      </w:r>
      <w:r w:rsidRPr="00927E02">
        <w:rPr>
          <w:color w:val="000000"/>
          <w:sz w:val="26"/>
          <w:szCs w:val="26"/>
          <w14:ligatures w14:val="standard"/>
        </w:rPr>
        <w:lastRenderedPageBreak/>
        <w:t xml:space="preserve">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5769960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67" w:name="_Hlk3501569"/>
      <w:bookmarkStart w:id="168"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w:t>
      </w:r>
      <w:r w:rsidRPr="00927E02">
        <w:rPr>
          <w:sz w:val="26"/>
          <w:szCs w:val="26"/>
        </w:rPr>
        <w:lastRenderedPageBreak/>
        <w:t xml:space="preserve">(sessenta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34DBA92C" w14:textId="45BFFEDF" w:rsidR="00677F00" w:rsidRPr="00EC508D"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69" w:name="_Hlk57835642"/>
      <w:r w:rsidRPr="00677F00">
        <w:rPr>
          <w:sz w:val="26"/>
          <w:szCs w:val="26"/>
        </w:rPr>
        <w:t xml:space="preserve">Por ocasião da Amortização Extraordinária </w:t>
      </w:r>
      <w:r w:rsidR="007C2CE0" w:rsidRPr="00677F00">
        <w:rPr>
          <w:sz w:val="26"/>
          <w:szCs w:val="26"/>
        </w:rPr>
        <w:t xml:space="preserve">dos CRI </w:t>
      </w:r>
      <w:r w:rsidRPr="00677F00">
        <w:rPr>
          <w:sz w:val="26"/>
          <w:szCs w:val="26"/>
        </w:rPr>
        <w:t xml:space="preserve">IPCA, o valor a ser pago pela </w:t>
      </w:r>
      <w:r w:rsidR="007C2CE0" w:rsidRPr="00677F00">
        <w:rPr>
          <w:sz w:val="26"/>
          <w:szCs w:val="26"/>
        </w:rPr>
        <w:t>Emissora</w:t>
      </w:r>
      <w:r w:rsidRPr="00677F00">
        <w:rPr>
          <w:sz w:val="26"/>
          <w:szCs w:val="26"/>
        </w:rPr>
        <w:t xml:space="preserve"> </w:t>
      </w:r>
      <w:r w:rsidR="007C2CE0" w:rsidRPr="00677F00">
        <w:rPr>
          <w:sz w:val="26"/>
          <w:szCs w:val="26"/>
        </w:rPr>
        <w:t xml:space="preserve">aos Titulares de CRI IPCA </w:t>
      </w:r>
      <w:r w:rsidRPr="00677F00">
        <w:rPr>
          <w:sz w:val="26"/>
          <w:szCs w:val="26"/>
        </w:rPr>
        <w:t xml:space="preserve">em relação a cada um </w:t>
      </w:r>
      <w:r w:rsidR="007C2CE0" w:rsidRPr="00677F00">
        <w:rPr>
          <w:sz w:val="26"/>
          <w:szCs w:val="26"/>
        </w:rPr>
        <w:t>dos CRI</w:t>
      </w:r>
      <w:r w:rsidRPr="00677F00">
        <w:rPr>
          <w:sz w:val="26"/>
          <w:szCs w:val="26"/>
        </w:rPr>
        <w:t xml:space="preserve"> IPCA será equivalente </w:t>
      </w:r>
      <w:r w:rsidR="00677F00" w:rsidRPr="00EC508D">
        <w:rPr>
          <w:sz w:val="26"/>
          <w:szCs w:val="26"/>
        </w:rPr>
        <w:t>ao valor indicado no item (i) ou no item (ii) abaixo, dos 2 (dois), o que for maior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u w:val="single"/>
        </w:rPr>
        <w:t xml:space="preserve"> IPCA</w:t>
      </w:r>
      <w:r w:rsidR="00677F00" w:rsidRPr="00EC508D">
        <w:rPr>
          <w:sz w:val="26"/>
          <w:szCs w:val="26"/>
        </w:rPr>
        <w:t xml:space="preserve">" e, quando em conjunto com o Preço de Amortização Extraordinária </w:t>
      </w:r>
      <w:r w:rsidR="00677F00">
        <w:rPr>
          <w:sz w:val="26"/>
          <w:szCs w:val="26"/>
        </w:rPr>
        <w:t>dos CRI</w:t>
      </w:r>
      <w:r w:rsidR="00677F00" w:rsidRPr="00EC508D">
        <w:rPr>
          <w:sz w:val="26"/>
          <w:szCs w:val="26"/>
        </w:rPr>
        <w:t xml:space="preserve"> DI,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rPr>
        <w:t>"):</w:t>
      </w:r>
    </w:p>
    <w:p w14:paraId="69F5CB6F" w14:textId="77777777" w:rsidR="00677F00" w:rsidRPr="00EC508D" w:rsidRDefault="00677F00" w:rsidP="00677F00">
      <w:pPr>
        <w:pStyle w:val="PargrafodaLista"/>
        <w:tabs>
          <w:tab w:val="left" w:pos="993"/>
        </w:tabs>
        <w:spacing w:line="300" w:lineRule="exact"/>
        <w:ind w:left="993"/>
        <w:rPr>
          <w:sz w:val="26"/>
          <w:szCs w:val="26"/>
        </w:rPr>
      </w:pPr>
    </w:p>
    <w:p w14:paraId="158A41FC" w14:textId="5E793075"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t xml:space="preserve">à parcela do Valor Nominal Unitário Atualizado </w:t>
      </w:r>
      <w:r>
        <w:rPr>
          <w:sz w:val="26"/>
          <w:szCs w:val="26"/>
        </w:rPr>
        <w:t>dos CRI</w:t>
      </w:r>
      <w:r w:rsidRPr="00EC508D">
        <w:rPr>
          <w:sz w:val="26"/>
          <w:szCs w:val="26"/>
        </w:rPr>
        <w:t xml:space="preserve"> IPCA </w:t>
      </w:r>
      <w:r w:rsidRPr="00EC508D">
        <w:rPr>
          <w:rFonts w:eastAsiaTheme="minorHAnsi"/>
          <w:sz w:val="26"/>
          <w:szCs w:val="26"/>
        </w:rPr>
        <w:t>objeto da Amortização Extraordinária</w:t>
      </w:r>
      <w:r w:rsidRPr="00EC508D">
        <w:rPr>
          <w:sz w:val="26"/>
          <w:szCs w:val="26"/>
        </w:rPr>
        <w:t xml:space="preserve">, acrescido (a) da respectiva Remuneração IPCA, calculada </w:t>
      </w:r>
      <w:r w:rsidRPr="00EC508D">
        <w:rPr>
          <w:i/>
          <w:iCs/>
          <w:sz w:val="26"/>
          <w:szCs w:val="26"/>
        </w:rPr>
        <w:t>pro rata temporis</w:t>
      </w:r>
      <w:r w:rsidRPr="00EC508D">
        <w:rPr>
          <w:sz w:val="26"/>
          <w:szCs w:val="26"/>
        </w:rPr>
        <w:t xml:space="preserve"> desde a Primeira Data de Integralização </w:t>
      </w:r>
      <w:r>
        <w:rPr>
          <w:sz w:val="26"/>
          <w:szCs w:val="26"/>
        </w:rPr>
        <w:t>dos CRI</w:t>
      </w:r>
      <w:r w:rsidRPr="00677F00">
        <w:rPr>
          <w:sz w:val="26"/>
          <w:szCs w:val="26"/>
        </w:rPr>
        <w:t xml:space="preserve"> </w:t>
      </w:r>
      <w:r w:rsidRPr="00EC508D">
        <w:rPr>
          <w:sz w:val="26"/>
          <w:szCs w:val="26"/>
        </w:rPr>
        <w:t xml:space="preserve">IPCA ou a Data de Pagamento da Remuneração IPCA imediatamente anterior, conforme o caso, inclusive, até a data da efetiva Amortização Extraordinária </w:t>
      </w:r>
      <w:r>
        <w:rPr>
          <w:sz w:val="26"/>
          <w:szCs w:val="26"/>
        </w:rPr>
        <w:t>dos CRI</w:t>
      </w:r>
      <w:r w:rsidRPr="00677F00">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EC508D">
        <w:rPr>
          <w:sz w:val="26"/>
          <w:szCs w:val="26"/>
        </w:rPr>
        <w:t xml:space="preserve">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6A0B1DB4"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r w:rsidRPr="00EC508D">
        <w:rPr>
          <w:i/>
          <w:iCs/>
          <w:sz w:val="26"/>
          <w:szCs w:val="26"/>
        </w:rPr>
        <w:t>duration</w:t>
      </w:r>
      <w:r w:rsidRPr="00EC508D">
        <w:rPr>
          <w:sz w:val="26"/>
          <w:szCs w:val="26"/>
        </w:rPr>
        <w:t xml:space="preserve"> remanescente </w:t>
      </w:r>
      <w:r>
        <w:rPr>
          <w:sz w:val="26"/>
          <w:szCs w:val="26"/>
        </w:rPr>
        <w:t>dos CRI</w:t>
      </w:r>
      <w:r w:rsidRPr="00677F00">
        <w:rPr>
          <w:sz w:val="26"/>
          <w:szCs w:val="26"/>
        </w:rPr>
        <w:t xml:space="preserve"> </w:t>
      </w:r>
      <w:r w:rsidRPr="00EC508D">
        <w:rPr>
          <w:sz w:val="26"/>
          <w:szCs w:val="26"/>
        </w:rPr>
        <w:t xml:space="preserve">IPCA, na data da Amortização Extraordinária </w:t>
      </w:r>
      <w:r>
        <w:rPr>
          <w:sz w:val="26"/>
          <w:szCs w:val="26"/>
        </w:rPr>
        <w:t>dos CRI</w:t>
      </w:r>
      <w:r w:rsidRPr="00677F00">
        <w:rPr>
          <w:sz w:val="26"/>
          <w:szCs w:val="26"/>
        </w:rPr>
        <w:t xml:space="preserve"> </w:t>
      </w:r>
      <w:r w:rsidRPr="00EC508D">
        <w:rPr>
          <w:sz w:val="26"/>
          <w:szCs w:val="26"/>
        </w:rPr>
        <w:t>IPCA, utilizando-se a cotação indicativa divulgada pela ANBIMA em sua página na rede mundial de computadores (</w:t>
      </w:r>
      <w:hyperlink r:id="rId29" w:history="1">
        <w:r w:rsidRPr="00EC508D">
          <w:rPr>
            <w:rStyle w:val="Hyperlink"/>
            <w:sz w:val="26"/>
            <w:szCs w:val="26"/>
          </w:rPr>
          <w:t>http://www.anbima.com.br</w:t>
        </w:r>
      </w:hyperlink>
      <w:r w:rsidRPr="00EC508D">
        <w:rPr>
          <w:sz w:val="26"/>
          <w:szCs w:val="26"/>
        </w:rPr>
        <w:t xml:space="preserve">) apurada no segundo Dia Útil imediatamente anterior à data da Amortização Extraordinária </w:t>
      </w:r>
      <w:r>
        <w:rPr>
          <w:sz w:val="26"/>
          <w:szCs w:val="26"/>
        </w:rPr>
        <w:t>dos CRI</w:t>
      </w:r>
      <w:r w:rsidRPr="00677F00">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w:t>
      </w:r>
      <w:r w:rsidRPr="00EC508D">
        <w:rPr>
          <w:rStyle w:val="DeltaViewInsertion"/>
          <w:color w:val="auto"/>
          <w:sz w:val="26"/>
          <w:szCs w:val="26"/>
          <w:u w:val="none"/>
        </w:rPr>
        <w:t xml:space="preserve">multiplicado pelo percentual de Amortização Extraordinária </w:t>
      </w:r>
      <w:r>
        <w:rPr>
          <w:sz w:val="26"/>
          <w:szCs w:val="26"/>
        </w:rPr>
        <w:t>dos CRI</w:t>
      </w:r>
      <w:r w:rsidRPr="00677F00">
        <w:rPr>
          <w:rStyle w:val="DeltaViewInsertion"/>
          <w:color w:val="auto"/>
          <w:sz w:val="26"/>
          <w:szCs w:val="26"/>
          <w:u w:val="none"/>
        </w:rPr>
        <w:t xml:space="preserve"> </w:t>
      </w:r>
      <w:r w:rsidRPr="00EC508D">
        <w:rPr>
          <w:rStyle w:val="DeltaViewInsertion"/>
          <w:color w:val="auto"/>
          <w:sz w:val="26"/>
          <w:szCs w:val="26"/>
          <w:u w:val="none"/>
        </w:rPr>
        <w:t>IPCA,</w:t>
      </w:r>
      <w:r w:rsidRPr="00EC508D">
        <w:rPr>
          <w:sz w:val="26"/>
          <w:szCs w:val="26"/>
        </w:rPr>
        <w:t xml:space="preserve"> e (b) dos Encargos Moratórios, se houver; e (c) de quaisquer obrigações pecuniárias e outros acréscimos referentes </w:t>
      </w:r>
      <w:r>
        <w:rPr>
          <w:sz w:val="26"/>
          <w:szCs w:val="26"/>
        </w:rPr>
        <w:t>aos CRI</w:t>
      </w:r>
      <w:r w:rsidRPr="00677F00">
        <w:rPr>
          <w:sz w:val="26"/>
          <w:szCs w:val="26"/>
        </w:rPr>
        <w:t xml:space="preserve"> </w:t>
      </w:r>
      <w:r w:rsidRPr="00EC508D">
        <w:rPr>
          <w:sz w:val="26"/>
          <w:szCs w:val="26"/>
        </w:rPr>
        <w:t xml:space="preserve">IPCA: </w:t>
      </w:r>
    </w:p>
    <w:p w14:paraId="27D7B5E0" w14:textId="77777777" w:rsidR="00677F00" w:rsidRPr="00EC508D" w:rsidRDefault="00677F00" w:rsidP="00677F00">
      <w:pPr>
        <w:pStyle w:val="PargrafodaLista"/>
        <w:rPr>
          <w:sz w:val="26"/>
          <w:szCs w:val="26"/>
        </w:rPr>
      </w:pPr>
    </w:p>
    <w:p w14:paraId="196910A5" w14:textId="77777777" w:rsidR="00677F00" w:rsidRPr="00EC508D" w:rsidRDefault="00677F00" w:rsidP="00677F00">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CAmortização</m:t>
                      </m:r>
                    </m:e>
                  </m:d>
                </m:e>
              </m:nary>
              <m:ctrlPr>
                <w:rPr>
                  <w:rFonts w:ascii="Cambria Math" w:hAnsi="Cambria Math"/>
                  <w:i/>
                  <w:sz w:val="26"/>
                  <w:szCs w:val="26"/>
                </w:rPr>
              </m:ctrlPr>
            </m:e>
          </m:d>
          <m:r>
            <w:rPr>
              <w:rFonts w:ascii="Cambria Math" w:hAnsi="Cambria Math"/>
              <w:sz w:val="26"/>
              <w:szCs w:val="26"/>
            </w:rPr>
            <m:t xml:space="preserve"> x P</m:t>
          </m:r>
        </m:oMath>
      </m:oMathPara>
    </w:p>
    <w:p w14:paraId="6EB03B3E" w14:textId="77777777" w:rsidR="00677F00" w:rsidRPr="00EC508D" w:rsidRDefault="00677F00" w:rsidP="00677F00">
      <w:pPr>
        <w:pStyle w:val="Body"/>
        <w:spacing w:after="240" w:line="320" w:lineRule="exact"/>
        <w:ind w:left="1701"/>
        <w:rPr>
          <w:rFonts w:ascii="Garamond" w:hAnsi="Garamond"/>
          <w:sz w:val="26"/>
          <w:szCs w:val="26"/>
        </w:rPr>
      </w:pPr>
    </w:p>
    <w:p w14:paraId="79DDA74A" w14:textId="66E12D23"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77F00">
        <w:rPr>
          <w:rFonts w:ascii="Times New Roman" w:hAnsi="Times New Roman" w:cs="Times New Roman"/>
          <w:sz w:val="26"/>
          <w:szCs w:val="26"/>
        </w:rPr>
        <w:t>das parcelas de pagamento dos CRI IPCA;</w:t>
      </w:r>
    </w:p>
    <w:p w14:paraId="4767C622" w14:textId="77777777" w:rsidR="00677F00" w:rsidRPr="00677F00"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EC508D" w:rsidRDefault="00677F00" w:rsidP="00677F00">
      <w:pPr>
        <w:pStyle w:val="Body"/>
        <w:spacing w:after="0" w:line="300" w:lineRule="exact"/>
        <w:ind w:left="1701"/>
        <w:rPr>
          <w:rFonts w:ascii="Times New Roman" w:hAnsi="Times New Roman"/>
          <w:sz w:val="26"/>
          <w:szCs w:val="26"/>
        </w:rPr>
      </w:pPr>
      <w:r w:rsidRPr="00677F00">
        <w:rPr>
          <w:rFonts w:ascii="Times New Roman" w:hAnsi="Times New Roman" w:cs="Times New Roman"/>
          <w:sz w:val="26"/>
          <w:szCs w:val="26"/>
        </w:rPr>
        <w:t xml:space="preserve">CAmortização = fator C acumulado até a data da Amortização Extraordinária dos CRI IPCA, </w:t>
      </w:r>
      <w:r w:rsidRPr="00EC508D">
        <w:rPr>
          <w:rFonts w:ascii="Times New Roman" w:hAnsi="Times New Roman"/>
          <w:sz w:val="26"/>
          <w:szCs w:val="26"/>
        </w:rPr>
        <w:t xml:space="preserve">conforme </w:t>
      </w:r>
      <w:r w:rsidRPr="00677F00">
        <w:rPr>
          <w:rFonts w:ascii="Times New Roman" w:hAnsi="Times New Roman" w:cs="Times New Roman"/>
          <w:sz w:val="26"/>
          <w:szCs w:val="26"/>
        </w:rPr>
        <w:t xml:space="preserve">definido na Cláusula </w:t>
      </w:r>
      <w:r w:rsidR="00CB6F09">
        <w:rPr>
          <w:rFonts w:ascii="Times New Roman" w:hAnsi="Times New Roman" w:cs="Times New Roman"/>
          <w:sz w:val="26"/>
          <w:szCs w:val="26"/>
        </w:rPr>
        <w:t>4.8, inciso I,</w:t>
      </w:r>
      <w:r w:rsidRPr="00677F00">
        <w:rPr>
          <w:rFonts w:ascii="Times New Roman" w:hAnsi="Times New Roman" w:cs="Times New Roman"/>
          <w:sz w:val="26"/>
          <w:szCs w:val="26"/>
        </w:rPr>
        <w:t xml:space="preserve"> acima;</w:t>
      </w:r>
    </w:p>
    <w:p w14:paraId="7FDD641C" w14:textId="77777777" w:rsidR="00677F00" w:rsidRPr="00EC508D" w:rsidRDefault="00677F00" w:rsidP="00677F00">
      <w:pPr>
        <w:pStyle w:val="Body"/>
        <w:spacing w:after="0" w:line="300" w:lineRule="exact"/>
        <w:ind w:left="1701"/>
        <w:rPr>
          <w:rFonts w:ascii="Times New Roman" w:hAnsi="Times New Roman"/>
          <w:sz w:val="26"/>
          <w:szCs w:val="26"/>
        </w:rPr>
      </w:pPr>
    </w:p>
    <w:p w14:paraId="6B568ADE" w14:textId="0903BDAE" w:rsidR="00677F00" w:rsidRPr="00EC508D" w:rsidRDefault="00677F00" w:rsidP="00677F00">
      <w:pPr>
        <w:pStyle w:val="Body"/>
        <w:spacing w:after="0" w:line="300" w:lineRule="exact"/>
        <w:ind w:left="1701"/>
        <w:rPr>
          <w:rFonts w:ascii="Times New Roman" w:hAnsi="Times New Roman"/>
          <w:sz w:val="26"/>
          <w:szCs w:val="26"/>
        </w:rPr>
      </w:pPr>
      <w:r w:rsidRPr="00677F00">
        <w:rPr>
          <w:rFonts w:ascii="Times New Roman" w:hAnsi="Times New Roman" w:cs="Times New Roman"/>
          <w:sz w:val="26"/>
          <w:szCs w:val="26"/>
        </w:rPr>
        <w:t>VNEk = valor unitário de cada um dos "k" valores futuros devidos dos CRI IPCA, sendo o valor de cada parcela "k" equivalente ao pagamento da Remuneração IPCA e/ou à amortização do Valor Nominal Unitário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 conforme o caso, referenciados à Primeira Data de Integralização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w:t>
      </w:r>
      <w:r w:rsidRPr="00EC508D">
        <w:rPr>
          <w:rFonts w:ascii="Times New Roman" w:hAnsi="Times New Roman"/>
          <w:sz w:val="26"/>
          <w:szCs w:val="26"/>
        </w:rPr>
        <w:t>;</w:t>
      </w:r>
    </w:p>
    <w:p w14:paraId="721A5ADC" w14:textId="77777777" w:rsidR="00677F00" w:rsidRPr="00EC508D" w:rsidRDefault="00677F00" w:rsidP="00677F00">
      <w:pPr>
        <w:pStyle w:val="Body"/>
        <w:spacing w:after="0" w:line="300" w:lineRule="exact"/>
        <w:ind w:left="1701"/>
        <w:rPr>
          <w:rFonts w:ascii="Times New Roman" w:hAnsi="Times New Roman"/>
          <w:sz w:val="26"/>
          <w:szCs w:val="26"/>
        </w:rPr>
      </w:pPr>
    </w:p>
    <w:p w14:paraId="781C9FA2" w14:textId="11FA118C" w:rsidR="00677F00" w:rsidRPr="00EC508D" w:rsidRDefault="00677F00" w:rsidP="00677F00">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77F00">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Pr="00677F00">
        <w:rPr>
          <w:rFonts w:ascii="Times New Roman" w:hAnsi="Times New Roman" w:cs="Times New Roman"/>
          <w:sz w:val="26"/>
          <w:szCs w:val="26"/>
        </w:rPr>
        <w:t>dos CRI</w:t>
      </w:r>
      <w:r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7D24F179" w14:textId="77777777" w:rsidR="00677F00" w:rsidRPr="00EC508D" w:rsidRDefault="00677F00" w:rsidP="00677F00">
      <w:pPr>
        <w:pStyle w:val="Body"/>
        <w:spacing w:after="0" w:line="300" w:lineRule="exact"/>
        <w:ind w:left="1701"/>
        <w:rPr>
          <w:rFonts w:ascii="Times New Roman" w:hAnsi="Times New Roman"/>
          <w:sz w:val="26"/>
          <w:szCs w:val="26"/>
        </w:rPr>
      </w:pPr>
    </w:p>
    <w:p w14:paraId="0D50B741" w14:textId="77777777" w:rsidR="00677F00" w:rsidRPr="00677F00" w:rsidRDefault="00677F00" w:rsidP="00677F00">
      <w:pPr>
        <w:pStyle w:val="Body"/>
        <w:spacing w:after="0" w:line="300" w:lineRule="exact"/>
        <w:ind w:left="1701"/>
        <w:rPr>
          <w:rFonts w:ascii="Times New Roman" w:hAnsi="Times New Roman" w:cs="Times New Roman"/>
          <w:sz w:val="26"/>
          <w:szCs w:val="26"/>
        </w:rPr>
      </w:pPr>
      <w:r w:rsidRPr="00EC508D">
        <w:rPr>
          <w:rFonts w:ascii="Times New Roman" w:hAnsi="Times New Roman"/>
          <w:sz w:val="26"/>
          <w:szCs w:val="26"/>
        </w:rPr>
        <w:t xml:space="preserve">FVPk = </w:t>
      </w:r>
      <w:r w:rsidRPr="00677F00">
        <w:rPr>
          <w:rFonts w:ascii="Times New Roman" w:hAnsi="Times New Roman" w:cs="Times New Roman"/>
          <w:sz w:val="26"/>
          <w:szCs w:val="26"/>
        </w:rPr>
        <w:t>fator de valor presente, apurado conforme fórmula a seguir, calculado com 9 (nove) casas decimais, com arredondamento:</w:t>
      </w:r>
    </w:p>
    <w:p w14:paraId="6C92FBAC" w14:textId="77777777" w:rsidR="00677F00" w:rsidRPr="00EC508D" w:rsidRDefault="00677F00" w:rsidP="00677F00">
      <w:pPr>
        <w:pStyle w:val="Body"/>
        <w:spacing w:after="0" w:line="300" w:lineRule="exact"/>
        <w:ind w:left="1701"/>
        <w:rPr>
          <w:rFonts w:ascii="Times New Roman" w:hAnsi="Times New Roman"/>
          <w:sz w:val="26"/>
          <w:szCs w:val="26"/>
        </w:rPr>
      </w:pPr>
    </w:p>
    <w:p w14:paraId="5DCDE520" w14:textId="77777777" w:rsidR="00677F00" w:rsidRPr="00677F00"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677F00"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TESOUROIPCA = taxa interna de retorno da NTN-B, com vencimento mais próximo à </w:t>
      </w:r>
      <w:r w:rsidRPr="00677F00">
        <w:rPr>
          <w:rFonts w:ascii="Times New Roman" w:hAnsi="Times New Roman" w:cs="Times New Roman"/>
          <w:i/>
          <w:sz w:val="26"/>
          <w:szCs w:val="26"/>
        </w:rPr>
        <w:t>duration</w:t>
      </w:r>
      <w:r w:rsidRPr="00677F00">
        <w:rPr>
          <w:rFonts w:ascii="Times New Roman" w:hAnsi="Times New Roman" w:cs="Times New Roman"/>
          <w:sz w:val="26"/>
          <w:szCs w:val="26"/>
        </w:rPr>
        <w:t xml:space="preserve"> remanescente dos CRI IPCA;</w:t>
      </w:r>
    </w:p>
    <w:p w14:paraId="56E01F02" w14:textId="77777777" w:rsidR="00677F00" w:rsidRPr="00677F00" w:rsidRDefault="00677F00">
      <w:pPr>
        <w:pStyle w:val="Body"/>
        <w:spacing w:after="0" w:line="300" w:lineRule="exact"/>
        <w:ind w:left="1701"/>
        <w:rPr>
          <w:rFonts w:ascii="Times New Roman" w:hAnsi="Times New Roman" w:cs="Times New Roman"/>
          <w:sz w:val="26"/>
          <w:szCs w:val="26"/>
        </w:rPr>
      </w:pPr>
    </w:p>
    <w:p w14:paraId="6F12673E" w14:textId="59EDA058" w:rsidR="00677F00" w:rsidRPr="00EC508D" w:rsidRDefault="00677F00" w:rsidP="00EC508D">
      <w:pPr>
        <w:pStyle w:val="PargrafodaLista"/>
        <w:tabs>
          <w:tab w:val="left" w:pos="1701"/>
        </w:tabs>
        <w:spacing w:line="300" w:lineRule="exact"/>
        <w:ind w:left="1701"/>
        <w:jc w:val="both"/>
        <w:rPr>
          <w:rFonts w:eastAsia="Arial"/>
          <w:sz w:val="26"/>
          <w:szCs w:val="26"/>
        </w:rPr>
      </w:pPr>
      <w:r w:rsidRPr="00EC508D">
        <w:rPr>
          <w:rFonts w:eastAsia="Arial"/>
          <w:sz w:val="26"/>
          <w:szCs w:val="26"/>
        </w:rPr>
        <w:t xml:space="preserve">nk = número de Dias Úteis entre a data da Amortização Extraordinária </w:t>
      </w:r>
      <w:r w:rsidRPr="00677F00">
        <w:rPr>
          <w:sz w:val="26"/>
          <w:szCs w:val="26"/>
        </w:rPr>
        <w:t>dos CRI</w:t>
      </w:r>
      <w:r w:rsidRPr="00811DA3">
        <w:rPr>
          <w:sz w:val="26"/>
          <w:szCs w:val="26"/>
        </w:rPr>
        <w:t xml:space="preserve"> </w:t>
      </w:r>
      <w:r w:rsidRPr="00EC508D">
        <w:rPr>
          <w:rFonts w:eastAsia="Arial"/>
          <w:sz w:val="26"/>
          <w:szCs w:val="26"/>
        </w:rPr>
        <w:t xml:space="preserve">IPCA e a data de vencimento </w:t>
      </w:r>
      <w:r w:rsidRPr="00EC508D">
        <w:rPr>
          <w:rFonts w:eastAsia="Arial"/>
          <w:sz w:val="26"/>
          <w:szCs w:val="26"/>
          <w:lang w:eastAsia="en-GB"/>
        </w:rPr>
        <w:t xml:space="preserve">programada </w:t>
      </w:r>
      <w:r w:rsidRPr="00EC508D">
        <w:rPr>
          <w:rFonts w:eastAsia="Arial"/>
          <w:sz w:val="26"/>
          <w:szCs w:val="26"/>
        </w:rPr>
        <w:t xml:space="preserve">de cada </w:t>
      </w:r>
      <w:r w:rsidRPr="00EC508D">
        <w:rPr>
          <w:rFonts w:eastAsia="Arial"/>
          <w:sz w:val="26"/>
          <w:szCs w:val="26"/>
          <w:lang w:eastAsia="en-GB"/>
        </w:rPr>
        <w:t>parcela "k" vincenda</w:t>
      </w:r>
      <w:r w:rsidRPr="00EC508D">
        <w:rPr>
          <w:rFonts w:eastAsia="Arial"/>
          <w:sz w:val="26"/>
          <w:szCs w:val="26"/>
        </w:rPr>
        <w:t>; e</w:t>
      </w:r>
    </w:p>
    <w:p w14:paraId="300F955C" w14:textId="77777777" w:rsidR="00677F00" w:rsidRPr="00EC508D" w:rsidRDefault="00677F00" w:rsidP="00EC508D">
      <w:pPr>
        <w:pStyle w:val="PargrafodaLista"/>
        <w:tabs>
          <w:tab w:val="left" w:pos="1701"/>
        </w:tabs>
        <w:spacing w:line="300" w:lineRule="exact"/>
        <w:ind w:left="1701"/>
        <w:jc w:val="both"/>
        <w:rPr>
          <w:rFonts w:eastAsia="Arial"/>
          <w:sz w:val="26"/>
          <w:szCs w:val="26"/>
          <w:lang w:eastAsia="en-GB"/>
        </w:rPr>
      </w:pPr>
    </w:p>
    <w:p w14:paraId="60E1AA2F" w14:textId="3A103102" w:rsidR="00677F00" w:rsidRPr="00EC508D" w:rsidRDefault="00677F00" w:rsidP="00EC508D">
      <w:pPr>
        <w:pStyle w:val="PargrafodaLista"/>
        <w:tabs>
          <w:tab w:val="left" w:pos="1701"/>
        </w:tabs>
        <w:spacing w:line="300" w:lineRule="exact"/>
        <w:ind w:left="1701"/>
        <w:jc w:val="both"/>
        <w:rPr>
          <w:sz w:val="26"/>
          <w:szCs w:val="26"/>
        </w:rPr>
      </w:pPr>
      <w:r w:rsidRPr="00EC508D">
        <w:rPr>
          <w:sz w:val="26"/>
          <w:szCs w:val="26"/>
        </w:rPr>
        <w:t xml:space="preserve">P = percentual de Amortização Extraordinária </w:t>
      </w:r>
      <w:r w:rsidRPr="00677F00">
        <w:rPr>
          <w:sz w:val="26"/>
          <w:szCs w:val="26"/>
        </w:rPr>
        <w:t>dos CRI</w:t>
      </w:r>
      <w:r w:rsidRPr="00EC508D">
        <w:rPr>
          <w:sz w:val="26"/>
          <w:szCs w:val="26"/>
        </w:rPr>
        <w:t xml:space="preserve">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lastRenderedPageBreak/>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66F36905"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70" w:name="_Hlk3501676"/>
      <w:bookmarkEnd w:id="167"/>
      <w:bookmarkEnd w:id="169"/>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CC86759"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acima, serão</w:t>
      </w:r>
      <w:r w:rsidRPr="00927E02">
        <w:rPr>
          <w:sz w:val="26"/>
          <w:szCs w:val="26"/>
        </w:rPr>
        <w:lastRenderedPageBreak/>
        <w:t xml:space="preserve">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w:t>
      </w:r>
      <w:r w:rsidR="00163BB8" w:rsidRPr="00927E02">
        <w:rPr>
          <w:sz w:val="26"/>
          <w:szCs w:val="26"/>
        </w:rPr>
        <w:lastRenderedPageBreak/>
        <w:t>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68"/>
    <w:bookmarkEnd w:id="170"/>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24C5419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 xml:space="preserve">Total das </w:t>
      </w:r>
      <w:r w:rsidR="000C6284" w:rsidRPr="00927E02">
        <w:rPr>
          <w:color w:val="000000"/>
          <w:sz w:val="26"/>
          <w:szCs w:val="26"/>
          <w14:ligatures w14:val="standard"/>
        </w:rPr>
        <w:lastRenderedPageBreak/>
        <w:t>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522C1106"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1" w:name="_DV_M110"/>
      <w:bookmarkStart w:id="172" w:name="_DV_M109"/>
      <w:bookmarkStart w:id="173" w:name="_Toc422473374"/>
      <w:bookmarkStart w:id="174" w:name="_Toc428208323"/>
      <w:bookmarkStart w:id="175" w:name="_Toc110076265"/>
      <w:bookmarkStart w:id="176" w:name="_Toc163380704"/>
      <w:bookmarkStart w:id="177" w:name="_Toc180553620"/>
      <w:bookmarkStart w:id="178" w:name="_Toc205799095"/>
      <w:bookmarkStart w:id="179" w:name="_Toc241983070"/>
      <w:bookmarkEnd w:id="171"/>
      <w:bookmarkEnd w:id="172"/>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3"/>
      <w:bookmarkEnd w:id="174"/>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80"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w:t>
      </w:r>
      <w:r w:rsidRPr="00927E02">
        <w:rPr>
          <w:color w:val="000000"/>
          <w:sz w:val="26"/>
          <w:szCs w:val="26"/>
          <w14:ligatures w14:val="standard"/>
        </w:rPr>
        <w:lastRenderedPageBreak/>
        <w:t>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w:t>
      </w:r>
      <w:r w:rsidR="00C04F75" w:rsidRPr="00927E02">
        <w:rPr>
          <w:sz w:val="26"/>
          <w:szCs w:val="26"/>
          <w14:ligatures w14:val="standard"/>
        </w:rPr>
        <w:lastRenderedPageBreak/>
        <w:t>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80"/>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1" w:name="_Toc422473375"/>
      <w:bookmarkStart w:id="182"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1"/>
      <w:bookmarkEnd w:id="182"/>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3"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4"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84"/>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 xml:space="preserve">CRI, </w:t>
      </w:r>
      <w:r w:rsidRPr="00927E02">
        <w:rPr>
          <w:sz w:val="26"/>
          <w:szCs w:val="26"/>
          <w14:ligatures w14:val="standard"/>
        </w:rPr>
        <w:lastRenderedPageBreak/>
        <w:t>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183"/>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5" w:name="_Toc422473376"/>
      <w:bookmarkStart w:id="186" w:name="_Toc428208325"/>
      <w:r w:rsidRPr="00EC508D">
        <w:rPr>
          <w:rFonts w:ascii="Times New Roman" w:hAnsi="Times New Roman"/>
          <w:b w:val="0"/>
          <w:smallCaps/>
          <w:color w:val="000000"/>
          <w:sz w:val="26"/>
          <w:szCs w:val="26"/>
          <w:u w:val="single"/>
          <w14:ligatures w14:val="standard"/>
        </w:rPr>
        <w:t>Despesas</w:t>
      </w:r>
      <w:bookmarkEnd w:id="185"/>
      <w:bookmarkEnd w:id="186"/>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Default="00BA26D9" w:rsidP="00EC508D">
      <w:pPr>
        <w:widowControl w:val="0"/>
        <w:tabs>
          <w:tab w:val="left" w:pos="993"/>
        </w:tabs>
        <w:spacing w:line="300" w:lineRule="exact"/>
        <w:ind w:left="993"/>
        <w:jc w:val="both"/>
        <w:rPr>
          <w:sz w:val="26"/>
          <w:szCs w:val="26"/>
        </w:rPr>
      </w:pPr>
      <w:bookmarkStart w:id="187" w:name="_Ref432700448"/>
      <w:bookmarkStart w:id="188" w:name="_Ref457501148"/>
      <w:bookmarkStart w:id="189" w:name="_Ref458525302"/>
    </w:p>
    <w:p w14:paraId="2B279522" w14:textId="21EF985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w:t>
      </w:r>
      <w:r w:rsidRPr="00927E02">
        <w:rPr>
          <w:sz w:val="26"/>
          <w:szCs w:val="26"/>
        </w:rPr>
        <w:lastRenderedPageBreak/>
        <w:t xml:space="preserve">Despesas </w:t>
      </w:r>
      <w:r w:rsidRPr="00927E02">
        <w:rPr>
          <w:i/>
          <w:iCs/>
          <w:sz w:val="26"/>
          <w:szCs w:val="26"/>
        </w:rPr>
        <w:t>flat</w:t>
      </w:r>
      <w:r w:rsidRPr="00927E02">
        <w:rPr>
          <w:sz w:val="26"/>
          <w:szCs w:val="26"/>
        </w:rPr>
        <w:t xml:space="preserve">, conforme discriminadas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87"/>
      <w:r w:rsidRPr="00927E02">
        <w:rPr>
          <w:sz w:val="26"/>
          <w:szCs w:val="26"/>
        </w:rPr>
        <w:t>.</w:t>
      </w:r>
      <w:r w:rsidR="00B63A6C" w:rsidRPr="00927E02">
        <w:rPr>
          <w:sz w:val="26"/>
          <w:szCs w:val="26"/>
        </w:rPr>
        <w:t xml:space="preserve"> </w:t>
      </w:r>
      <w:bookmarkEnd w:id="188"/>
      <w:bookmarkEnd w:id="189"/>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90" w:name="_Ref433893135"/>
      <w:bookmarkStart w:id="191"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90"/>
    <w:bookmarkEnd w:id="191"/>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2"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3"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3"/>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w:t>
      </w:r>
      <w:r w:rsidRPr="00927E02">
        <w:rPr>
          <w:sz w:val="26"/>
          <w:szCs w:val="26"/>
        </w:rPr>
        <w:lastRenderedPageBreak/>
        <w:t xml:space="preserve">notificação neste sentido para a </w:t>
      </w:r>
      <w:r w:rsidR="00A15CD4" w:rsidRPr="00927E02">
        <w:rPr>
          <w:sz w:val="26"/>
          <w:szCs w:val="26"/>
        </w:rPr>
        <w:t>Devedora</w:t>
      </w:r>
      <w:r w:rsidRPr="00927E02">
        <w:rPr>
          <w:sz w:val="26"/>
          <w:szCs w:val="26"/>
        </w:rPr>
        <w:t xml:space="preserve">, </w:t>
      </w:r>
      <w:bookmarkStart w:id="194"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4"/>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5"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5"/>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w:t>
      </w:r>
      <w:r w:rsidRPr="00927E02">
        <w:rPr>
          <w:sz w:val="26"/>
          <w:szCs w:val="26"/>
        </w:rPr>
        <w:lastRenderedPageBreak/>
        <w:t xml:space="preserve">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4A182616"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1B79E719"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w:t>
      </w:r>
      <w:r w:rsidRPr="00927E02">
        <w:rPr>
          <w:sz w:val="26"/>
          <w:szCs w:val="26"/>
        </w:rPr>
        <w:lastRenderedPageBreak/>
        <w:t xml:space="preserve">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bookmarkEnd w:id="192"/>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6" w:name="_Toc422473377"/>
      <w:bookmarkStart w:id="197"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196"/>
      <w:bookmarkEnd w:id="197"/>
    </w:p>
    <w:p w14:paraId="1BFBAB92" w14:textId="77777777" w:rsidR="008B72F9" w:rsidRPr="00EC508D" w:rsidRDefault="008B72F9" w:rsidP="00EC508D">
      <w:pPr>
        <w:pStyle w:val="ListaColorida-nfase11"/>
        <w:tabs>
          <w:tab w:val="left" w:pos="1134"/>
        </w:tabs>
        <w:spacing w:line="300" w:lineRule="exact"/>
        <w:ind w:left="0"/>
        <w:jc w:val="both"/>
        <w:rPr>
          <w:b/>
          <w:bCs/>
          <w:iCs/>
          <w:sz w:val="26"/>
          <w:szCs w:val="26"/>
        </w:rPr>
      </w:pPr>
      <w:bookmarkStart w:id="198" w:name="_DV_M1077"/>
      <w:bookmarkStart w:id="199" w:name="_Hlk52407834"/>
      <w:bookmarkEnd w:id="198"/>
    </w:p>
    <w:p w14:paraId="20F1D3D0" w14:textId="1C43ED82"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afirma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xml:space="preserve">, salvo se de outro modo aqui expresso, as palavras e </w:t>
      </w:r>
      <w:r w:rsidRPr="00EC508D">
        <w:rPr>
          <w:rFonts w:ascii="Times New Roman" w:hAnsi="Times New Roman" w:cs="Times New Roman"/>
          <w:iCs/>
          <w:sz w:val="26"/>
          <w:szCs w:val="26"/>
        </w:rPr>
        <w:lastRenderedPageBreak/>
        <w:t>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0"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77777777"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controladores, seus acionistas, suas controladas, seus investidores e ao seu ramo de atuação estão disponíveis em seu formulário de referência disponível para acesso no website da CVM. Para tanto, favor acessar </w:t>
      </w:r>
      <w:hyperlink r:id="rId31"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00" w:name="_Toc397378493"/>
      <w:bookmarkStart w:id="201" w:name="_Toc433158466"/>
      <w:bookmarkEnd w:id="199"/>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02" w:name="_Toc453274070"/>
      <w:bookmarkStart w:id="203" w:name="_Toc490492789"/>
      <w:bookmarkEnd w:id="200"/>
      <w:bookmarkEnd w:id="201"/>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xml:space="preserve">,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w:t>
      </w:r>
      <w:r w:rsidRPr="00EC508D">
        <w:rPr>
          <w:sz w:val="26"/>
          <w:szCs w:val="26"/>
        </w:rPr>
        <w:lastRenderedPageBreak/>
        <w:t>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w:t>
      </w:r>
      <w:r w:rsidRPr="00EC508D">
        <w:rPr>
          <w:b/>
          <w:i/>
          <w:sz w:val="26"/>
          <w:szCs w:val="26"/>
        </w:rPr>
        <w:lastRenderedPageBreak/>
        <w:t xml:space="preserve">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77777777"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xml:space="preserve">, principalmente em razão da falta de jurisprudência no Brasil sobre a plena eficácia da afetação de patrimônio, o que poderá afetar negativamente a capacidade da Securitizadora e da Devedora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w:t>
      </w:r>
      <w:r w:rsidRPr="00EC508D">
        <w:rPr>
          <w:sz w:val="26"/>
          <w:szCs w:val="26"/>
        </w:rPr>
        <w:lastRenderedPageBreak/>
        <w:t>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02"/>
      <w:bookmarkEnd w:id="203"/>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 por força do artigo 3º, inciso II, da Lei 11.033 </w:t>
      </w:r>
      <w:r w:rsidRPr="00EC508D">
        <w:rPr>
          <w:sz w:val="26"/>
          <w:szCs w:val="26"/>
        </w:rPr>
        <w:t>e de declaração de ajuste anual de pessoas físicas. Tal tratamento tributário pode ser alterado</w:t>
      </w:r>
      <w:r w:rsidRPr="00EC508D">
        <w:rPr>
          <w:rFonts w:eastAsia="ヒラギノ角ゴ Pro W3"/>
          <w:sz w:val="26"/>
          <w:szCs w:val="26"/>
        </w:rPr>
        <w:t xml:space="preserve"> ao longo do tempo. Eventuais alterações na legislação tributária eliminando a isenção acima mencionada, criando ou elevando alíquotas do imposto de renda incidentes sobre os CRI, a criação de novos tributos ou, ainda, </w:t>
      </w:r>
      <w:r w:rsidRPr="00EC508D">
        <w:rPr>
          <w:rFonts w:eastAsia="ヒラギノ角ゴ Pro W3"/>
          <w:sz w:val="26"/>
          <w:szCs w:val="26"/>
        </w:rPr>
        <w:lastRenderedPageBreak/>
        <w:t xml:space="preserve">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7B7A5686"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lastRenderedPageBreak/>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(cinquenta por cento) mais um dos CRI presentes</w:t>
      </w:r>
      <w:r w:rsidRPr="00EC508D">
        <w:rPr>
          <w:rFonts w:eastAsia="Calibri"/>
          <w:spacing w:val="2"/>
          <w:sz w:val="26"/>
          <w:szCs w:val="26"/>
        </w:rPr>
        <w:t xml:space="preserve">, </w:t>
      </w:r>
      <w:r w:rsidRPr="00EC508D">
        <w:rPr>
          <w:spacing w:val="2"/>
          <w:sz w:val="26"/>
          <w:szCs w:val="26"/>
        </w:rPr>
        <w:t>e, em certos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 xml:space="preserve">. </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xml:space="preserve">,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w:t>
      </w:r>
      <w:r w:rsidRPr="00EC508D">
        <w:rPr>
          <w:sz w:val="26"/>
          <w:szCs w:val="26"/>
        </w:rPr>
        <w:lastRenderedPageBreak/>
        <w:t>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w:t>
      </w:r>
      <w:r w:rsidRPr="00EC508D">
        <w:rPr>
          <w:rFonts w:eastAsia="ヒラギノ角ゴ Pro W3"/>
          <w:sz w:val="26"/>
          <w:szCs w:val="26"/>
        </w:rPr>
        <w:lastRenderedPageBreak/>
        <w:t xml:space="preserve">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lastRenderedPageBreak/>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Caso qualquer um dos Titulares de CRI não cumpra com eventual obrigação de 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04"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04"/>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05" w:name="_Hlk57998615"/>
      <w:r w:rsidRPr="00EC508D">
        <w:rPr>
          <w:sz w:val="26"/>
          <w:szCs w:val="26"/>
        </w:rPr>
        <w:t>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05"/>
    <w:p w14:paraId="0FF564B6" w14:textId="77777777" w:rsidR="008B72F9" w:rsidRPr="00EC508D" w:rsidRDefault="008B72F9" w:rsidP="00EC508D">
      <w:pPr>
        <w:widowControl w:val="0"/>
        <w:spacing w:line="300" w:lineRule="exact"/>
        <w:jc w:val="both"/>
        <w:rPr>
          <w:sz w:val="26"/>
          <w:szCs w:val="26"/>
        </w:rPr>
      </w:pPr>
    </w:p>
    <w:p w14:paraId="542552FD" w14:textId="77777777"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 xml:space="preserve">Eventos de Inadimplemento considerados automáticos, acarretará o vencimento antecipado automático das obrigações decorrentes das Debêntures, independentemente de aviso ou notificação, judicial ou extrajudicial, </w:t>
      </w:r>
      <w:r w:rsidRPr="00EC508D">
        <w:rPr>
          <w:sz w:val="26"/>
          <w:szCs w:val="26"/>
        </w:rPr>
        <w:lastRenderedPageBreak/>
        <w:t>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hipótese na qual os Titulares de CRI poderão sofrer um 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06"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Por fim, na ocorrência de qualquer dos Eventos de Liquidação dos Patrimônios Separados, poderá não haver recursos suficientes nos Patrimônios Separados para </w:t>
      </w:r>
      <w:r w:rsidRPr="00EC508D">
        <w:rPr>
          <w:rFonts w:eastAsia="Calibri"/>
          <w:sz w:val="26"/>
          <w:szCs w:val="26"/>
        </w:rPr>
        <w:lastRenderedPageBreak/>
        <w:t>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06"/>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07"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07"/>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 xml:space="preserve">Os CRI são títulos lastreados pelos Créditos Imobiliários. Ao avaliarem os riscos </w:t>
      </w:r>
      <w:r w:rsidRPr="00EC508D">
        <w:rPr>
          <w:sz w:val="26"/>
          <w:szCs w:val="26"/>
        </w:rPr>
        <w:lastRenderedPageBreak/>
        <w:t>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w:t>
      </w:r>
      <w:r w:rsidRPr="00EC508D">
        <w:rPr>
          <w:sz w:val="26"/>
          <w:szCs w:val="26"/>
        </w:rPr>
        <w:lastRenderedPageBreak/>
        <w:t xml:space="preserve">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lastRenderedPageBreak/>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w:t>
      </w:r>
      <w:r w:rsidRPr="00EC508D">
        <w:rPr>
          <w:rFonts w:eastAsia="Calibri"/>
          <w:sz w:val="26"/>
          <w:szCs w:val="26"/>
        </w:rPr>
        <w:lastRenderedPageBreak/>
        <w:t>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w:t>
      </w:r>
      <w:r w:rsidRPr="00EC508D">
        <w:rPr>
          <w:sz w:val="26"/>
          <w:szCs w:val="26"/>
        </w:rPr>
        <w:lastRenderedPageBreak/>
        <w:t>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lastRenderedPageBreak/>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08" w:name="_Toc453274074"/>
      <w:bookmarkStart w:id="209"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08"/>
      <w:bookmarkEnd w:id="209"/>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w:t>
      </w:r>
      <w:r w:rsidRPr="00EC508D">
        <w:rPr>
          <w:sz w:val="26"/>
          <w:szCs w:val="26"/>
        </w:rPr>
        <w:lastRenderedPageBreak/>
        <w:t xml:space="preserve">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O capital atual da Securitizadora poderá não ser suficiente para suas futuras exigências operacionais e manutenção do crescimento esperado, de forma que a Securitizadora pode vir a precisar de fonte de financiamento externo. Não se pode </w:t>
      </w:r>
      <w:r w:rsidRPr="00EC508D">
        <w:rPr>
          <w:sz w:val="26"/>
          <w:szCs w:val="26"/>
        </w:rPr>
        <w:lastRenderedPageBreak/>
        <w:t>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redução dos incentivos fiscais para os investidores 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10" w:name="_Toc453274075"/>
      <w:bookmarkStart w:id="211"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10"/>
      <w:bookmarkEnd w:id="211"/>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Historicamente, o Brasil experimentou altos índices de inflação. A inflação, juntamente com medidas governamentais recentes destinadas a combatê-la, combinada com a especulação pública sobre possíveis medidas futuras, tiveram </w:t>
      </w:r>
      <w:r w:rsidRPr="00EC508D">
        <w:rPr>
          <w:rFonts w:eastAsia="ヒラギノ角ゴ Pro W3"/>
          <w:sz w:val="26"/>
          <w:szCs w:val="26"/>
        </w:rPr>
        <w:lastRenderedPageBreak/>
        <w:t>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77777777"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A criação ou majoração de tributos, nova interpretação ou, ainda, alteração de interpretação hoje preponderante no mercado, que venha a causar a necessidade de recolhimento de valores adicionais de tributos pela Securitizadora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(zero vírgula trinta e oito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lastRenderedPageBreak/>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 Devedora está sujeita a uma regulamentação extensa, dinâmica e complexa e poderá ser objeto de fiscalização por parte dos órgãos reguladores públicos ou por instituições privadas, em âmbito nacional e internacional. Essa regulamentação </w:t>
      </w:r>
      <w:r w:rsidRPr="00EC508D">
        <w:rPr>
          <w:sz w:val="26"/>
          <w:szCs w:val="26"/>
        </w:rPr>
        <w:lastRenderedPageBreak/>
        <w:t>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Adicionalmente, a atuação da B3 no segmento de Infraestrutura para financiamento pode ser impactada por mudanças nos modelos regulatórios adotados pelos Detrans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lastRenderedPageBreak/>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27E02" w:rsidRDefault="00854331" w:rsidP="00EC508D">
      <w:pPr>
        <w:rPr>
          <w:b/>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3F9AE55"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212"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r w:rsidR="00870F45">
        <w:rPr>
          <w:sz w:val="26"/>
          <w:szCs w:val="26"/>
          <w14:ligatures w14:val="standard"/>
        </w:rPr>
        <w:t>Devedora</w:t>
      </w:r>
      <w:r w:rsidR="00870F45" w:rsidRPr="00927E02">
        <w:rPr>
          <w:sz w:val="26"/>
          <w:szCs w:val="26"/>
          <w14:ligatures w14:val="standard"/>
        </w:rPr>
        <w:t xml:space="preserve"> </w:t>
      </w:r>
      <w:r w:rsidR="00433D8B" w:rsidRPr="00927E02">
        <w:rPr>
          <w:sz w:val="26"/>
          <w:szCs w:val="26"/>
          <w14:ligatures w14:val="standard"/>
        </w:rPr>
        <w:t xml:space="preserve">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Pr>
          <w:sz w:val="26"/>
          <w:szCs w:val="26"/>
          <w14:ligatures w14:val="standard"/>
        </w:rPr>
        <w:t>Devedora</w:t>
      </w:r>
      <w:r w:rsidR="00870F45" w:rsidRPr="00927E02" w:rsidDel="00870F45">
        <w:rPr>
          <w:sz w:val="26"/>
          <w:szCs w:val="26"/>
        </w:rPr>
        <w:t xml:space="preserve"> </w:t>
      </w:r>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w:t>
      </w:r>
      <w:r w:rsidR="00433D8B" w:rsidRPr="00927E02">
        <w:rPr>
          <w:sz w:val="26"/>
          <w:szCs w:val="26"/>
        </w:rPr>
        <w:lastRenderedPageBreak/>
        <w:t xml:space="preserve">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212"/>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13" w:name="_Toc422473379"/>
      <w:bookmarkStart w:id="214"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5"/>
      <w:bookmarkEnd w:id="176"/>
      <w:bookmarkEnd w:id="177"/>
      <w:bookmarkEnd w:id="178"/>
      <w:bookmarkEnd w:id="179"/>
      <w:bookmarkEnd w:id="213"/>
      <w:bookmarkEnd w:id="214"/>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está devidamente autorizada e obteve todas as autorizações necessárias à celebração deste Termo, à emissão dos CRI e ao cumprimento de suas obrigações aqui previstas, tendo sido </w:t>
      </w:r>
      <w:r w:rsidRPr="00927E02">
        <w:rPr>
          <w:color w:val="000000"/>
          <w:sz w:val="26"/>
          <w:szCs w:val="26"/>
          <w14:ligatures w14:val="standard"/>
        </w:rPr>
        <w:lastRenderedPageBreak/>
        <w:t>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14A47E79"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não tem conhecimento da existência de procedimentos </w:t>
      </w:r>
      <w:r w:rsidRPr="00927E02">
        <w:rPr>
          <w:color w:val="000000"/>
          <w:sz w:val="26"/>
          <w:szCs w:val="26"/>
          <w14:ligatures w14:val="standard"/>
        </w:rPr>
        <w:lastRenderedPageBreak/>
        <w:t>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w:t>
      </w:r>
      <w:r w:rsidRPr="00927E02">
        <w:rPr>
          <w:color w:val="000000"/>
          <w:sz w:val="26"/>
          <w:szCs w:val="26"/>
          <w14:ligatures w14:val="standard"/>
        </w:rPr>
        <w:lastRenderedPageBreak/>
        <w:t>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15" w:name="_Toc110076268"/>
      <w:bookmarkStart w:id="216" w:name="_Toc163380707"/>
      <w:bookmarkStart w:id="217" w:name="_Toc180553623"/>
      <w:bookmarkStart w:id="218" w:name="_Toc205799098"/>
      <w:bookmarkStart w:id="219"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20"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20"/>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F2DC338"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1" w:name="_Toc422473380"/>
      <w:bookmarkStart w:id="222" w:name="_Toc428208329"/>
      <w:r w:rsidRPr="00927E02">
        <w:rPr>
          <w:rFonts w:ascii="Times New Roman" w:hAnsi="Times New Roman"/>
          <w:b w:val="0"/>
          <w:smallCaps/>
          <w:color w:val="000000"/>
          <w:sz w:val="26"/>
          <w:szCs w:val="26"/>
          <w:u w:val="single"/>
          <w14:ligatures w14:val="standard"/>
        </w:rPr>
        <w:t>Agente Fiduciário</w:t>
      </w:r>
      <w:bookmarkEnd w:id="215"/>
      <w:bookmarkEnd w:id="216"/>
      <w:bookmarkEnd w:id="217"/>
      <w:bookmarkEnd w:id="218"/>
      <w:bookmarkEnd w:id="219"/>
      <w:bookmarkEnd w:id="221"/>
      <w:bookmarkEnd w:id="222"/>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w:t>
      </w:r>
      <w:r w:rsidRPr="00927E02">
        <w:rPr>
          <w:color w:val="000000"/>
          <w:sz w:val="26"/>
          <w:szCs w:val="26"/>
          <w14:ligatures w14:val="standard"/>
        </w:rPr>
        <w:lastRenderedPageBreak/>
        <w:t>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xml:space="preserve">; e (d) inexiste em seu nome qualquer condenação definitiva na esfera administrativa ou judicial, notadamente por </w:t>
      </w:r>
      <w:r w:rsidR="006D6D6E" w:rsidRPr="00927E02">
        <w:rPr>
          <w:color w:val="000000"/>
          <w:sz w:val="26"/>
          <w:szCs w:val="26"/>
          <w14:ligatures w14:val="standard"/>
        </w:rPr>
        <w:lastRenderedPageBreak/>
        <w:t>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acompanhar a prestação das informações periódicas pela </w:t>
      </w:r>
      <w:r w:rsidRPr="00927E02">
        <w:rPr>
          <w:color w:val="000000"/>
          <w:sz w:val="26"/>
          <w:szCs w:val="26"/>
          <w14:ligatures w14:val="standard"/>
        </w:rPr>
        <w:lastRenderedPageBreak/>
        <w:t>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w:t>
      </w:r>
      <w:r w:rsidRPr="00927E02">
        <w:rPr>
          <w:color w:val="000000"/>
          <w:sz w:val="26"/>
          <w:szCs w:val="26"/>
          <w14:ligatures w14:val="standard"/>
        </w:rPr>
        <w:lastRenderedPageBreak/>
        <w:t xml:space="preserve">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336EC83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EC508D">
        <w:rPr>
          <w:sz w:val="26"/>
          <w:szCs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23" w:name="_DV_M168"/>
      <w:bookmarkEnd w:id="223"/>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 xml:space="preserve">deve ser </w:t>
      </w:r>
      <w:r w:rsidRPr="00927E02">
        <w:rPr>
          <w:sz w:val="26"/>
          <w:szCs w:val="26"/>
          <w14:ligatures w14:val="standard"/>
        </w:rPr>
        <w:lastRenderedPageBreak/>
        <w:t>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25CDD9F6"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w:t>
      </w:r>
      <w:r w:rsidR="00222982" w:rsidRPr="00927E02">
        <w:rPr>
          <w:bCs/>
          <w:sz w:val="26"/>
          <w:szCs w:val="26"/>
          <w14:ligatures w14:val="standard"/>
        </w:rPr>
        <w:lastRenderedPageBreak/>
        <w:t>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55853179"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4" w:name="_Toc110076270"/>
      <w:bookmarkStart w:id="225" w:name="_Toc163380709"/>
      <w:bookmarkStart w:id="226" w:name="_Toc180553625"/>
      <w:bookmarkStart w:id="227" w:name="_Toc205799100"/>
      <w:bookmarkStart w:id="228" w:name="_Toc241983075"/>
      <w:bookmarkStart w:id="229" w:name="_Toc422473381"/>
      <w:bookmarkStart w:id="230" w:name="_Toc428208330"/>
      <w:r w:rsidRPr="00927E02">
        <w:rPr>
          <w:rFonts w:ascii="Times New Roman" w:hAnsi="Times New Roman"/>
          <w:b w:val="0"/>
          <w:smallCaps/>
          <w:color w:val="000000"/>
          <w:sz w:val="26"/>
          <w:szCs w:val="26"/>
          <w:u w:val="single"/>
          <w14:ligatures w14:val="standard"/>
        </w:rPr>
        <w:t>Assembleia Geral</w:t>
      </w:r>
      <w:bookmarkEnd w:id="224"/>
      <w:bookmarkEnd w:id="225"/>
      <w:bookmarkEnd w:id="226"/>
      <w:bookmarkEnd w:id="227"/>
      <w:r w:rsidRPr="00927E02">
        <w:rPr>
          <w:rFonts w:ascii="Times New Roman" w:hAnsi="Times New Roman"/>
          <w:b w:val="0"/>
          <w:smallCaps/>
          <w:color w:val="000000"/>
          <w:sz w:val="26"/>
          <w:szCs w:val="26"/>
          <w:u w:val="single"/>
          <w14:ligatures w14:val="standard"/>
        </w:rPr>
        <w:t xml:space="preserve"> de Titulares de C</w:t>
      </w:r>
      <w:bookmarkEnd w:id="228"/>
      <w:bookmarkEnd w:id="229"/>
      <w:bookmarkEnd w:id="230"/>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31" w:name="_Hlk3502441"/>
      <w:bookmarkStart w:id="232"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31"/>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69226DB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lastRenderedPageBreak/>
        <w:t>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w:t>
      </w:r>
      <w:r w:rsidRPr="00927E02">
        <w:rPr>
          <w:rFonts w:ascii="Times" w:hAnsi="Times" w:cs="Times"/>
          <w:sz w:val="26"/>
          <w:szCs w:val="26"/>
          <w14:ligatures w14:val="standard"/>
        </w:rPr>
        <w:lastRenderedPageBreak/>
        <w:t xml:space="preserv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6A01D3B9"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EC508D">
        <w:rPr>
          <w:color w:val="000000"/>
          <w:sz w:val="26"/>
          <w:szCs w:val="26"/>
          <w14:ligatures w14:val="standard"/>
        </w:rPr>
        <w:t xml:space="preserve">50% (cinquenta por </w:t>
      </w:r>
      <w:r w:rsidRPr="00EC508D">
        <w:rPr>
          <w:color w:val="000000"/>
          <w:sz w:val="26"/>
          <w:szCs w:val="26"/>
          <w14:ligatures w14:val="standard"/>
        </w:rPr>
        <w:lastRenderedPageBreak/>
        <w:t xml:space="preserve">cento) mais </w:t>
      </w:r>
      <w:r w:rsidR="00A34DE4" w:rsidRPr="00EC508D">
        <w:rPr>
          <w:color w:val="000000"/>
          <w:sz w:val="26"/>
          <w:szCs w:val="26"/>
          <w14:ligatures w14:val="standard"/>
        </w:rPr>
        <w:t>1 (</w:t>
      </w:r>
      <w:r w:rsidRPr="00EC508D">
        <w:rPr>
          <w:color w:val="000000"/>
          <w:sz w:val="26"/>
          <w:szCs w:val="26"/>
          <w14:ligatures w14:val="standard"/>
        </w:rPr>
        <w:t>um</w:t>
      </w:r>
      <w:r w:rsidR="00A34DE4" w:rsidRPr="00EC508D">
        <w:rPr>
          <w:color w:val="000000"/>
          <w:sz w:val="26"/>
          <w:szCs w:val="26"/>
          <w14:ligatures w14:val="standard"/>
        </w:rPr>
        <w:t>)</w:t>
      </w:r>
      <w:r w:rsidRPr="00EC508D">
        <w:rPr>
          <w:color w:val="000000"/>
          <w:sz w:val="26"/>
          <w:szCs w:val="26"/>
          <w14:ligatures w14:val="standard"/>
        </w:rPr>
        <w:t xml:space="preserve"> dos CRI em Circulação </w:t>
      </w:r>
      <w:r w:rsidR="005E4C61" w:rsidRPr="00EC508D">
        <w:rPr>
          <w:color w:val="000000"/>
          <w:sz w:val="26"/>
          <w:szCs w:val="26"/>
          <w14:ligatures w14:val="standard"/>
        </w:rPr>
        <w:t xml:space="preserve">ou dos CRI em Circulação da respectiva série, </w:t>
      </w:r>
      <w:r w:rsidRPr="00EC508D">
        <w:rPr>
          <w:color w:val="000000"/>
          <w:sz w:val="26"/>
          <w:szCs w:val="26"/>
          <w14:ligatures w14:val="standard"/>
        </w:rPr>
        <w:t>e, em segunda convocação, 30% (trinta por cento) dos CRI em Circulação</w:t>
      </w:r>
      <w:r w:rsidR="005E4C61" w:rsidRPr="00EC508D">
        <w:rPr>
          <w:color w:val="000000"/>
          <w:sz w:val="26"/>
          <w:szCs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63245851"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38FCAC33"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811DA3">
        <w:rPr>
          <w:sz w:val="26"/>
          <w:szCs w:val="26"/>
        </w:rPr>
        <w:t>50% (cinquenta por cento) mais um CRI em Circulação</w:t>
      </w:r>
      <w:r w:rsidR="00F362ED">
        <w:rPr>
          <w:sz w:val="26"/>
          <w:szCs w:val="26"/>
        </w:rPr>
        <w:t>,</w:t>
      </w:r>
      <w:r w:rsidR="00F362ED" w:rsidRPr="00811DA3">
        <w:rPr>
          <w:sz w:val="26"/>
          <w:szCs w:val="26"/>
        </w:rPr>
        <w:t xml:space="preserve"> em primeira convocação</w:t>
      </w:r>
      <w:r w:rsidR="00F362ED">
        <w:rPr>
          <w:sz w:val="26"/>
          <w:szCs w:val="26"/>
        </w:rPr>
        <w:t>,</w:t>
      </w:r>
      <w:r w:rsidR="00F362ED" w:rsidRPr="00811DA3">
        <w:rPr>
          <w:sz w:val="26"/>
          <w:szCs w:val="26"/>
        </w:rPr>
        <w:t xml:space="preserve"> e</w:t>
      </w:r>
      <w:r w:rsidR="00F362ED">
        <w:rPr>
          <w:sz w:val="26"/>
          <w:szCs w:val="26"/>
        </w:rPr>
        <w:t>,</w:t>
      </w:r>
      <w:r w:rsidR="00F362ED" w:rsidRPr="00811DA3">
        <w:rPr>
          <w:sz w:val="26"/>
          <w:szCs w:val="26"/>
        </w:rPr>
        <w:t xml:space="preserve"> em segunda convocação</w:t>
      </w:r>
      <w:r w:rsidR="00F362ED">
        <w:rPr>
          <w:sz w:val="26"/>
          <w:szCs w:val="26"/>
        </w:rPr>
        <w:t>,</w:t>
      </w:r>
      <w:r w:rsidR="00F362ED" w:rsidRPr="00811DA3">
        <w:rPr>
          <w:sz w:val="26"/>
          <w:szCs w:val="26"/>
        </w:rPr>
        <w:t xml:space="preserve"> com 50% (cinquenta por cento) mais um dos CRI presentes</w:t>
      </w:r>
      <w:r w:rsidR="00F362ED">
        <w:rPr>
          <w:sz w:val="26"/>
          <w:szCs w:val="26"/>
        </w:rPr>
        <w:t>,</w:t>
      </w:r>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 xml:space="preserve">Aplicar-se-á à Assembleia Geral, no que couber, o disposto na Lei 9.514, na Lei das Sociedades por Ações, a respeito das assembleias de acionistas e na Instrução CVM 625, salvo no que se refere aos </w:t>
      </w:r>
      <w:r w:rsidR="00995E1A" w:rsidRPr="00927E02">
        <w:rPr>
          <w:color w:val="000000"/>
          <w:sz w:val="26"/>
          <w:szCs w:val="26"/>
          <w14:ligatures w14:val="standard"/>
        </w:rPr>
        <w:lastRenderedPageBreak/>
        <w:t>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797B0815"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r w:rsidR="00606551" w:rsidRPr="00927E02">
        <w:rPr>
          <w:sz w:val="26"/>
          <w:szCs w:val="26"/>
        </w:rPr>
        <w:t>(i) em primeira convocação, os Titulares de CRI que representem, no mínimo, 50% (cinquenta por cento) mais 1 (um) dos CRI em Circulação</w:t>
      </w:r>
      <w:r w:rsidR="00606551">
        <w:rPr>
          <w:sz w:val="26"/>
          <w:szCs w:val="26"/>
        </w:rPr>
        <w:t xml:space="preserve"> ou dos CRI em Circulação da respectiva série</w:t>
      </w:r>
      <w:r w:rsidR="00606551" w:rsidRPr="00927E02">
        <w:rPr>
          <w:sz w:val="26"/>
          <w:szCs w:val="26"/>
        </w:rPr>
        <w:t>; ou (ii) em segunda convocação, os Titulares de CRI que representem a maioria dos CRI em Circulação presentes</w:t>
      </w:r>
      <w:r w:rsidR="00606551">
        <w:rPr>
          <w:sz w:val="26"/>
          <w:szCs w:val="26"/>
        </w:rPr>
        <w:t xml:space="preserve"> ou dos CRI em Circulação da respectiva série presentes</w:t>
      </w:r>
      <w:r w:rsidR="00606551" w:rsidRPr="00927E02">
        <w:rPr>
          <w:sz w:val="26"/>
          <w:szCs w:val="26"/>
        </w:rPr>
        <w:t>, conforme aplicável, sendo que, nesta hipótese referente à segunda convocação, o quórum de instalação não poderá ser inferior a 30% (trinta por cento) dos CRI em Circulação</w:t>
      </w:r>
      <w:r w:rsidR="00606551" w:rsidRPr="00EC508D" w:rsidDel="00606551">
        <w:rPr>
          <w:color w:val="000000"/>
          <w:sz w:val="26"/>
          <w:szCs w:val="26"/>
          <w14:ligatures w14:val="standard"/>
        </w:rPr>
        <w:t xml:space="preserve"> </w:t>
      </w:r>
      <w:r w:rsidR="00606551" w:rsidRPr="00EC508D">
        <w:rPr>
          <w:color w:val="000000"/>
          <w:sz w:val="26"/>
          <w:szCs w:val="26"/>
          <w14:ligatures w14:val="standard"/>
        </w:rPr>
        <w:t>ou dos CRI em Circulação da respectiva série</w:t>
      </w:r>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0237CB15"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 xml:space="preserve">(i) 50% (cinquenta por cento) mais </w:t>
      </w:r>
      <w:r w:rsidR="00770CC1" w:rsidRPr="00EC508D">
        <w:rPr>
          <w:sz w:val="26"/>
          <w:szCs w:val="26"/>
          <w14:ligatures w14:val="standard"/>
        </w:rPr>
        <w:t>1 (</w:t>
      </w:r>
      <w:r w:rsidR="00E40257" w:rsidRPr="00EC508D">
        <w:rPr>
          <w:sz w:val="26"/>
          <w:szCs w:val="26"/>
          <w14:ligatures w14:val="standard"/>
        </w:rPr>
        <w:t>um</w:t>
      </w:r>
      <w:r w:rsidR="00770CC1" w:rsidRPr="00EC508D">
        <w:rPr>
          <w:sz w:val="26"/>
          <w:szCs w:val="26"/>
          <w14:ligatures w14:val="standard"/>
        </w:rPr>
        <w:t>)</w:t>
      </w:r>
      <w:r w:rsidR="00E40257" w:rsidRPr="00EC508D">
        <w:rPr>
          <w:sz w:val="26"/>
          <w:szCs w:val="26"/>
          <w14:ligatures w14:val="standard"/>
        </w:rPr>
        <w:t xml:space="preserve"> dos CRI em Circulação, em primeira convocação, </w:t>
      </w:r>
      <w:r w:rsidRPr="00EC508D">
        <w:rPr>
          <w:sz w:val="26"/>
          <w:szCs w:val="26"/>
          <w14:ligatures w14:val="standard"/>
        </w:rPr>
        <w:t>ou</w:t>
      </w:r>
      <w:r w:rsidR="00E40257" w:rsidRPr="00EC508D">
        <w:rPr>
          <w:sz w:val="26"/>
          <w:szCs w:val="26"/>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EC508D">
        <w:rPr>
          <w:sz w:val="26"/>
          <w:szCs w:val="26"/>
          <w14:ligatures w14:val="standard"/>
        </w:rPr>
        <w:t>30</w:t>
      </w:r>
      <w:r w:rsidR="00E40257" w:rsidRPr="00EC508D">
        <w:rPr>
          <w:sz w:val="26"/>
          <w:szCs w:val="26"/>
          <w14:ligatures w14:val="standard"/>
        </w:rPr>
        <w:t>% (</w:t>
      </w:r>
      <w:r w:rsidR="00F37B2A" w:rsidRPr="00EC508D">
        <w:rPr>
          <w:sz w:val="26"/>
          <w:szCs w:val="26"/>
          <w14:ligatures w14:val="standard"/>
        </w:rPr>
        <w:t>trinta</w:t>
      </w:r>
      <w:r w:rsidR="00F8039A" w:rsidRPr="00EC508D">
        <w:rPr>
          <w:sz w:val="26"/>
          <w:szCs w:val="26"/>
          <w14:ligatures w14:val="standard"/>
        </w:rPr>
        <w:t xml:space="preserve"> </w:t>
      </w:r>
      <w:r w:rsidR="00E40257" w:rsidRPr="00EC508D">
        <w:rPr>
          <w:sz w:val="26"/>
          <w:szCs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xml:space="preserve">, em </w:t>
      </w:r>
      <w:r w:rsidRPr="00927E02">
        <w:rPr>
          <w:color w:val="000000"/>
          <w:sz w:val="26"/>
          <w:szCs w:val="26"/>
          <w14:ligatures w14:val="standard"/>
        </w:rPr>
        <w:lastRenderedPageBreak/>
        <w:t>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6BB2EFBB"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2"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w:t>
      </w:r>
      <w:r w:rsidR="004A7247" w:rsidRPr="00927E02">
        <w:rPr>
          <w:color w:val="000000"/>
          <w:sz w:val="26"/>
          <w:szCs w:val="26"/>
          <w14:ligatures w14:val="standard"/>
        </w:rPr>
        <w:lastRenderedPageBreak/>
        <w:t xml:space="preserve">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32"/>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3" w:name="_Toc205799102"/>
      <w:bookmarkStart w:id="234" w:name="_Toc241983077"/>
      <w:bookmarkStart w:id="235" w:name="_Toc422473382"/>
      <w:bookmarkStart w:id="236" w:name="_Toc428208331"/>
      <w:r w:rsidRPr="00927E02">
        <w:rPr>
          <w:rFonts w:ascii="Times New Roman" w:hAnsi="Times New Roman"/>
          <w:b w:val="0"/>
          <w:smallCaps/>
          <w:color w:val="000000"/>
          <w:sz w:val="26"/>
          <w:szCs w:val="26"/>
          <w:u w:val="single"/>
          <w14:ligatures w14:val="standard"/>
        </w:rPr>
        <w:t>Tratamento Tributário</w:t>
      </w:r>
      <w:bookmarkEnd w:id="233"/>
      <w:bookmarkEnd w:id="234"/>
      <w:bookmarkEnd w:id="235"/>
      <w:bookmarkEnd w:id="236"/>
    </w:p>
    <w:p w14:paraId="5F7A0ABE" w14:textId="77777777" w:rsidR="00A23FFB" w:rsidRPr="00927E02" w:rsidRDefault="00A23FFB" w:rsidP="00EC508D">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Não obstante, há regras específicas aplicáveis a cada tipo de investidor, conforme sua qualificação como pessoa física, pessoa jurídica, inclusive </w:t>
      </w:r>
      <w:r w:rsidRPr="000E58A5">
        <w:rPr>
          <w:bCs/>
          <w:color w:val="000000"/>
          <w:sz w:val="26"/>
          <w:szCs w:val="26"/>
          <w14:ligatures w14:val="standard"/>
        </w:rPr>
        <w:lastRenderedPageBreak/>
        <w:t>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176E7D46"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de acordo com a Lei 13.169. Regra geral, as carteiras de fundos de investimentos estão isentas de Imposto </w:t>
      </w:r>
      <w:r w:rsidRPr="000E58A5">
        <w:rPr>
          <w:bCs/>
          <w:color w:val="000000"/>
          <w:sz w:val="26"/>
          <w:szCs w:val="26"/>
          <w14:ligatures w14:val="standard"/>
        </w:rPr>
        <w:lastRenderedPageBreak/>
        <w:t>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49318CE9"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7FCF26E0" w14:textId="77777777" w:rsidR="000E58A5" w:rsidRPr="000E58A5" w:rsidRDefault="000E58A5" w:rsidP="00EC508D">
      <w:pPr>
        <w:widowControl w:val="0"/>
        <w:spacing w:line="300" w:lineRule="exact"/>
        <w:jc w:val="both"/>
        <w:rPr>
          <w:bCs/>
          <w:color w:val="000000"/>
          <w:sz w:val="26"/>
          <w:szCs w:val="26"/>
          <w14:ligatures w14:val="standard"/>
        </w:rPr>
      </w:pPr>
    </w:p>
    <w:p w14:paraId="49135310" w14:textId="668D7FF0" w:rsidR="000E58A5" w:rsidRPr="00EC508D" w:rsidRDefault="000E58A5" w:rsidP="00EC508D">
      <w:pPr>
        <w:pStyle w:val="PargrafodaLista"/>
        <w:numPr>
          <w:ilvl w:val="1"/>
          <w:numId w:val="11"/>
        </w:numPr>
        <w:spacing w:line="300" w:lineRule="exact"/>
        <w:ind w:left="993" w:hanging="993"/>
        <w:jc w:val="both"/>
        <w:rPr>
          <w:bCs/>
          <w:i/>
          <w:iCs/>
          <w:color w:val="000000"/>
          <w:sz w:val="26"/>
          <w:szCs w:val="26"/>
          <w14:ligatures w14:val="standard"/>
        </w:rPr>
      </w:pPr>
      <w:r w:rsidRPr="00EC508D">
        <w:rPr>
          <w:bCs/>
          <w:i/>
          <w:iCs/>
          <w:color w:val="000000"/>
          <w:sz w:val="26"/>
          <w:szCs w:val="26"/>
          <w14:ligatures w14:val="standard"/>
        </w:rPr>
        <w:t xml:space="preserve">Imposto sobre Operações de Crédito, Câmbio e Seguro, ou relativas a Títulos ou Valores Mobiliários </w:t>
      </w:r>
      <w:r w:rsidR="00076775" w:rsidRPr="00EC508D">
        <w:rPr>
          <w:bCs/>
          <w:i/>
          <w:iCs/>
          <w:color w:val="000000"/>
          <w:sz w:val="26"/>
          <w:szCs w:val="26"/>
          <w14:ligatures w14:val="standard"/>
        </w:rPr>
        <w:t>–</w:t>
      </w:r>
      <w:r w:rsidRPr="00EC508D">
        <w:rPr>
          <w:bCs/>
          <w:i/>
          <w:iCs/>
          <w:color w:val="000000"/>
          <w:sz w:val="26"/>
          <w:szCs w:val="26"/>
          <w14:ligatures w14:val="standard"/>
        </w:rPr>
        <w:t xml:space="preserve"> IOF</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5F88C969"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7" w:name="_Toc163380711"/>
      <w:bookmarkStart w:id="238" w:name="_Toc180553627"/>
      <w:bookmarkStart w:id="239" w:name="_Toc205799103"/>
      <w:bookmarkStart w:id="240" w:name="_Toc241983078"/>
      <w:bookmarkStart w:id="241" w:name="_Toc422473383"/>
      <w:bookmarkStart w:id="242" w:name="_Toc428208332"/>
      <w:r w:rsidRPr="00927E02">
        <w:rPr>
          <w:rFonts w:ascii="Times New Roman" w:hAnsi="Times New Roman"/>
          <w:b w:val="0"/>
          <w:smallCaps/>
          <w:color w:val="000000"/>
          <w:sz w:val="26"/>
          <w:szCs w:val="26"/>
          <w:u w:val="single"/>
          <w14:ligatures w14:val="standard"/>
        </w:rPr>
        <w:t>Publicidade</w:t>
      </w:r>
      <w:bookmarkEnd w:id="237"/>
      <w:bookmarkEnd w:id="238"/>
      <w:bookmarkEnd w:id="239"/>
      <w:bookmarkEnd w:id="240"/>
      <w:bookmarkEnd w:id="241"/>
      <w:bookmarkEnd w:id="242"/>
    </w:p>
    <w:p w14:paraId="4C09B5B9" w14:textId="77777777" w:rsidR="00854331" w:rsidRPr="00927E02" w:rsidRDefault="00854331" w:rsidP="00731575">
      <w:pPr>
        <w:widowControl w:val="0"/>
        <w:spacing w:line="300" w:lineRule="exact"/>
        <w:rPr>
          <w:b/>
          <w:sz w:val="26"/>
          <w:szCs w:val="26"/>
          <w14:ligatures w14:val="standard"/>
        </w:rPr>
      </w:pPr>
    </w:p>
    <w:p w14:paraId="2B8D5C71" w14:textId="11FED9D6"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316B0B" w:rsidRPr="00EC508D">
        <w:rPr>
          <w:rFonts w:eastAsia="Arial Unicode MS"/>
          <w:color w:val="000000"/>
          <w:sz w:val="26"/>
          <w:szCs w:val="26"/>
          <w:highlight w:val="yellow"/>
          <w14:ligatures w14:val="standard"/>
        </w:rPr>
        <w:t xml:space="preserve">Os fatos e atos relevantes de interesse dos Titulares </w:t>
      </w:r>
      <w:r w:rsidR="009430D7" w:rsidRPr="00EC508D">
        <w:rPr>
          <w:rFonts w:eastAsia="Arial Unicode MS"/>
          <w:color w:val="000000"/>
          <w:sz w:val="26"/>
          <w:szCs w:val="26"/>
          <w:highlight w:val="yellow"/>
          <w14:ligatures w14:val="standard"/>
        </w:rPr>
        <w:t xml:space="preserve">de </w:t>
      </w:r>
      <w:r w:rsidR="00316B0B" w:rsidRPr="00EC508D">
        <w:rPr>
          <w:rFonts w:eastAsia="Arial Unicode MS"/>
          <w:color w:val="000000"/>
          <w:sz w:val="26"/>
          <w:szCs w:val="26"/>
          <w:highlight w:val="yellow"/>
          <w14:ligatures w14:val="standard"/>
        </w:rPr>
        <w:t xml:space="preserve">CRI, deverão ser divulgados mediante </w:t>
      </w:r>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 de computadores (</w:t>
      </w:r>
      <w:hyperlink r:id="rId33" w:history="1">
        <w:r w:rsidR="00FC3ACF" w:rsidRPr="00EC508D">
          <w:rPr>
            <w:rStyle w:val="Hyperlink"/>
            <w:sz w:val="26"/>
            <w:szCs w:val="26"/>
            <w:highlight w:val="yellow"/>
            <w14:ligatures w14:val="standard"/>
          </w:rPr>
          <w:t>https://www.isecbrasil.com.br/</w:t>
        </w:r>
      </w:hyperlink>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Ressalvado o disposto na Cláusula 15.13 acima, a</w:t>
      </w:r>
      <w:r w:rsidR="00316B0B" w:rsidRPr="00927E02">
        <w:rPr>
          <w:rFonts w:eastAsia="Arial Unicode MS"/>
          <w:color w:val="000000"/>
          <w:sz w:val="26"/>
          <w:szCs w:val="26"/>
          <w14:ligatures w14:val="standard"/>
        </w:rPr>
        <w:t xml:space="preserve">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3" w:name="_Toc110076273"/>
      <w:bookmarkStart w:id="244" w:name="_Toc163380712"/>
      <w:bookmarkStart w:id="245" w:name="_Toc180553628"/>
      <w:bookmarkStart w:id="246" w:name="_Toc205799104"/>
      <w:bookmarkStart w:id="247" w:name="_Toc241983079"/>
      <w:bookmarkStart w:id="248" w:name="_Toc422473384"/>
      <w:bookmarkStart w:id="249" w:name="_Toc428208333"/>
      <w:r w:rsidRPr="00927E02">
        <w:rPr>
          <w:rFonts w:ascii="Times New Roman" w:hAnsi="Times New Roman"/>
          <w:b w:val="0"/>
          <w:smallCaps/>
          <w:color w:val="000000"/>
          <w:sz w:val="26"/>
          <w:szCs w:val="26"/>
          <w:u w:val="single"/>
          <w14:ligatures w14:val="standard"/>
        </w:rPr>
        <w:lastRenderedPageBreak/>
        <w:t>Registro deste Termo</w:t>
      </w:r>
      <w:bookmarkEnd w:id="243"/>
      <w:bookmarkEnd w:id="244"/>
      <w:bookmarkEnd w:id="245"/>
      <w:bookmarkEnd w:id="246"/>
      <w:bookmarkEnd w:id="247"/>
      <w:bookmarkEnd w:id="248"/>
      <w:bookmarkEnd w:id="249"/>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50" w:name="_Toc162083611"/>
      <w:bookmarkStart w:id="251" w:name="_Toc163043028"/>
      <w:bookmarkStart w:id="252" w:name="_Toc163311032"/>
      <w:bookmarkStart w:id="253" w:name="_Toc163380716"/>
      <w:bookmarkStart w:id="254" w:name="_Toc180553632"/>
      <w:bookmarkStart w:id="255" w:name="_Toc205799108"/>
      <w:bookmarkStart w:id="256" w:name="_Toc241983081"/>
      <w:bookmarkStart w:id="257" w:name="_Toc422473385"/>
      <w:bookmarkStart w:id="258" w:name="_Toc428208334"/>
      <w:bookmarkStart w:id="259" w:name="_Toc162079650"/>
      <w:bookmarkStart w:id="260" w:name="_Toc162083623"/>
      <w:bookmarkStart w:id="261"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4" w:history="1">
        <w:r w:rsidRPr="00927E02">
          <w:rPr>
            <w:rStyle w:val="Hyperlink"/>
            <w:snapToGrid w:val="0"/>
            <w:sz w:val="26"/>
            <w:szCs w:val="26"/>
          </w:rPr>
          <w:t>gestao@isecbrasil.com.br</w:t>
        </w:r>
      </w:hyperlink>
      <w:r w:rsidRPr="00927E02">
        <w:rPr>
          <w:snapToGrid w:val="0"/>
          <w:sz w:val="26"/>
          <w:szCs w:val="26"/>
        </w:rPr>
        <w:t xml:space="preserve"> e </w:t>
      </w:r>
      <w:hyperlink r:id="rId35"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hyperlink r:id="rId36"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2" w:name="_Toc110076274"/>
      <w:bookmarkStart w:id="263" w:name="_Toc163380715"/>
      <w:bookmarkStart w:id="264" w:name="_Toc180553631"/>
      <w:bookmarkStart w:id="265" w:name="_Toc205799107"/>
      <w:bookmarkStart w:id="266" w:name="_Toc241983080"/>
      <w:bookmarkStart w:id="267" w:name="_Toc422473386"/>
      <w:bookmarkStart w:id="268" w:name="_Toc428208335"/>
      <w:bookmarkEnd w:id="250"/>
      <w:bookmarkEnd w:id="251"/>
      <w:bookmarkEnd w:id="252"/>
      <w:bookmarkEnd w:id="253"/>
      <w:bookmarkEnd w:id="254"/>
      <w:bookmarkEnd w:id="255"/>
      <w:bookmarkEnd w:id="256"/>
      <w:bookmarkEnd w:id="257"/>
      <w:bookmarkEnd w:id="258"/>
      <w:r w:rsidRPr="00927E02">
        <w:rPr>
          <w:rFonts w:ascii="Times New Roman" w:hAnsi="Times New Roman"/>
          <w:b w:val="0"/>
          <w:smallCaps/>
          <w:color w:val="000000"/>
          <w:sz w:val="26"/>
          <w:szCs w:val="26"/>
          <w:u w:val="single"/>
          <w14:ligatures w14:val="standard"/>
        </w:rPr>
        <w:t>Disposições Gerais</w:t>
      </w:r>
      <w:bookmarkEnd w:id="262"/>
      <w:bookmarkEnd w:id="263"/>
      <w:bookmarkEnd w:id="264"/>
      <w:bookmarkEnd w:id="265"/>
      <w:bookmarkEnd w:id="266"/>
      <w:bookmarkEnd w:id="267"/>
      <w:bookmarkEnd w:id="268"/>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77777777"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lastRenderedPageBreak/>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12867765" w14:textId="465BE9AA" w:rsidR="00854331" w:rsidRPr="00927E02" w:rsidRDefault="007B037E"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076775" w:rsidRPr="00EC508D">
        <w:rPr>
          <w:rFonts w:eastAsia="Arial Unicode MS"/>
          <w:color w:val="000000"/>
          <w:sz w:val="26"/>
          <w:szCs w:val="26"/>
          <w:highlight w:val="yellow"/>
          <w14:ligatures w14:val="standard"/>
        </w:rPr>
        <w:t>A</w:t>
      </w:r>
      <w:r w:rsidR="00B22D70" w:rsidRPr="007B037E">
        <w:rPr>
          <w:rFonts w:eastAsia="Arial Unicode MS"/>
          <w:color w:val="000000"/>
          <w:sz w:val="26"/>
          <w:szCs w:val="26"/>
          <w:highlight w:val="yellow"/>
          <w14:ligatures w14:val="standard"/>
        </w:rPr>
        <w:t xml:space="preserve"> Emissora</w:t>
      </w:r>
      <w:r w:rsidR="00076775" w:rsidRPr="007B037E">
        <w:rPr>
          <w:rFonts w:eastAsia="Arial Unicode MS"/>
          <w:color w:val="000000"/>
          <w:sz w:val="26"/>
          <w:szCs w:val="26"/>
          <w:highlight w:val="yellow"/>
          <w14:ligatures w14:val="standard"/>
        </w:rPr>
        <w:t>, na qualidade de titular das Debêntures,</w:t>
      </w:r>
      <w:r w:rsidR="00B22D70" w:rsidRPr="007B037E">
        <w:rPr>
          <w:rFonts w:eastAsia="Arial Unicode MS"/>
          <w:color w:val="000000"/>
          <w:sz w:val="26"/>
          <w:szCs w:val="26"/>
          <w:highlight w:val="yellow"/>
          <w14:ligatures w14:val="standard"/>
        </w:rPr>
        <w:t xml:space="preserve"> fica</w:t>
      </w:r>
      <w:r w:rsidR="007B631E" w:rsidRPr="007B037E">
        <w:rPr>
          <w:rFonts w:eastAsia="Arial Unicode MS"/>
          <w:color w:val="000000"/>
          <w:sz w:val="26"/>
          <w:szCs w:val="26"/>
          <w:highlight w:val="yellow"/>
          <w14:ligatures w14:val="standard"/>
        </w:rPr>
        <w:t>, desde já,</w:t>
      </w:r>
      <w:r w:rsidR="00B22D70" w:rsidRPr="007B037E">
        <w:rPr>
          <w:rFonts w:eastAsia="Arial Unicode MS"/>
          <w:color w:val="000000"/>
          <w:sz w:val="26"/>
          <w:szCs w:val="26"/>
          <w:highlight w:val="yellow"/>
          <w14:ligatures w14:val="standard"/>
        </w:rPr>
        <w:t xml:space="preserve"> autorizada a aprovar</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em </w:t>
      </w:r>
      <w:r w:rsidR="00076775" w:rsidRPr="007B037E">
        <w:rPr>
          <w:rFonts w:eastAsia="Arial Unicode MS"/>
          <w:color w:val="000000"/>
          <w:sz w:val="26"/>
          <w:szCs w:val="26"/>
          <w:highlight w:val="yellow"/>
          <w14:ligatures w14:val="standard"/>
        </w:rPr>
        <w:t xml:space="preserve">Assembleia Geral </w:t>
      </w:r>
      <w:r w:rsidR="00B22D70" w:rsidRPr="007B037E">
        <w:rPr>
          <w:rFonts w:eastAsia="Arial Unicode MS"/>
          <w:color w:val="000000"/>
          <w:sz w:val="26"/>
          <w:szCs w:val="26"/>
          <w:highlight w:val="yellow"/>
          <w14:ligatures w14:val="standard"/>
        </w:rPr>
        <w:t>das Debêntures</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a redução de capital social da </w:t>
      </w:r>
      <w:r w:rsidR="00870F45" w:rsidRPr="007B037E">
        <w:rPr>
          <w:rFonts w:eastAsia="Arial Unicode MS"/>
          <w:color w:val="000000"/>
          <w:sz w:val="26"/>
          <w:szCs w:val="26"/>
          <w:highlight w:val="yellow"/>
          <w14:ligatures w14:val="standard"/>
        </w:rPr>
        <w:t>Devedora</w:t>
      </w:r>
      <w:r w:rsidRPr="007B037E">
        <w:rPr>
          <w:rFonts w:eastAsia="Arial Unicode MS"/>
          <w:color w:val="000000"/>
          <w:sz w:val="26"/>
          <w:szCs w:val="26"/>
          <w:highlight w:val="yellow"/>
          <w14:ligatures w14:val="standard"/>
        </w:rPr>
        <w:t>, nos termos d</w:t>
      </w:r>
      <w:r w:rsidR="00C57959" w:rsidRPr="007B037E">
        <w:rPr>
          <w:rFonts w:eastAsia="Arial Unicode MS"/>
          <w:color w:val="000000"/>
          <w:sz w:val="26"/>
          <w:szCs w:val="26"/>
          <w:highlight w:val="yellow"/>
          <w14:ligatures w14:val="standard"/>
        </w:rPr>
        <w:t xml:space="preserve">as condições </w:t>
      </w:r>
      <w:r w:rsidR="00B22D70" w:rsidRPr="007B037E">
        <w:rPr>
          <w:rFonts w:eastAsia="Arial Unicode MS"/>
          <w:color w:val="000000"/>
          <w:sz w:val="26"/>
          <w:szCs w:val="26"/>
          <w:highlight w:val="yellow"/>
          <w14:ligatures w14:val="standard"/>
        </w:rPr>
        <w:t>prevista</w:t>
      </w:r>
      <w:r w:rsidR="00C57959" w:rsidRPr="007B037E">
        <w:rPr>
          <w:rFonts w:eastAsia="Arial Unicode MS"/>
          <w:color w:val="000000"/>
          <w:sz w:val="26"/>
          <w:szCs w:val="26"/>
          <w:highlight w:val="yellow"/>
          <w14:ligatures w14:val="standard"/>
        </w:rPr>
        <w:t>s</w:t>
      </w:r>
      <w:r w:rsidR="00B22D70" w:rsidRPr="007B037E">
        <w:rPr>
          <w:rFonts w:eastAsia="Arial Unicode MS"/>
          <w:color w:val="000000"/>
          <w:sz w:val="26"/>
          <w:szCs w:val="26"/>
          <w:highlight w:val="yellow"/>
          <w14:ligatures w14:val="standard"/>
        </w:rPr>
        <w:t xml:space="preserve"> na Cláusula </w:t>
      </w:r>
      <w:r w:rsidRPr="007B037E">
        <w:rPr>
          <w:rFonts w:eastAsia="Arial Unicode MS"/>
          <w:color w:val="000000"/>
          <w:sz w:val="26"/>
          <w:szCs w:val="26"/>
          <w:highlight w:val="yellow"/>
          <w14:ligatures w14:val="standard"/>
        </w:rPr>
        <w:t xml:space="preserve">7.3.1, inciso VII, </w:t>
      </w:r>
      <w:r w:rsidRPr="00EC508D">
        <w:rPr>
          <w:rFonts w:eastAsia="Arial Unicode MS"/>
          <w:color w:val="000000"/>
          <w:sz w:val="26"/>
          <w:szCs w:val="26"/>
          <w:highlight w:val="yellow"/>
          <w14:ligatures w14:val="standard"/>
        </w:rPr>
        <w:t>acima</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9" w:name="_Toc422473387"/>
      <w:bookmarkStart w:id="270" w:name="_Toc428208336"/>
      <w:r w:rsidRPr="00927E02">
        <w:rPr>
          <w:rFonts w:ascii="Times New Roman" w:hAnsi="Times New Roman"/>
          <w:b w:val="0"/>
          <w:smallCaps/>
          <w:color w:val="000000"/>
          <w:sz w:val="26"/>
          <w:szCs w:val="26"/>
          <w:u w:val="single"/>
          <w14:ligatures w14:val="standard"/>
        </w:rPr>
        <w:lastRenderedPageBreak/>
        <w:t>Legislação Aplicável e Foro</w:t>
      </w:r>
      <w:bookmarkEnd w:id="269"/>
      <w:bookmarkEnd w:id="270"/>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59"/>
    <w:bookmarkEnd w:id="260"/>
    <w:bookmarkEnd w:id="261"/>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09659B4E"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EC508D">
        <w:rPr>
          <w:sz w:val="26"/>
          <w:szCs w:val="26"/>
          <w:highlight w:val="yellow"/>
          <w14:ligatures w14:val="standard"/>
        </w:rPr>
        <w:t>[</w:t>
      </w:r>
      <w:r w:rsidR="00443BDE" w:rsidRPr="00EC508D">
        <w:rPr>
          <w:sz w:val="26"/>
          <w:szCs w:val="26"/>
          <w:highlight w:val="yellow"/>
          <w14:ligatures w14:val="standard"/>
        </w:rPr>
        <w:t>=</w:t>
      </w:r>
      <w:r w:rsidR="007570DF" w:rsidRPr="00EC508D">
        <w:rPr>
          <w:sz w:val="26"/>
          <w:szCs w:val="26"/>
          <w:highlight w:val="yellow"/>
          <w14:ligatures w14:val="standard"/>
        </w:rPr>
        <w:t>]</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smallCaps/>
          <w:color w:val="000000"/>
          <w:sz w:val="26"/>
          <w:szCs w:val="26"/>
          <w14:ligatures w14:val="standard"/>
        </w:rPr>
      </w:pPr>
    </w:p>
    <w:p w14:paraId="606EFD7F" w14:textId="77777777" w:rsidR="001E24EC" w:rsidRDefault="001E24EC" w:rsidP="00731575">
      <w:pPr>
        <w:widowControl w:val="0"/>
        <w:spacing w:line="300" w:lineRule="exact"/>
        <w:jc w:val="center"/>
        <w:rPr>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71" w:name="_DV_M138"/>
      <w:bookmarkStart w:id="272" w:name="_DV_M144"/>
      <w:bookmarkStart w:id="273" w:name="_DV_M239"/>
      <w:bookmarkStart w:id="274" w:name="_DV_M240"/>
      <w:bookmarkStart w:id="275" w:name="_DV_M241"/>
      <w:bookmarkStart w:id="276" w:name="_DV_M242"/>
      <w:bookmarkStart w:id="277" w:name="_DV_M243"/>
      <w:bookmarkStart w:id="278" w:name="_DV_M244"/>
      <w:bookmarkStart w:id="279" w:name="_DV_M245"/>
      <w:bookmarkStart w:id="280" w:name="_DV_M246"/>
      <w:bookmarkStart w:id="281" w:name="_DV_M247"/>
      <w:bookmarkStart w:id="282" w:name="_DV_M249"/>
      <w:bookmarkStart w:id="283" w:name="_DV_M252"/>
      <w:bookmarkStart w:id="284" w:name="_DV_M253"/>
      <w:bookmarkStart w:id="285" w:name="_DV_M254"/>
      <w:bookmarkStart w:id="286" w:name="_DV_M255"/>
      <w:bookmarkStart w:id="287" w:name="_DV_M256"/>
      <w:bookmarkStart w:id="288" w:name="_DV_M257"/>
      <w:bookmarkStart w:id="289" w:name="_DV_M258"/>
      <w:bookmarkStart w:id="290" w:name="_DV_M259"/>
      <w:bookmarkStart w:id="291" w:name="_DV_M260"/>
      <w:bookmarkStart w:id="292" w:name="_DV_M261"/>
      <w:bookmarkStart w:id="293" w:name="_DV_M262"/>
      <w:bookmarkStart w:id="294" w:name="_DV_M263"/>
      <w:bookmarkStart w:id="295" w:name="_DV_M265"/>
      <w:bookmarkStart w:id="296" w:name="_DV_M266"/>
      <w:bookmarkStart w:id="297" w:name="_DV_M267"/>
      <w:bookmarkStart w:id="298" w:name="_DV_M268"/>
      <w:bookmarkStart w:id="299" w:name="_DV_M272"/>
      <w:bookmarkStart w:id="300" w:name="_DV_M27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smallCaps/>
          <w:color w:val="000000"/>
          <w:sz w:val="26"/>
          <w:szCs w:val="26"/>
          <w14:ligatures w14:val="standard"/>
        </w:rPr>
      </w:pPr>
    </w:p>
    <w:p w14:paraId="512E5FCC" w14:textId="77777777" w:rsidR="001E24EC" w:rsidRDefault="001E24EC" w:rsidP="00731575">
      <w:pPr>
        <w:widowControl w:val="0"/>
        <w:spacing w:line="300" w:lineRule="exact"/>
        <w:jc w:val="center"/>
        <w:rPr>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smallCaps/>
          <w:color w:val="000000"/>
          <w:sz w:val="26"/>
          <w:szCs w:val="26"/>
          <w14:ligatures w14:val="standard"/>
        </w:rPr>
      </w:pPr>
    </w:p>
    <w:p w14:paraId="64FCD4EE" w14:textId="77777777" w:rsidR="001E24EC" w:rsidRDefault="001E24EC" w:rsidP="00731575">
      <w:pPr>
        <w:widowControl w:val="0"/>
        <w:spacing w:line="300" w:lineRule="exact"/>
        <w:jc w:val="center"/>
        <w:rPr>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301" w:name="_DV_M688"/>
      <w:bookmarkStart w:id="302" w:name="_DV_M689"/>
      <w:bookmarkEnd w:id="301"/>
      <w:bookmarkEnd w:id="302"/>
    </w:p>
    <w:p w14:paraId="22C7ADC6" w14:textId="77777777" w:rsidR="001E24EC" w:rsidRDefault="001E24EC" w:rsidP="00731575">
      <w:pPr>
        <w:widowControl w:val="0"/>
        <w:spacing w:line="300" w:lineRule="exact"/>
        <w:jc w:val="center"/>
        <w:rPr>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smallCaps/>
          <w:color w:val="000000"/>
          <w:sz w:val="26"/>
          <w:szCs w:val="26"/>
          <w14:ligatures w14:val="standard"/>
        </w:rPr>
      </w:pPr>
    </w:p>
    <w:p w14:paraId="668C05E6" w14:textId="77777777" w:rsidR="001E24EC" w:rsidRDefault="001E24EC" w:rsidP="00731575">
      <w:pPr>
        <w:widowControl w:val="0"/>
        <w:spacing w:line="300" w:lineRule="exact"/>
        <w:jc w:val="center"/>
        <w:rPr>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smallCaps/>
          <w:color w:val="000000"/>
          <w:sz w:val="26"/>
          <w:szCs w:val="26"/>
          <w14:ligatures w14:val="standard"/>
        </w:rPr>
      </w:pPr>
    </w:p>
    <w:p w14:paraId="21978890" w14:textId="77777777" w:rsidR="001E24EC" w:rsidRDefault="001E24EC" w:rsidP="00731575">
      <w:pPr>
        <w:widowControl w:val="0"/>
        <w:spacing w:line="300" w:lineRule="exact"/>
        <w:jc w:val="center"/>
        <w:rPr>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smallCaps/>
          <w:color w:val="000000"/>
          <w:sz w:val="26"/>
          <w:szCs w:val="26"/>
          <w14:ligatures w14:val="standard"/>
        </w:rPr>
      </w:pPr>
    </w:p>
    <w:p w14:paraId="708EA465" w14:textId="77777777" w:rsidR="009D17C1" w:rsidRDefault="009D17C1" w:rsidP="00BC3DA1">
      <w:pPr>
        <w:widowControl w:val="0"/>
        <w:spacing w:line="300" w:lineRule="exact"/>
        <w:jc w:val="center"/>
        <w:rPr>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07509446"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32A87AA0" w14:textId="77777777" w:rsidR="009D17C1" w:rsidRDefault="009D17C1" w:rsidP="00E61FB2">
      <w:pPr>
        <w:widowControl w:val="0"/>
        <w:spacing w:line="300" w:lineRule="exact"/>
        <w:jc w:val="center"/>
        <w:rPr>
          <w:smallCaps/>
          <w:color w:val="000000"/>
          <w:sz w:val="26"/>
          <w:szCs w:val="26"/>
          <w14:ligatures w14:val="standard"/>
        </w:rPr>
      </w:pPr>
    </w:p>
    <w:p w14:paraId="1DA2E1E1" w14:textId="77777777" w:rsidR="009D17C1" w:rsidRDefault="009D17C1" w:rsidP="00E61FB2">
      <w:pPr>
        <w:widowControl w:val="0"/>
        <w:spacing w:line="300" w:lineRule="exact"/>
        <w:jc w:val="center"/>
        <w:rPr>
          <w:smallCaps/>
          <w:color w:val="000000"/>
          <w:sz w:val="26"/>
          <w:szCs w:val="26"/>
          <w14:ligatures w14:val="standard"/>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smallCaps/>
          <w:color w:val="000000"/>
          <w:sz w:val="26"/>
          <w:szCs w:val="26"/>
          <w14:ligatures w14:val="standard"/>
        </w:rPr>
      </w:pPr>
    </w:p>
    <w:p w14:paraId="113872C9" w14:textId="77777777" w:rsidR="009D17C1" w:rsidRDefault="009D17C1" w:rsidP="00C16B36">
      <w:pPr>
        <w:widowControl w:val="0"/>
        <w:spacing w:line="300" w:lineRule="exact"/>
        <w:jc w:val="center"/>
        <w:rPr>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EC508D">
        <w:rPr>
          <w:smallCaps/>
          <w:color w:val="000000"/>
          <w:sz w:val="26"/>
          <w:szCs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081226"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B0669B" w:rsidRDefault="00081226">
            <w:pPr>
              <w:jc w:val="center"/>
              <w:rPr>
                <w:b/>
                <w:bCs/>
                <w:color w:val="000000"/>
                <w:sz w:val="20"/>
                <w:szCs w:val="20"/>
              </w:rPr>
            </w:pPr>
            <w:r w:rsidRPr="00B0669B">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30C83D81" w:rsidR="00081226" w:rsidRPr="00536504" w:rsidRDefault="00081226">
            <w:pPr>
              <w:jc w:val="center"/>
              <w:rPr>
                <w:b/>
                <w:bCs/>
                <w:color w:val="000000"/>
                <w:sz w:val="20"/>
                <w:szCs w:val="20"/>
              </w:rPr>
            </w:pPr>
            <w:r w:rsidRPr="00536504">
              <w:rPr>
                <w:b/>
                <w:bCs/>
                <w:color w:val="000000"/>
                <w:sz w:val="20"/>
                <w:szCs w:val="20"/>
              </w:rPr>
              <w:t>Data</w:t>
            </w:r>
            <w:r w:rsidR="003F6C4C">
              <w:rPr>
                <w:b/>
                <w:bCs/>
                <w:color w:val="000000"/>
                <w:sz w:val="20"/>
                <w:szCs w:val="20"/>
              </w:rPr>
              <w:t>s</w:t>
            </w:r>
            <w:r w:rsidRPr="00536504">
              <w:rPr>
                <w:b/>
                <w:bCs/>
                <w:color w:val="000000"/>
                <w:sz w:val="20"/>
                <w:szCs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5FFF6D3" w:rsidR="00081226" w:rsidRPr="00B0669B" w:rsidRDefault="00081226">
            <w:pPr>
              <w:jc w:val="center"/>
              <w:rPr>
                <w:b/>
                <w:bCs/>
                <w:color w:val="000000"/>
                <w:sz w:val="20"/>
                <w:szCs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B0669B" w:rsidRDefault="00081226">
            <w:pPr>
              <w:jc w:val="center"/>
              <w:rPr>
                <w:b/>
                <w:bCs/>
                <w:color w:val="000000"/>
                <w:sz w:val="20"/>
                <w:szCs w:val="20"/>
              </w:rPr>
            </w:pPr>
            <w:r w:rsidRPr="00B0669B">
              <w:rPr>
                <w:b/>
                <w:bCs/>
                <w:color w:val="000000"/>
                <w:sz w:val="20"/>
                <w:szCs w:val="20"/>
              </w:rPr>
              <w:t>Pagamento de Juros</w:t>
            </w:r>
            <w:r w:rsidR="0073539E">
              <w:rPr>
                <w:b/>
                <w:bCs/>
                <w:color w:val="000000"/>
                <w:sz w:val="20"/>
                <w:szCs w:val="20"/>
              </w:rPr>
              <w:t>?</w:t>
            </w:r>
          </w:p>
        </w:tc>
      </w:tr>
      <w:tr w:rsidR="00536504"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B0669B" w:rsidRDefault="00536504">
            <w:pPr>
              <w:jc w:val="center"/>
              <w:rPr>
                <w:color w:val="000000"/>
                <w:sz w:val="20"/>
                <w:szCs w:val="20"/>
              </w:rPr>
            </w:pPr>
            <w:r w:rsidRPr="00B0669B">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2384D9BE" w:rsidR="00536504" w:rsidRPr="00536504" w:rsidRDefault="00536504">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B0669B" w:rsidRDefault="00536504">
            <w:pPr>
              <w:jc w:val="center"/>
              <w:rPr>
                <w:color w:val="000000"/>
                <w:sz w:val="20"/>
                <w:szCs w:val="20"/>
              </w:rPr>
            </w:pPr>
            <w:r w:rsidRPr="00B0669B">
              <w:rPr>
                <w:color w:val="000000"/>
                <w:sz w:val="20"/>
                <w:szCs w:val="20"/>
              </w:rPr>
              <w:t>SIM</w:t>
            </w:r>
          </w:p>
        </w:tc>
      </w:tr>
      <w:tr w:rsidR="00536504"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B0669B" w:rsidRDefault="00536504">
            <w:pPr>
              <w:jc w:val="center"/>
              <w:rPr>
                <w:color w:val="000000"/>
                <w:sz w:val="20"/>
                <w:szCs w:val="20"/>
              </w:rPr>
            </w:pPr>
            <w:r w:rsidRPr="00B0669B">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3AA217E7" w:rsidR="00536504" w:rsidRPr="00536504" w:rsidRDefault="00536504">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B0669B" w:rsidRDefault="00536504">
            <w:pPr>
              <w:jc w:val="center"/>
              <w:rPr>
                <w:color w:val="000000"/>
                <w:sz w:val="20"/>
                <w:szCs w:val="20"/>
              </w:rPr>
            </w:pPr>
            <w:r w:rsidRPr="00B0669B">
              <w:rPr>
                <w:color w:val="000000"/>
                <w:sz w:val="20"/>
                <w:szCs w:val="20"/>
              </w:rPr>
              <w:t>SIM</w:t>
            </w:r>
          </w:p>
        </w:tc>
      </w:tr>
      <w:tr w:rsidR="00536504"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B0669B" w:rsidRDefault="00536504">
            <w:pPr>
              <w:jc w:val="center"/>
              <w:rPr>
                <w:color w:val="000000"/>
                <w:sz w:val="20"/>
                <w:szCs w:val="20"/>
              </w:rPr>
            </w:pPr>
            <w:r w:rsidRPr="00B0669B">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777BD680" w:rsidR="00536504" w:rsidRPr="00536504" w:rsidRDefault="00536504">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B0669B" w:rsidRDefault="00536504">
            <w:pPr>
              <w:jc w:val="center"/>
              <w:rPr>
                <w:color w:val="000000"/>
                <w:sz w:val="20"/>
                <w:szCs w:val="20"/>
              </w:rPr>
            </w:pPr>
            <w:r w:rsidRPr="00B0669B">
              <w:rPr>
                <w:color w:val="000000"/>
                <w:sz w:val="20"/>
                <w:szCs w:val="20"/>
              </w:rPr>
              <w:t>SIM</w:t>
            </w:r>
          </w:p>
        </w:tc>
      </w:tr>
      <w:tr w:rsidR="00536504"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B0669B" w:rsidRDefault="00536504">
            <w:pPr>
              <w:jc w:val="center"/>
              <w:rPr>
                <w:color w:val="000000"/>
                <w:sz w:val="20"/>
                <w:szCs w:val="20"/>
              </w:rPr>
            </w:pPr>
            <w:r w:rsidRPr="00B0669B">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64E0E7AE" w:rsidR="00536504" w:rsidRPr="00536504" w:rsidRDefault="00536504">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B0669B" w:rsidRDefault="00536504">
            <w:pPr>
              <w:jc w:val="center"/>
              <w:rPr>
                <w:color w:val="000000"/>
                <w:sz w:val="20"/>
                <w:szCs w:val="20"/>
              </w:rPr>
            </w:pPr>
            <w:r w:rsidRPr="00B0669B">
              <w:rPr>
                <w:color w:val="000000"/>
                <w:sz w:val="20"/>
                <w:szCs w:val="20"/>
              </w:rPr>
              <w:t>SIM</w:t>
            </w:r>
          </w:p>
        </w:tc>
      </w:tr>
      <w:tr w:rsidR="00536504"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B0669B" w:rsidRDefault="00536504">
            <w:pPr>
              <w:jc w:val="center"/>
              <w:rPr>
                <w:color w:val="000000"/>
                <w:sz w:val="20"/>
                <w:szCs w:val="20"/>
              </w:rPr>
            </w:pPr>
            <w:r w:rsidRPr="00B0669B">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324EFBB" w:rsidR="00536504" w:rsidRPr="00536504" w:rsidRDefault="00536504">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B0669B" w:rsidRDefault="00536504">
            <w:pPr>
              <w:jc w:val="center"/>
              <w:rPr>
                <w:color w:val="000000"/>
                <w:sz w:val="20"/>
                <w:szCs w:val="20"/>
              </w:rPr>
            </w:pPr>
            <w:r w:rsidRPr="00B0669B">
              <w:rPr>
                <w:color w:val="000000"/>
                <w:sz w:val="20"/>
                <w:szCs w:val="20"/>
              </w:rPr>
              <w:t>SIM</w:t>
            </w:r>
          </w:p>
        </w:tc>
      </w:tr>
      <w:tr w:rsidR="00536504"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B0669B" w:rsidRDefault="00536504">
            <w:pPr>
              <w:jc w:val="center"/>
              <w:rPr>
                <w:color w:val="000000"/>
                <w:sz w:val="20"/>
                <w:szCs w:val="20"/>
              </w:rPr>
            </w:pPr>
            <w:r w:rsidRPr="00B0669B">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5B0D9387" w:rsidR="00536504" w:rsidRPr="00536504" w:rsidRDefault="00536504">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B0669B" w:rsidRDefault="00536504">
            <w:pPr>
              <w:jc w:val="center"/>
              <w:rPr>
                <w:color w:val="000000"/>
                <w:sz w:val="20"/>
                <w:szCs w:val="20"/>
              </w:rPr>
            </w:pPr>
            <w:r w:rsidRPr="00B0669B">
              <w:rPr>
                <w:color w:val="000000"/>
                <w:sz w:val="20"/>
                <w:szCs w:val="20"/>
              </w:rPr>
              <w:t>SIM</w:t>
            </w:r>
          </w:p>
        </w:tc>
      </w:tr>
      <w:tr w:rsidR="00536504"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B0669B" w:rsidRDefault="00536504">
            <w:pPr>
              <w:jc w:val="center"/>
              <w:rPr>
                <w:color w:val="000000"/>
                <w:sz w:val="20"/>
                <w:szCs w:val="20"/>
              </w:rPr>
            </w:pPr>
            <w:r w:rsidRPr="00B0669B">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32E17D88" w:rsidR="00536504" w:rsidRPr="00536504" w:rsidRDefault="00536504">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B0669B" w:rsidRDefault="00536504">
            <w:pPr>
              <w:jc w:val="center"/>
              <w:rPr>
                <w:color w:val="000000"/>
                <w:sz w:val="20"/>
                <w:szCs w:val="20"/>
              </w:rPr>
            </w:pPr>
            <w:r w:rsidRPr="00B0669B">
              <w:rPr>
                <w:color w:val="000000"/>
                <w:sz w:val="20"/>
                <w:szCs w:val="20"/>
              </w:rPr>
              <w:t>SIM</w:t>
            </w:r>
          </w:p>
        </w:tc>
      </w:tr>
      <w:tr w:rsidR="00536504"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B0669B" w:rsidRDefault="00536504">
            <w:pPr>
              <w:jc w:val="center"/>
              <w:rPr>
                <w:color w:val="000000"/>
                <w:sz w:val="20"/>
                <w:szCs w:val="20"/>
              </w:rPr>
            </w:pPr>
            <w:r w:rsidRPr="00B0669B">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0F999BEE" w:rsidR="00536504" w:rsidRPr="00536504" w:rsidRDefault="00536504">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B0669B" w:rsidRDefault="00536504">
            <w:pPr>
              <w:jc w:val="center"/>
              <w:rPr>
                <w:color w:val="000000"/>
                <w:sz w:val="20"/>
                <w:szCs w:val="20"/>
              </w:rPr>
            </w:pPr>
            <w:r w:rsidRPr="00B0669B">
              <w:rPr>
                <w:color w:val="000000"/>
                <w:sz w:val="20"/>
                <w:szCs w:val="20"/>
              </w:rPr>
              <w:t>SIM</w:t>
            </w:r>
          </w:p>
        </w:tc>
      </w:tr>
      <w:tr w:rsidR="00536504"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B0669B" w:rsidRDefault="00536504">
            <w:pPr>
              <w:jc w:val="center"/>
              <w:rPr>
                <w:color w:val="000000"/>
                <w:sz w:val="20"/>
                <w:szCs w:val="20"/>
              </w:rPr>
            </w:pPr>
            <w:r w:rsidRPr="00B0669B">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12FFC4EB" w:rsidR="00536504" w:rsidRPr="00536504" w:rsidRDefault="00536504">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B0669B" w:rsidRDefault="00536504">
            <w:pPr>
              <w:jc w:val="center"/>
              <w:rPr>
                <w:color w:val="000000"/>
                <w:sz w:val="20"/>
                <w:szCs w:val="20"/>
              </w:rPr>
            </w:pPr>
            <w:r w:rsidRPr="00B0669B">
              <w:rPr>
                <w:color w:val="000000"/>
                <w:sz w:val="20"/>
                <w:szCs w:val="20"/>
              </w:rPr>
              <w:t>SIM</w:t>
            </w:r>
          </w:p>
        </w:tc>
      </w:tr>
      <w:tr w:rsidR="00536504"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B0669B" w:rsidRDefault="00536504">
            <w:pPr>
              <w:jc w:val="center"/>
              <w:rPr>
                <w:color w:val="000000"/>
                <w:sz w:val="20"/>
                <w:szCs w:val="20"/>
              </w:rPr>
            </w:pPr>
            <w:r w:rsidRPr="00B0669B">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79321B79" w:rsidR="00536504" w:rsidRPr="00536504" w:rsidRDefault="00536504">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B0669B" w:rsidRDefault="00536504">
            <w:pPr>
              <w:jc w:val="center"/>
              <w:rPr>
                <w:color w:val="000000"/>
                <w:sz w:val="20"/>
                <w:szCs w:val="20"/>
              </w:rPr>
            </w:pPr>
            <w:r w:rsidRPr="00B0669B">
              <w:rPr>
                <w:color w:val="000000"/>
                <w:sz w:val="20"/>
                <w:szCs w:val="20"/>
              </w:rPr>
              <w:t>SIM</w:t>
            </w:r>
          </w:p>
        </w:tc>
      </w:tr>
      <w:tr w:rsidR="00536504"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B0669B" w:rsidRDefault="00536504">
            <w:pPr>
              <w:jc w:val="center"/>
              <w:rPr>
                <w:color w:val="000000"/>
                <w:sz w:val="20"/>
                <w:szCs w:val="20"/>
              </w:rPr>
            </w:pPr>
            <w:r w:rsidRPr="00B0669B">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1254E254" w:rsidR="00536504" w:rsidRPr="00536504" w:rsidRDefault="00536504">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B0669B" w:rsidRDefault="00536504">
            <w:pPr>
              <w:jc w:val="center"/>
              <w:rPr>
                <w:color w:val="000000"/>
                <w:sz w:val="20"/>
                <w:szCs w:val="20"/>
              </w:rPr>
            </w:pPr>
            <w:r w:rsidRPr="00B0669B">
              <w:rPr>
                <w:color w:val="000000"/>
                <w:sz w:val="20"/>
                <w:szCs w:val="20"/>
              </w:rPr>
              <w:t>SIM</w:t>
            </w:r>
          </w:p>
        </w:tc>
      </w:tr>
      <w:tr w:rsidR="00536504"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B0669B" w:rsidRDefault="00536504">
            <w:pPr>
              <w:jc w:val="center"/>
              <w:rPr>
                <w:color w:val="000000"/>
                <w:sz w:val="20"/>
                <w:szCs w:val="20"/>
              </w:rPr>
            </w:pPr>
            <w:r w:rsidRPr="00B0669B">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D7B5D3F" w:rsidR="00536504" w:rsidRPr="00536504" w:rsidRDefault="00536504">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B0669B" w:rsidRDefault="00536504">
            <w:pPr>
              <w:jc w:val="center"/>
              <w:rPr>
                <w:color w:val="000000"/>
                <w:sz w:val="20"/>
                <w:szCs w:val="20"/>
              </w:rPr>
            </w:pPr>
            <w:r w:rsidRPr="00B0669B">
              <w:rPr>
                <w:color w:val="000000"/>
                <w:sz w:val="20"/>
                <w:szCs w:val="20"/>
              </w:rPr>
              <w:t>SIM</w:t>
            </w:r>
          </w:p>
        </w:tc>
      </w:tr>
      <w:tr w:rsidR="00536504"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B0669B" w:rsidRDefault="00536504">
            <w:pPr>
              <w:jc w:val="center"/>
              <w:rPr>
                <w:color w:val="000000"/>
                <w:sz w:val="20"/>
                <w:szCs w:val="20"/>
              </w:rPr>
            </w:pPr>
            <w:r w:rsidRPr="00B0669B">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60B52495" w:rsidR="00536504" w:rsidRPr="00536504" w:rsidRDefault="00536504">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B0669B" w:rsidRDefault="00536504">
            <w:pPr>
              <w:jc w:val="center"/>
              <w:rPr>
                <w:color w:val="000000"/>
                <w:sz w:val="20"/>
                <w:szCs w:val="20"/>
              </w:rPr>
            </w:pPr>
            <w:r w:rsidRPr="00B0669B">
              <w:rPr>
                <w:color w:val="000000"/>
                <w:sz w:val="20"/>
                <w:szCs w:val="20"/>
              </w:rPr>
              <w:t>SIM</w:t>
            </w:r>
          </w:p>
        </w:tc>
      </w:tr>
      <w:tr w:rsidR="00536504"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B0669B" w:rsidRDefault="00536504">
            <w:pPr>
              <w:jc w:val="center"/>
              <w:rPr>
                <w:color w:val="000000"/>
                <w:sz w:val="20"/>
                <w:szCs w:val="20"/>
              </w:rPr>
            </w:pPr>
            <w:r w:rsidRPr="00B0669B">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20495B25" w:rsidR="00536504" w:rsidRPr="00536504" w:rsidRDefault="00536504">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B0669B" w:rsidRDefault="00536504">
            <w:pPr>
              <w:jc w:val="center"/>
              <w:rPr>
                <w:color w:val="000000"/>
                <w:sz w:val="20"/>
                <w:szCs w:val="20"/>
              </w:rPr>
            </w:pPr>
            <w:r w:rsidRPr="00B0669B">
              <w:rPr>
                <w:color w:val="000000"/>
                <w:sz w:val="20"/>
                <w:szCs w:val="20"/>
              </w:rPr>
              <w:t>SIM</w:t>
            </w:r>
          </w:p>
        </w:tc>
      </w:tr>
      <w:tr w:rsidR="00536504"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B0669B" w:rsidRDefault="00536504">
            <w:pPr>
              <w:jc w:val="center"/>
              <w:rPr>
                <w:color w:val="000000"/>
                <w:sz w:val="20"/>
                <w:szCs w:val="20"/>
              </w:rPr>
            </w:pPr>
            <w:r w:rsidRPr="00B0669B">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393A6D50" w:rsidR="00536504" w:rsidRPr="00536504" w:rsidRDefault="00536504">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B0669B" w:rsidRDefault="00536504">
            <w:pPr>
              <w:jc w:val="center"/>
              <w:rPr>
                <w:color w:val="000000"/>
                <w:sz w:val="20"/>
                <w:szCs w:val="20"/>
              </w:rPr>
            </w:pPr>
            <w:r w:rsidRPr="00B0669B">
              <w:rPr>
                <w:color w:val="000000"/>
                <w:sz w:val="20"/>
                <w:szCs w:val="20"/>
              </w:rPr>
              <w:t>SIM</w:t>
            </w:r>
          </w:p>
        </w:tc>
      </w:tr>
      <w:tr w:rsidR="00536504"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B0669B" w:rsidRDefault="00536504">
            <w:pPr>
              <w:jc w:val="center"/>
              <w:rPr>
                <w:color w:val="000000"/>
                <w:sz w:val="20"/>
                <w:szCs w:val="20"/>
              </w:rPr>
            </w:pPr>
            <w:r w:rsidRPr="00B0669B">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11806BDC" w:rsidR="00536504" w:rsidRPr="00536504" w:rsidRDefault="00536504">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B0669B" w:rsidRDefault="00536504">
            <w:pPr>
              <w:jc w:val="center"/>
              <w:rPr>
                <w:color w:val="000000"/>
                <w:sz w:val="20"/>
                <w:szCs w:val="20"/>
              </w:rPr>
            </w:pPr>
            <w:r w:rsidRPr="00B0669B">
              <w:rPr>
                <w:color w:val="000000"/>
                <w:sz w:val="20"/>
                <w:szCs w:val="20"/>
              </w:rPr>
              <w:t>SIM</w:t>
            </w:r>
          </w:p>
        </w:tc>
      </w:tr>
      <w:tr w:rsidR="00536504"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B0669B" w:rsidRDefault="00536504">
            <w:pPr>
              <w:jc w:val="center"/>
              <w:rPr>
                <w:color w:val="000000"/>
                <w:sz w:val="20"/>
                <w:szCs w:val="20"/>
              </w:rPr>
            </w:pPr>
            <w:r w:rsidRPr="00B0669B">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06B68994" w:rsidR="00536504" w:rsidRPr="00536504" w:rsidRDefault="00536504">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B0669B" w:rsidRDefault="00536504">
            <w:pPr>
              <w:jc w:val="center"/>
              <w:rPr>
                <w:color w:val="000000"/>
                <w:sz w:val="20"/>
                <w:szCs w:val="20"/>
              </w:rPr>
            </w:pPr>
            <w:r w:rsidRPr="00B0669B">
              <w:rPr>
                <w:color w:val="000000"/>
                <w:sz w:val="20"/>
                <w:szCs w:val="20"/>
              </w:rPr>
              <w:t>SIM</w:t>
            </w:r>
          </w:p>
        </w:tc>
      </w:tr>
      <w:tr w:rsidR="00536504"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B0669B" w:rsidRDefault="00536504">
            <w:pPr>
              <w:jc w:val="center"/>
              <w:rPr>
                <w:color w:val="000000"/>
                <w:sz w:val="20"/>
                <w:szCs w:val="20"/>
              </w:rPr>
            </w:pPr>
            <w:r w:rsidRPr="00B0669B">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23C89E27" w:rsidR="00536504" w:rsidRPr="00536504" w:rsidRDefault="00536504">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B0669B" w:rsidRDefault="00536504">
            <w:pPr>
              <w:jc w:val="center"/>
              <w:rPr>
                <w:color w:val="000000"/>
                <w:sz w:val="20"/>
                <w:szCs w:val="20"/>
              </w:rPr>
            </w:pPr>
            <w:r w:rsidRPr="00B0669B">
              <w:rPr>
                <w:color w:val="000000"/>
                <w:sz w:val="20"/>
                <w:szCs w:val="20"/>
              </w:rPr>
              <w:t>SIM</w:t>
            </w:r>
          </w:p>
        </w:tc>
      </w:tr>
      <w:tr w:rsidR="00536504"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B0669B" w:rsidRDefault="00536504">
            <w:pPr>
              <w:jc w:val="center"/>
              <w:rPr>
                <w:color w:val="000000"/>
                <w:sz w:val="20"/>
                <w:szCs w:val="20"/>
              </w:rPr>
            </w:pPr>
            <w:r w:rsidRPr="00B0669B">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6267F829" w:rsidR="00536504" w:rsidRPr="00536504" w:rsidRDefault="00536504">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B0669B" w:rsidRDefault="00536504">
            <w:pPr>
              <w:jc w:val="center"/>
              <w:rPr>
                <w:color w:val="000000"/>
                <w:sz w:val="20"/>
                <w:szCs w:val="20"/>
              </w:rPr>
            </w:pPr>
            <w:r w:rsidRPr="00B0669B">
              <w:rPr>
                <w:color w:val="000000"/>
                <w:sz w:val="20"/>
                <w:szCs w:val="20"/>
              </w:rPr>
              <w:t>SIM</w:t>
            </w:r>
          </w:p>
        </w:tc>
      </w:tr>
      <w:tr w:rsidR="00536504"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B0669B" w:rsidRDefault="00536504">
            <w:pPr>
              <w:jc w:val="center"/>
              <w:rPr>
                <w:color w:val="000000"/>
                <w:sz w:val="20"/>
                <w:szCs w:val="20"/>
              </w:rPr>
            </w:pPr>
            <w:r w:rsidRPr="00B0669B">
              <w:rPr>
                <w:color w:val="000000"/>
                <w:sz w:val="20"/>
                <w:szCs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49A82D5D" w:rsidR="00536504" w:rsidRPr="00536504" w:rsidRDefault="00536504">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B0669B" w:rsidRDefault="00536504">
            <w:pPr>
              <w:jc w:val="center"/>
              <w:rPr>
                <w:color w:val="000000"/>
                <w:sz w:val="20"/>
                <w:szCs w:val="20"/>
              </w:rPr>
            </w:pPr>
            <w:r w:rsidRPr="00B0669B">
              <w:rPr>
                <w:color w:val="000000"/>
                <w:sz w:val="20"/>
                <w:szCs w:val="20"/>
              </w:rPr>
              <w:t>SIM</w:t>
            </w:r>
          </w:p>
        </w:tc>
      </w:tr>
      <w:tr w:rsidR="00536504"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B0669B" w:rsidRDefault="00536504">
            <w:pPr>
              <w:jc w:val="center"/>
              <w:rPr>
                <w:color w:val="000000"/>
                <w:sz w:val="20"/>
                <w:szCs w:val="20"/>
              </w:rPr>
            </w:pPr>
            <w:r w:rsidRPr="00B0669B">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53E114E9" w:rsidR="00536504" w:rsidRPr="00536504" w:rsidRDefault="00536504">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5DF4BDC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536504"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B0669B" w:rsidRDefault="00536504">
            <w:pPr>
              <w:jc w:val="center"/>
              <w:rPr>
                <w:color w:val="000000"/>
                <w:sz w:val="20"/>
                <w:szCs w:val="20"/>
              </w:rPr>
            </w:pPr>
            <w:r w:rsidRPr="00B0669B">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7CEC1D76" w:rsidR="00536504" w:rsidRPr="00536504" w:rsidRDefault="00536504">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11226C51"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536504"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B0669B" w:rsidRDefault="00536504">
            <w:pPr>
              <w:jc w:val="center"/>
              <w:rPr>
                <w:color w:val="000000"/>
                <w:sz w:val="20"/>
                <w:szCs w:val="20"/>
              </w:rPr>
            </w:pPr>
            <w:r w:rsidRPr="00B0669B">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09332A83" w:rsidR="00536504" w:rsidRPr="00536504" w:rsidRDefault="00536504">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70A2292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536504"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B0669B" w:rsidRDefault="00536504">
            <w:pPr>
              <w:jc w:val="center"/>
              <w:rPr>
                <w:color w:val="000000"/>
                <w:sz w:val="20"/>
                <w:szCs w:val="20"/>
              </w:rPr>
            </w:pPr>
            <w:r w:rsidRPr="00B0669B">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0AF293C6" w:rsidR="00536504" w:rsidRPr="00536504" w:rsidRDefault="00536504">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1811B32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536504"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B0669B" w:rsidRDefault="00536504">
            <w:pPr>
              <w:jc w:val="center"/>
              <w:rPr>
                <w:color w:val="000000"/>
                <w:sz w:val="20"/>
                <w:szCs w:val="20"/>
              </w:rPr>
            </w:pPr>
            <w:r w:rsidRPr="00B0669B">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171BBE8A" w:rsidR="00536504" w:rsidRPr="00536504" w:rsidRDefault="00536504">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7A13C8D8"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536504"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B0669B" w:rsidRDefault="00536504">
            <w:pPr>
              <w:jc w:val="center"/>
              <w:rPr>
                <w:color w:val="000000"/>
                <w:sz w:val="20"/>
                <w:szCs w:val="20"/>
              </w:rPr>
            </w:pPr>
            <w:r w:rsidRPr="00B0669B">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1E698309" w:rsidR="00536504" w:rsidRPr="00536504" w:rsidRDefault="00536504">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640CFE34"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536504"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B0669B" w:rsidRDefault="00536504">
            <w:pPr>
              <w:jc w:val="center"/>
              <w:rPr>
                <w:color w:val="000000"/>
                <w:sz w:val="20"/>
                <w:szCs w:val="20"/>
              </w:rPr>
            </w:pPr>
            <w:r w:rsidRPr="00B0669B">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50D4AE02" w:rsidR="00536504" w:rsidRPr="00536504" w:rsidRDefault="00536504">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6180F4EB"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536504"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B0669B" w:rsidRDefault="00536504">
            <w:pPr>
              <w:jc w:val="center"/>
              <w:rPr>
                <w:color w:val="000000"/>
                <w:sz w:val="20"/>
                <w:szCs w:val="20"/>
              </w:rPr>
            </w:pPr>
            <w:r w:rsidRPr="00B0669B">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0A247658" w:rsidR="00536504" w:rsidRPr="00536504" w:rsidRDefault="00536504">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B40C80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536504"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B0669B" w:rsidRDefault="00536504">
            <w:pPr>
              <w:jc w:val="center"/>
              <w:rPr>
                <w:color w:val="000000"/>
                <w:sz w:val="20"/>
                <w:szCs w:val="20"/>
              </w:rPr>
            </w:pPr>
            <w:r w:rsidRPr="00B0669B">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33DCCBDC" w:rsidR="00536504" w:rsidRPr="00536504" w:rsidRDefault="00536504">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6F4629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536504"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B0669B" w:rsidRDefault="00536504">
            <w:pPr>
              <w:jc w:val="center"/>
              <w:rPr>
                <w:color w:val="000000"/>
                <w:sz w:val="20"/>
                <w:szCs w:val="20"/>
              </w:rPr>
            </w:pPr>
            <w:r w:rsidRPr="00B0669B">
              <w:rPr>
                <w:color w:val="000000"/>
                <w:sz w:val="20"/>
                <w:szCs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3885921C" w:rsidR="00536504" w:rsidRPr="00536504" w:rsidRDefault="00536504">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71BF84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536504"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B0669B" w:rsidRDefault="00536504">
            <w:pPr>
              <w:jc w:val="center"/>
              <w:rPr>
                <w:color w:val="000000"/>
                <w:sz w:val="20"/>
                <w:szCs w:val="20"/>
              </w:rPr>
            </w:pPr>
            <w:r w:rsidRPr="00B0669B">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743182E" w:rsidR="00536504" w:rsidRPr="00536504" w:rsidRDefault="00536504">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5B57988C"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536504"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B0669B" w:rsidRDefault="00536504">
            <w:pPr>
              <w:jc w:val="center"/>
              <w:rPr>
                <w:color w:val="000000"/>
                <w:sz w:val="20"/>
                <w:szCs w:val="20"/>
              </w:rPr>
            </w:pPr>
            <w:r w:rsidRPr="00B0669B">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64039F02" w:rsidR="00536504" w:rsidRPr="00536504" w:rsidRDefault="00536504">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A84237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536504"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B0669B" w:rsidRDefault="00536504">
            <w:pPr>
              <w:jc w:val="center"/>
              <w:rPr>
                <w:color w:val="000000"/>
                <w:sz w:val="20"/>
                <w:szCs w:val="20"/>
              </w:rPr>
            </w:pPr>
            <w:r w:rsidRPr="00B0669B">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79F80B21" w:rsidR="00536504" w:rsidRPr="00536504" w:rsidRDefault="00536504">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4A51D962"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536504"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B0669B" w:rsidRDefault="00536504">
            <w:pPr>
              <w:jc w:val="center"/>
              <w:rPr>
                <w:color w:val="000000"/>
                <w:sz w:val="20"/>
                <w:szCs w:val="20"/>
              </w:rPr>
            </w:pPr>
            <w:r w:rsidRPr="00B0669B">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3BCFF769" w:rsidR="00536504" w:rsidRPr="00536504" w:rsidRDefault="00536504">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10D6B2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536504"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B0669B" w:rsidRDefault="00536504">
            <w:pPr>
              <w:jc w:val="center"/>
              <w:rPr>
                <w:color w:val="000000"/>
                <w:sz w:val="20"/>
                <w:szCs w:val="20"/>
              </w:rPr>
            </w:pPr>
            <w:r w:rsidRPr="00B0669B">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34534BE4" w:rsidR="00536504" w:rsidRPr="00536504" w:rsidRDefault="00536504">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3AD590B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536504"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B0669B" w:rsidRDefault="00536504">
            <w:pPr>
              <w:jc w:val="center"/>
              <w:rPr>
                <w:color w:val="000000"/>
                <w:sz w:val="20"/>
                <w:szCs w:val="20"/>
              </w:rPr>
            </w:pPr>
            <w:r w:rsidRPr="00B0669B">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7A932E02" w:rsidR="00536504" w:rsidRPr="00536504" w:rsidRDefault="00536504">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E1E720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536504"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B0669B" w:rsidRDefault="00536504">
            <w:pPr>
              <w:jc w:val="center"/>
              <w:rPr>
                <w:color w:val="000000"/>
                <w:sz w:val="20"/>
                <w:szCs w:val="20"/>
              </w:rPr>
            </w:pPr>
            <w:r w:rsidRPr="00B0669B">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7B590E2A" w:rsidR="00536504" w:rsidRPr="00536504" w:rsidRDefault="00536504">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61089E4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536504"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B0669B" w:rsidRDefault="00536504">
            <w:pPr>
              <w:jc w:val="center"/>
              <w:rPr>
                <w:color w:val="000000"/>
                <w:sz w:val="20"/>
                <w:szCs w:val="20"/>
              </w:rPr>
            </w:pPr>
            <w:r w:rsidRPr="00B0669B">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28162D0" w:rsidR="00536504" w:rsidRPr="00536504" w:rsidRDefault="00536504">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2ACE4A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536504"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B0669B" w:rsidRDefault="00536504">
            <w:pPr>
              <w:jc w:val="center"/>
              <w:rPr>
                <w:color w:val="000000"/>
                <w:sz w:val="20"/>
                <w:szCs w:val="20"/>
              </w:rPr>
            </w:pPr>
            <w:r w:rsidRPr="00B0669B">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58B87B49" w:rsidR="00536504" w:rsidRPr="00536504" w:rsidRDefault="00536504">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5DCDCDB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536504"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B0669B" w:rsidRDefault="00536504">
            <w:pPr>
              <w:jc w:val="center"/>
              <w:rPr>
                <w:color w:val="000000"/>
                <w:sz w:val="20"/>
                <w:szCs w:val="20"/>
              </w:rPr>
            </w:pPr>
            <w:r w:rsidRPr="00B0669B">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385E826D" w:rsidR="00536504" w:rsidRPr="00536504" w:rsidRDefault="00536504">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3B59AB8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536504"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B0669B" w:rsidRDefault="00536504">
            <w:pPr>
              <w:jc w:val="center"/>
              <w:rPr>
                <w:color w:val="000000"/>
                <w:sz w:val="20"/>
                <w:szCs w:val="20"/>
              </w:rPr>
            </w:pPr>
            <w:r w:rsidRPr="00B0669B">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CBE6073" w:rsidR="00536504" w:rsidRPr="00536504" w:rsidRDefault="00536504">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7A16A09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536504"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B0669B" w:rsidRDefault="00536504">
            <w:pPr>
              <w:jc w:val="center"/>
              <w:rPr>
                <w:color w:val="000000"/>
                <w:sz w:val="20"/>
                <w:szCs w:val="20"/>
              </w:rPr>
            </w:pPr>
            <w:r w:rsidRPr="00B0669B">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4E86CEE1" w:rsidR="00536504" w:rsidRPr="00536504" w:rsidRDefault="00536504">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511C1B1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536504"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B0669B" w:rsidRDefault="00536504">
            <w:pPr>
              <w:jc w:val="center"/>
              <w:rPr>
                <w:color w:val="000000"/>
                <w:sz w:val="20"/>
                <w:szCs w:val="20"/>
              </w:rPr>
            </w:pPr>
            <w:r w:rsidRPr="00B0669B">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24BB62EF" w:rsidR="00536504" w:rsidRPr="00536504" w:rsidRDefault="00536504">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3E4952B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536504"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B0669B" w:rsidRDefault="00536504">
            <w:pPr>
              <w:jc w:val="center"/>
              <w:rPr>
                <w:color w:val="000000"/>
                <w:sz w:val="20"/>
                <w:szCs w:val="20"/>
              </w:rPr>
            </w:pPr>
            <w:r w:rsidRPr="00B0669B">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43CF3275" w:rsidR="00536504" w:rsidRPr="00536504" w:rsidRDefault="00536504">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1DF8451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536504"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B0669B" w:rsidRDefault="00536504">
            <w:pPr>
              <w:jc w:val="center"/>
              <w:rPr>
                <w:color w:val="000000"/>
                <w:sz w:val="20"/>
                <w:szCs w:val="20"/>
              </w:rPr>
            </w:pPr>
            <w:r w:rsidRPr="00B0669B">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7ECF7EDA" w:rsidR="00536504" w:rsidRPr="00536504" w:rsidRDefault="00536504">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64F3C9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536504"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B0669B" w:rsidRDefault="00536504">
            <w:pPr>
              <w:jc w:val="center"/>
              <w:rPr>
                <w:color w:val="000000"/>
                <w:sz w:val="20"/>
                <w:szCs w:val="20"/>
              </w:rPr>
            </w:pPr>
            <w:r w:rsidRPr="00B0669B">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794274EB" w:rsidR="00536504" w:rsidRPr="00536504" w:rsidRDefault="00536504">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777F77F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536504"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B0669B" w:rsidRDefault="00536504">
            <w:pPr>
              <w:jc w:val="center"/>
              <w:rPr>
                <w:color w:val="000000"/>
                <w:sz w:val="20"/>
                <w:szCs w:val="20"/>
              </w:rPr>
            </w:pPr>
            <w:r w:rsidRPr="00B0669B">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058C41CD" w:rsidR="00536504" w:rsidRPr="00536504" w:rsidRDefault="00536504">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702A913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536504"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B0669B" w:rsidRDefault="00536504">
            <w:pPr>
              <w:jc w:val="center"/>
              <w:rPr>
                <w:color w:val="000000"/>
                <w:sz w:val="20"/>
                <w:szCs w:val="20"/>
              </w:rPr>
            </w:pPr>
            <w:r w:rsidRPr="00B0669B">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70C514A2" w:rsidR="00536504" w:rsidRPr="00536504" w:rsidRDefault="00536504">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2C115A93"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536504"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B0669B" w:rsidRDefault="00536504">
            <w:pPr>
              <w:jc w:val="center"/>
              <w:rPr>
                <w:color w:val="000000"/>
                <w:sz w:val="20"/>
                <w:szCs w:val="20"/>
              </w:rPr>
            </w:pPr>
            <w:r w:rsidRPr="00B0669B">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53B58FC6" w:rsidR="00536504" w:rsidRPr="00536504" w:rsidRDefault="00536504">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30CC756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536504"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B0669B" w:rsidRDefault="00536504">
            <w:pPr>
              <w:jc w:val="center"/>
              <w:rPr>
                <w:color w:val="000000"/>
                <w:sz w:val="20"/>
                <w:szCs w:val="20"/>
              </w:rPr>
            </w:pPr>
            <w:r w:rsidRPr="00B0669B">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775981C2" w:rsidR="00536504" w:rsidRPr="00536504" w:rsidRDefault="00536504">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2EC176A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536504"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B0669B" w:rsidRDefault="00536504">
            <w:pPr>
              <w:jc w:val="center"/>
              <w:rPr>
                <w:color w:val="000000"/>
                <w:sz w:val="20"/>
                <w:szCs w:val="20"/>
              </w:rPr>
            </w:pPr>
            <w:r w:rsidRPr="00B0669B">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FD3DFB8" w:rsidR="00536504" w:rsidRPr="00536504" w:rsidRDefault="00536504">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4EF24E1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536504"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B0669B" w:rsidRDefault="00536504">
            <w:pPr>
              <w:jc w:val="center"/>
              <w:rPr>
                <w:color w:val="000000"/>
                <w:sz w:val="20"/>
                <w:szCs w:val="20"/>
              </w:rPr>
            </w:pPr>
            <w:r w:rsidRPr="00B0669B">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3E3A7394" w:rsidR="00536504" w:rsidRPr="00536504" w:rsidRDefault="00536504">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40A9DB1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536504"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B0669B" w:rsidRDefault="00536504">
            <w:pPr>
              <w:jc w:val="center"/>
              <w:rPr>
                <w:color w:val="000000"/>
                <w:sz w:val="20"/>
                <w:szCs w:val="20"/>
              </w:rPr>
            </w:pPr>
            <w:r w:rsidRPr="00B0669B">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6370D785" w:rsidR="00536504" w:rsidRPr="00536504" w:rsidRDefault="00536504">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4F47A17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536504"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B0669B" w:rsidRDefault="00536504">
            <w:pPr>
              <w:jc w:val="center"/>
              <w:rPr>
                <w:color w:val="000000"/>
                <w:sz w:val="20"/>
                <w:szCs w:val="20"/>
              </w:rPr>
            </w:pPr>
            <w:r w:rsidRPr="00B0669B">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7B08F296" w:rsidR="00536504" w:rsidRPr="00536504" w:rsidRDefault="00536504">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0A09C8A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536504"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B0669B" w:rsidRDefault="00536504">
            <w:pPr>
              <w:jc w:val="center"/>
              <w:rPr>
                <w:color w:val="000000"/>
                <w:sz w:val="20"/>
                <w:szCs w:val="20"/>
              </w:rPr>
            </w:pPr>
            <w:r w:rsidRPr="00B0669B">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214F6C90" w:rsidR="00536504" w:rsidRPr="00536504" w:rsidRDefault="00536504">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34630BD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536504"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B0669B" w:rsidRDefault="00536504">
            <w:pPr>
              <w:jc w:val="center"/>
              <w:rPr>
                <w:color w:val="000000"/>
                <w:sz w:val="20"/>
                <w:szCs w:val="20"/>
              </w:rPr>
            </w:pPr>
            <w:r w:rsidRPr="00B0669B">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7F04A4C1" w:rsidR="00536504" w:rsidRPr="00536504" w:rsidRDefault="00536504">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56C98C1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536504"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B0669B" w:rsidRDefault="00536504">
            <w:pPr>
              <w:jc w:val="center"/>
              <w:rPr>
                <w:color w:val="000000"/>
                <w:sz w:val="20"/>
                <w:szCs w:val="20"/>
              </w:rPr>
            </w:pPr>
            <w:r w:rsidRPr="00B0669B">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70317526" w:rsidR="00536504" w:rsidRPr="00536504" w:rsidRDefault="00536504">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0D106AE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536504"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B0669B" w:rsidRDefault="00536504">
            <w:pPr>
              <w:jc w:val="center"/>
              <w:rPr>
                <w:color w:val="000000"/>
                <w:sz w:val="20"/>
                <w:szCs w:val="20"/>
              </w:rPr>
            </w:pPr>
            <w:r w:rsidRPr="00B0669B">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34682885" w:rsidR="00536504" w:rsidRPr="00536504" w:rsidRDefault="00536504">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49E124B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536504"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B0669B" w:rsidRDefault="00536504">
            <w:pPr>
              <w:jc w:val="center"/>
              <w:rPr>
                <w:color w:val="000000"/>
                <w:sz w:val="20"/>
                <w:szCs w:val="20"/>
              </w:rPr>
            </w:pPr>
            <w:r w:rsidRPr="00B0669B">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1AE73795" w:rsidR="00536504" w:rsidRPr="00536504" w:rsidRDefault="00536504">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5D4B28D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536504"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B0669B" w:rsidRDefault="00536504">
            <w:pPr>
              <w:jc w:val="center"/>
              <w:rPr>
                <w:color w:val="000000"/>
                <w:sz w:val="20"/>
                <w:szCs w:val="20"/>
              </w:rPr>
            </w:pPr>
            <w:r w:rsidRPr="00B0669B">
              <w:rPr>
                <w:color w:val="000000"/>
                <w:sz w:val="20"/>
                <w:szCs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334C0AA0" w:rsidR="00536504" w:rsidRPr="00536504" w:rsidRDefault="00536504">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69E90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536504"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B0669B" w:rsidRDefault="00536504">
            <w:pPr>
              <w:jc w:val="center"/>
              <w:rPr>
                <w:color w:val="000000"/>
                <w:sz w:val="20"/>
                <w:szCs w:val="20"/>
              </w:rPr>
            </w:pPr>
            <w:r w:rsidRPr="00B0669B">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7405825" w:rsidR="00536504" w:rsidRPr="00536504" w:rsidRDefault="00536504">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251DFBE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536504"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B0669B" w:rsidRDefault="00536504">
            <w:pPr>
              <w:jc w:val="center"/>
              <w:rPr>
                <w:color w:val="000000"/>
                <w:sz w:val="20"/>
                <w:szCs w:val="20"/>
              </w:rPr>
            </w:pPr>
            <w:r w:rsidRPr="00B0669B">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4A8249E0" w:rsidR="00536504" w:rsidRPr="00536504" w:rsidRDefault="00536504">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0A567E0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536504"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B0669B" w:rsidRDefault="00536504">
            <w:pPr>
              <w:jc w:val="center"/>
              <w:rPr>
                <w:color w:val="000000"/>
                <w:sz w:val="20"/>
                <w:szCs w:val="20"/>
              </w:rPr>
            </w:pPr>
            <w:r w:rsidRPr="00B0669B">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0358E654" w:rsidR="00536504" w:rsidRPr="00536504" w:rsidRDefault="00536504">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332D9E9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536504"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B0669B" w:rsidRDefault="00536504">
            <w:pPr>
              <w:jc w:val="center"/>
              <w:rPr>
                <w:color w:val="000000"/>
                <w:sz w:val="20"/>
                <w:szCs w:val="20"/>
              </w:rPr>
            </w:pPr>
            <w:r w:rsidRPr="00B0669B">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0488D0BA" w:rsidR="00536504" w:rsidRPr="00536504" w:rsidRDefault="00536504">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782A15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536504"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B0669B" w:rsidRDefault="00536504">
            <w:pPr>
              <w:jc w:val="center"/>
              <w:rPr>
                <w:color w:val="000000"/>
                <w:sz w:val="20"/>
                <w:szCs w:val="20"/>
              </w:rPr>
            </w:pPr>
            <w:r w:rsidRPr="00B0669B">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0FBC297E" w:rsidR="00536504" w:rsidRPr="00536504" w:rsidRDefault="00536504">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017723F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536504"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B0669B" w:rsidRDefault="00536504">
            <w:pPr>
              <w:jc w:val="center"/>
              <w:rPr>
                <w:color w:val="000000"/>
                <w:sz w:val="20"/>
                <w:szCs w:val="20"/>
              </w:rPr>
            </w:pPr>
            <w:r w:rsidRPr="00B0669B">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409089E9" w:rsidR="00536504" w:rsidRPr="00536504" w:rsidRDefault="00536504">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52AA844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536504"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B0669B" w:rsidRDefault="00536504">
            <w:pPr>
              <w:jc w:val="center"/>
              <w:rPr>
                <w:color w:val="000000"/>
                <w:sz w:val="20"/>
                <w:szCs w:val="20"/>
              </w:rPr>
            </w:pPr>
            <w:r w:rsidRPr="00B0669B">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04077FE6" w:rsidR="00536504" w:rsidRPr="00536504" w:rsidRDefault="00536504">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72A18CA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536504"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B0669B" w:rsidRDefault="00536504">
            <w:pPr>
              <w:jc w:val="center"/>
              <w:rPr>
                <w:color w:val="000000"/>
                <w:sz w:val="20"/>
                <w:szCs w:val="20"/>
              </w:rPr>
            </w:pPr>
            <w:r w:rsidRPr="00B0669B">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2EC23C46" w:rsidR="00536504" w:rsidRPr="00536504" w:rsidRDefault="00536504">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3A9EE24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536504"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B0669B" w:rsidRDefault="00536504">
            <w:pPr>
              <w:jc w:val="center"/>
              <w:rPr>
                <w:color w:val="000000"/>
                <w:sz w:val="20"/>
                <w:szCs w:val="20"/>
              </w:rPr>
            </w:pPr>
            <w:r w:rsidRPr="00B0669B">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6C8F193A" w:rsidR="00536504" w:rsidRPr="00536504" w:rsidRDefault="00536504">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7C5C7DC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536504"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B0669B" w:rsidRDefault="00536504">
            <w:pPr>
              <w:jc w:val="center"/>
              <w:rPr>
                <w:color w:val="000000"/>
                <w:sz w:val="20"/>
                <w:szCs w:val="20"/>
              </w:rPr>
            </w:pPr>
            <w:r w:rsidRPr="00B0669B">
              <w:rPr>
                <w:color w:val="000000"/>
                <w:sz w:val="20"/>
                <w:szCs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48C7B111" w:rsidR="00536504" w:rsidRPr="00536504" w:rsidRDefault="00536504">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0353663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536504"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B0669B" w:rsidRDefault="00536504">
            <w:pPr>
              <w:jc w:val="center"/>
              <w:rPr>
                <w:color w:val="000000"/>
                <w:sz w:val="20"/>
                <w:szCs w:val="20"/>
              </w:rPr>
            </w:pPr>
            <w:r w:rsidRPr="00B0669B">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2FE0C1B4" w:rsidR="00536504" w:rsidRPr="00536504" w:rsidRDefault="00536504">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3185E556"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536504"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B0669B" w:rsidRDefault="00536504">
            <w:pPr>
              <w:jc w:val="center"/>
              <w:rPr>
                <w:color w:val="000000"/>
                <w:sz w:val="20"/>
                <w:szCs w:val="20"/>
              </w:rPr>
            </w:pPr>
            <w:r w:rsidRPr="00B0669B">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5C73D8C7" w:rsidR="00536504" w:rsidRPr="00536504" w:rsidRDefault="00536504">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78BBF06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536504"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B0669B" w:rsidRDefault="00536504">
            <w:pPr>
              <w:jc w:val="center"/>
              <w:rPr>
                <w:color w:val="000000"/>
                <w:sz w:val="20"/>
                <w:szCs w:val="20"/>
              </w:rPr>
            </w:pPr>
            <w:r w:rsidRPr="00B0669B">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63502195" w:rsidR="00536504" w:rsidRPr="00536504" w:rsidRDefault="00536504">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5D02A04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536504"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B0669B" w:rsidRDefault="00536504">
            <w:pPr>
              <w:jc w:val="center"/>
              <w:rPr>
                <w:color w:val="000000"/>
                <w:sz w:val="20"/>
                <w:szCs w:val="20"/>
              </w:rPr>
            </w:pPr>
            <w:r w:rsidRPr="00B0669B">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1425426C" w:rsidR="00536504" w:rsidRPr="00536504" w:rsidRDefault="00536504">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48CC47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536504"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B0669B" w:rsidRDefault="00536504">
            <w:pPr>
              <w:jc w:val="center"/>
              <w:rPr>
                <w:color w:val="000000"/>
                <w:sz w:val="20"/>
                <w:szCs w:val="20"/>
              </w:rPr>
            </w:pPr>
            <w:r w:rsidRPr="00B0669B">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7471F549" w:rsidR="00536504" w:rsidRPr="00536504" w:rsidRDefault="00536504">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5FD6FCB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536504"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B0669B" w:rsidRDefault="00536504">
            <w:pPr>
              <w:jc w:val="center"/>
              <w:rPr>
                <w:color w:val="000000"/>
                <w:sz w:val="20"/>
                <w:szCs w:val="20"/>
              </w:rPr>
            </w:pPr>
            <w:r w:rsidRPr="00B0669B">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52DBD95F" w:rsidR="00536504" w:rsidRPr="00536504" w:rsidRDefault="00536504">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55AA638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536504"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B0669B" w:rsidRDefault="00536504">
            <w:pPr>
              <w:jc w:val="center"/>
              <w:rPr>
                <w:color w:val="000000"/>
                <w:sz w:val="20"/>
                <w:szCs w:val="20"/>
              </w:rPr>
            </w:pPr>
            <w:r w:rsidRPr="00B0669B">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572EE20F" w:rsidR="00536504" w:rsidRPr="00536504" w:rsidRDefault="00536504">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04B92AD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536504"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B0669B" w:rsidRDefault="00536504">
            <w:pPr>
              <w:jc w:val="center"/>
              <w:rPr>
                <w:color w:val="000000"/>
                <w:sz w:val="20"/>
                <w:szCs w:val="20"/>
              </w:rPr>
            </w:pPr>
            <w:r w:rsidRPr="00B0669B">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3CA33D67" w:rsidR="00536504" w:rsidRPr="00536504" w:rsidRDefault="00536504">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EACD9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536504"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B0669B" w:rsidRDefault="00536504">
            <w:pPr>
              <w:jc w:val="center"/>
              <w:rPr>
                <w:color w:val="000000"/>
                <w:sz w:val="20"/>
                <w:szCs w:val="20"/>
              </w:rPr>
            </w:pPr>
            <w:r w:rsidRPr="00B0669B">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D777E18" w:rsidR="00536504" w:rsidRPr="00536504" w:rsidRDefault="00536504">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581B902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536504"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B0669B" w:rsidRDefault="00536504">
            <w:pPr>
              <w:jc w:val="center"/>
              <w:rPr>
                <w:color w:val="000000"/>
                <w:sz w:val="20"/>
                <w:szCs w:val="20"/>
              </w:rPr>
            </w:pPr>
            <w:r w:rsidRPr="00B0669B">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4C2D4B37" w:rsidR="00536504" w:rsidRPr="00536504" w:rsidRDefault="00536504">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34766AC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536504"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B0669B" w:rsidRDefault="00536504">
            <w:pPr>
              <w:jc w:val="center"/>
              <w:rPr>
                <w:color w:val="000000"/>
                <w:sz w:val="20"/>
                <w:szCs w:val="20"/>
              </w:rPr>
            </w:pPr>
            <w:r w:rsidRPr="00B0669B">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00AB576C" w:rsidR="00536504" w:rsidRPr="00536504" w:rsidRDefault="00536504">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3DEA639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536504"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B0669B" w:rsidRDefault="00536504">
            <w:pPr>
              <w:jc w:val="center"/>
              <w:rPr>
                <w:color w:val="000000"/>
                <w:sz w:val="20"/>
                <w:szCs w:val="20"/>
              </w:rPr>
            </w:pPr>
            <w:r w:rsidRPr="00B0669B">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484586ED" w:rsidR="00536504" w:rsidRPr="00536504" w:rsidRDefault="00536504">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63FBDD9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536504"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B0669B" w:rsidRDefault="00536504">
            <w:pPr>
              <w:jc w:val="center"/>
              <w:rPr>
                <w:color w:val="000000"/>
                <w:sz w:val="20"/>
                <w:szCs w:val="20"/>
              </w:rPr>
            </w:pPr>
            <w:r w:rsidRPr="00B0669B">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2E5610E2" w:rsidR="00536504" w:rsidRPr="00536504" w:rsidRDefault="00536504">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5070D11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536504"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B0669B" w:rsidRDefault="00536504">
            <w:pPr>
              <w:jc w:val="center"/>
              <w:rPr>
                <w:color w:val="000000"/>
                <w:sz w:val="20"/>
                <w:szCs w:val="20"/>
              </w:rPr>
            </w:pPr>
            <w:r w:rsidRPr="00B0669B">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36D28ACA" w:rsidR="00536504" w:rsidRPr="00536504" w:rsidRDefault="00536504">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1312DE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536504"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B0669B" w:rsidRDefault="00536504">
            <w:pPr>
              <w:jc w:val="center"/>
              <w:rPr>
                <w:color w:val="000000"/>
                <w:sz w:val="20"/>
                <w:szCs w:val="20"/>
              </w:rPr>
            </w:pPr>
            <w:r w:rsidRPr="00B0669B">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623354F" w:rsidR="00536504" w:rsidRPr="00536504" w:rsidRDefault="00536504">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55E2A80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536504"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B0669B" w:rsidRDefault="00536504">
            <w:pPr>
              <w:jc w:val="center"/>
              <w:rPr>
                <w:color w:val="000000"/>
                <w:sz w:val="20"/>
                <w:szCs w:val="20"/>
              </w:rPr>
            </w:pPr>
            <w:r w:rsidRPr="00B0669B">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4FC0EDF1" w:rsidR="00536504" w:rsidRPr="00536504" w:rsidRDefault="00536504">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7356325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536504"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B0669B" w:rsidRDefault="00536504">
            <w:pPr>
              <w:jc w:val="center"/>
              <w:rPr>
                <w:color w:val="000000"/>
                <w:sz w:val="20"/>
                <w:szCs w:val="20"/>
              </w:rPr>
            </w:pPr>
            <w:r w:rsidRPr="00B0669B">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37751303" w:rsidR="00536504" w:rsidRPr="00536504" w:rsidRDefault="00536504">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4CD748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536504"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B0669B" w:rsidRDefault="00536504">
            <w:pPr>
              <w:jc w:val="center"/>
              <w:rPr>
                <w:color w:val="000000"/>
                <w:sz w:val="20"/>
                <w:szCs w:val="20"/>
              </w:rPr>
            </w:pPr>
            <w:r w:rsidRPr="00B0669B">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2167397A" w:rsidR="00536504" w:rsidRPr="00536504" w:rsidRDefault="00536504">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79F4A1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536504"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B0669B" w:rsidRDefault="00536504">
            <w:pPr>
              <w:jc w:val="center"/>
              <w:rPr>
                <w:color w:val="000000"/>
                <w:sz w:val="20"/>
                <w:szCs w:val="20"/>
              </w:rPr>
            </w:pPr>
            <w:r w:rsidRPr="00B0669B">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1014B991" w:rsidR="00536504" w:rsidRPr="00536504" w:rsidRDefault="00536504">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38D8E00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536504"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B0669B" w:rsidRDefault="00536504">
            <w:pPr>
              <w:jc w:val="center"/>
              <w:rPr>
                <w:color w:val="000000"/>
                <w:sz w:val="20"/>
                <w:szCs w:val="20"/>
              </w:rPr>
            </w:pPr>
            <w:r w:rsidRPr="00B0669B">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061FA4A7" w:rsidR="00536504" w:rsidRPr="00536504" w:rsidRDefault="00536504">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7316E62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536504"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B0669B" w:rsidRDefault="00536504">
            <w:pPr>
              <w:jc w:val="center"/>
              <w:rPr>
                <w:color w:val="000000"/>
                <w:sz w:val="20"/>
                <w:szCs w:val="20"/>
              </w:rPr>
            </w:pPr>
            <w:r w:rsidRPr="00B0669B">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06FC5E42" w:rsidR="00536504" w:rsidRPr="00536504" w:rsidRDefault="00536504">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508915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536504"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B0669B" w:rsidRDefault="00536504">
            <w:pPr>
              <w:jc w:val="center"/>
              <w:rPr>
                <w:color w:val="000000"/>
                <w:sz w:val="20"/>
                <w:szCs w:val="20"/>
              </w:rPr>
            </w:pPr>
            <w:r w:rsidRPr="00B0669B">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1AB8B750" w:rsidR="00536504" w:rsidRPr="00536504" w:rsidRDefault="00536504">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36040E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536504"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B0669B" w:rsidRDefault="00536504">
            <w:pPr>
              <w:jc w:val="center"/>
              <w:rPr>
                <w:color w:val="000000"/>
                <w:sz w:val="20"/>
                <w:szCs w:val="20"/>
              </w:rPr>
            </w:pPr>
            <w:r w:rsidRPr="00B0669B">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3B5D276B" w:rsidR="00536504" w:rsidRPr="00536504" w:rsidRDefault="00536504">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4A7A6E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536504"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B0669B" w:rsidRDefault="00536504">
            <w:pPr>
              <w:jc w:val="center"/>
              <w:rPr>
                <w:color w:val="000000"/>
                <w:sz w:val="20"/>
                <w:szCs w:val="20"/>
              </w:rPr>
            </w:pPr>
            <w:r w:rsidRPr="00B0669B">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7FBE05EA" w:rsidR="00536504" w:rsidRPr="00536504" w:rsidRDefault="00536504">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3EBAD0B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536504"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B0669B" w:rsidRDefault="00536504">
            <w:pPr>
              <w:jc w:val="center"/>
              <w:rPr>
                <w:color w:val="000000"/>
                <w:sz w:val="20"/>
                <w:szCs w:val="20"/>
              </w:rPr>
            </w:pPr>
            <w:r w:rsidRPr="00B0669B">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37F5DE3D" w:rsidR="00536504" w:rsidRPr="00536504" w:rsidRDefault="00536504">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FE522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536504"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B0669B" w:rsidRDefault="00536504">
            <w:pPr>
              <w:jc w:val="center"/>
              <w:rPr>
                <w:b/>
                <w:bCs/>
                <w:color w:val="000000"/>
                <w:sz w:val="20"/>
                <w:szCs w:val="20"/>
              </w:rPr>
            </w:pPr>
            <w:r w:rsidRPr="00B0669B">
              <w:rPr>
                <w:b/>
                <w:bCs/>
                <w:color w:val="000000"/>
                <w:sz w:val="20"/>
                <w:szCs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6E5BAA4A" w:rsidR="00536504" w:rsidRPr="0073539E" w:rsidRDefault="00536504">
            <w:pPr>
              <w:jc w:val="center"/>
              <w:rPr>
                <w:b/>
                <w:bCs/>
                <w:color w:val="000000"/>
                <w:sz w:val="20"/>
                <w:szCs w:val="20"/>
              </w:rPr>
            </w:pPr>
            <w:r w:rsidRPr="00EC508D">
              <w:rPr>
                <w:b/>
                <w:bCs/>
                <w:sz w:val="20"/>
                <w:szCs w:val="20"/>
              </w:rPr>
              <w:t>15/12/2028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B0669B" w:rsidRDefault="00536504">
            <w:pPr>
              <w:jc w:val="center"/>
              <w:rPr>
                <w:b/>
                <w:bCs/>
                <w:color w:val="000000"/>
                <w:sz w:val="20"/>
                <w:szCs w:val="20"/>
              </w:rPr>
            </w:pPr>
            <w:r w:rsidRPr="00B0669B">
              <w:rPr>
                <w:b/>
                <w:bCs/>
                <w:color w:val="000000"/>
                <w:sz w:val="20"/>
                <w:szCs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B0669B" w:rsidRDefault="00536504">
            <w:pPr>
              <w:jc w:val="center"/>
              <w:rPr>
                <w:color w:val="000000"/>
                <w:sz w:val="20"/>
                <w:szCs w:val="20"/>
              </w:rPr>
            </w:pPr>
            <w:r w:rsidRPr="00B0669B">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4DA0DACF" w:rsidR="00536504" w:rsidRPr="00536504" w:rsidRDefault="00536504">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41FFB70D"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536504"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B0669B" w:rsidRDefault="00536504">
            <w:pPr>
              <w:jc w:val="center"/>
              <w:rPr>
                <w:color w:val="000000"/>
                <w:sz w:val="20"/>
                <w:szCs w:val="20"/>
              </w:rPr>
            </w:pPr>
            <w:r w:rsidRPr="00B0669B">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2EF70FD7" w:rsidR="00536504" w:rsidRPr="00536504" w:rsidRDefault="00536504">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0A1E4B5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536504"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B0669B" w:rsidRDefault="00536504">
            <w:pPr>
              <w:jc w:val="center"/>
              <w:rPr>
                <w:color w:val="000000"/>
                <w:sz w:val="20"/>
                <w:szCs w:val="20"/>
              </w:rPr>
            </w:pPr>
            <w:r w:rsidRPr="00B0669B">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5727805F" w:rsidR="00536504" w:rsidRPr="00536504" w:rsidRDefault="00536504">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473BEA85"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536504"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B0669B" w:rsidRDefault="00536504">
            <w:pPr>
              <w:jc w:val="center"/>
              <w:rPr>
                <w:color w:val="000000"/>
                <w:sz w:val="20"/>
                <w:szCs w:val="20"/>
              </w:rPr>
            </w:pPr>
            <w:r w:rsidRPr="00B0669B">
              <w:rPr>
                <w:color w:val="000000"/>
                <w:sz w:val="20"/>
                <w:szCs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2174B17A" w:rsidR="00536504" w:rsidRPr="00536504" w:rsidRDefault="00536504">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60A0BB7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536504"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B0669B" w:rsidRDefault="00536504">
            <w:pPr>
              <w:jc w:val="center"/>
              <w:rPr>
                <w:color w:val="000000"/>
                <w:sz w:val="20"/>
                <w:szCs w:val="20"/>
              </w:rPr>
            </w:pPr>
            <w:r w:rsidRPr="00B0669B">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4C95D8E" w:rsidR="00536504" w:rsidRPr="00536504" w:rsidRDefault="00536504">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1144CB8E"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536504"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B0669B" w:rsidRDefault="00536504">
            <w:pPr>
              <w:jc w:val="center"/>
              <w:rPr>
                <w:color w:val="000000"/>
                <w:sz w:val="20"/>
                <w:szCs w:val="20"/>
              </w:rPr>
            </w:pPr>
            <w:r w:rsidRPr="00B0669B">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0C16C7F6" w:rsidR="00536504" w:rsidRPr="00536504" w:rsidRDefault="00536504">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1741BBB7"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536504"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B0669B" w:rsidRDefault="00536504">
            <w:pPr>
              <w:jc w:val="center"/>
              <w:rPr>
                <w:color w:val="000000"/>
                <w:sz w:val="20"/>
                <w:szCs w:val="20"/>
              </w:rPr>
            </w:pPr>
            <w:r w:rsidRPr="00B0669B">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6101E4C2" w:rsidR="00536504" w:rsidRPr="00536504" w:rsidRDefault="00536504">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4FCB06A3"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536504"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B0669B" w:rsidRDefault="00536504">
            <w:pPr>
              <w:jc w:val="center"/>
              <w:rPr>
                <w:color w:val="000000"/>
                <w:sz w:val="20"/>
                <w:szCs w:val="20"/>
              </w:rPr>
            </w:pPr>
            <w:r w:rsidRPr="00B0669B">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20B1CFC1" w:rsidR="00536504" w:rsidRPr="00536504" w:rsidRDefault="00536504">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3ACA8D0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536504"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B0669B" w:rsidRDefault="00536504">
            <w:pPr>
              <w:jc w:val="center"/>
              <w:rPr>
                <w:color w:val="000000"/>
                <w:sz w:val="20"/>
                <w:szCs w:val="20"/>
              </w:rPr>
            </w:pPr>
            <w:r w:rsidRPr="00B0669B">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607BDA74" w:rsidR="00536504" w:rsidRPr="00536504" w:rsidRDefault="00536504">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07914261"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536504"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B0669B" w:rsidRDefault="00536504">
            <w:pPr>
              <w:jc w:val="center"/>
              <w:rPr>
                <w:color w:val="000000"/>
                <w:sz w:val="20"/>
                <w:szCs w:val="20"/>
              </w:rPr>
            </w:pPr>
            <w:r w:rsidRPr="00B0669B">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0A788EF4" w:rsidR="00536504" w:rsidRPr="00536504" w:rsidRDefault="00536504">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6AAC27E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536504"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B0669B" w:rsidRDefault="00536504">
            <w:pPr>
              <w:jc w:val="center"/>
              <w:rPr>
                <w:color w:val="000000"/>
                <w:sz w:val="20"/>
                <w:szCs w:val="20"/>
              </w:rPr>
            </w:pPr>
            <w:r w:rsidRPr="00B0669B">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4E10CEF4" w:rsidR="00536504" w:rsidRPr="00536504" w:rsidRDefault="00536504">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6982B5C2"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536504"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B0669B" w:rsidRDefault="00536504">
            <w:pPr>
              <w:jc w:val="center"/>
              <w:rPr>
                <w:b/>
                <w:bCs/>
                <w:color w:val="000000"/>
                <w:sz w:val="20"/>
                <w:szCs w:val="20"/>
              </w:rPr>
            </w:pPr>
            <w:r w:rsidRPr="00B0669B">
              <w:rPr>
                <w:b/>
                <w:bCs/>
                <w:color w:val="000000"/>
                <w:sz w:val="20"/>
                <w:szCs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5E035D6" w:rsidR="00536504" w:rsidRPr="0073539E" w:rsidRDefault="00536504">
            <w:pPr>
              <w:jc w:val="center"/>
              <w:rPr>
                <w:b/>
                <w:bCs/>
                <w:color w:val="000000"/>
                <w:sz w:val="20"/>
                <w:szCs w:val="20"/>
              </w:rPr>
            </w:pPr>
            <w:r w:rsidRPr="00EC508D">
              <w:rPr>
                <w:b/>
                <w:bCs/>
                <w:sz w:val="20"/>
                <w:szCs w:val="20"/>
              </w:rPr>
              <w:t>17/12/2029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B0669B" w:rsidRDefault="00536504">
            <w:pPr>
              <w:jc w:val="center"/>
              <w:rPr>
                <w:b/>
                <w:bCs/>
                <w:color w:val="000000"/>
                <w:sz w:val="20"/>
                <w:szCs w:val="20"/>
              </w:rPr>
            </w:pPr>
            <w:r w:rsidRPr="00B0669B">
              <w:rPr>
                <w:b/>
                <w:bCs/>
                <w:color w:val="000000"/>
                <w:sz w:val="20"/>
                <w:szCs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B0669B" w:rsidRDefault="00536504">
            <w:pPr>
              <w:jc w:val="center"/>
              <w:rPr>
                <w:color w:val="000000"/>
                <w:sz w:val="20"/>
                <w:szCs w:val="20"/>
              </w:rPr>
            </w:pPr>
            <w:r w:rsidRPr="00B0669B">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357E52B8" w:rsidR="00536504" w:rsidRPr="00536504" w:rsidRDefault="00536504">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3B988447"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536504"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B0669B" w:rsidRDefault="00536504">
            <w:pPr>
              <w:jc w:val="center"/>
              <w:rPr>
                <w:color w:val="000000"/>
                <w:sz w:val="20"/>
                <w:szCs w:val="20"/>
              </w:rPr>
            </w:pPr>
            <w:r w:rsidRPr="00B0669B">
              <w:rPr>
                <w:color w:val="000000"/>
                <w:sz w:val="20"/>
                <w:szCs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A383FF9" w:rsidR="00536504" w:rsidRPr="00536504" w:rsidRDefault="00536504">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651777E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536504"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B0669B" w:rsidRDefault="00536504">
            <w:pPr>
              <w:jc w:val="center"/>
              <w:rPr>
                <w:color w:val="000000"/>
                <w:sz w:val="20"/>
                <w:szCs w:val="20"/>
              </w:rPr>
            </w:pPr>
            <w:r w:rsidRPr="00B0669B">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6AFB1935" w:rsidR="00536504" w:rsidRPr="00536504" w:rsidRDefault="00536504">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0609AA9"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536504"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B0669B" w:rsidRDefault="00536504">
            <w:pPr>
              <w:jc w:val="center"/>
              <w:rPr>
                <w:color w:val="000000"/>
                <w:sz w:val="20"/>
                <w:szCs w:val="20"/>
              </w:rPr>
            </w:pPr>
            <w:r w:rsidRPr="00B0669B">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3E02F9B8" w:rsidR="00536504" w:rsidRPr="00536504" w:rsidRDefault="00536504">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251A1DE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536504"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B0669B" w:rsidRDefault="00536504">
            <w:pPr>
              <w:jc w:val="center"/>
              <w:rPr>
                <w:color w:val="000000"/>
                <w:sz w:val="20"/>
                <w:szCs w:val="20"/>
              </w:rPr>
            </w:pPr>
            <w:r w:rsidRPr="00B0669B">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1332DE3D" w:rsidR="00536504" w:rsidRPr="00536504" w:rsidRDefault="00536504">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75F954C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536504"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B0669B" w:rsidRDefault="00536504">
            <w:pPr>
              <w:jc w:val="center"/>
              <w:rPr>
                <w:color w:val="000000"/>
                <w:sz w:val="20"/>
                <w:szCs w:val="20"/>
              </w:rPr>
            </w:pPr>
            <w:r w:rsidRPr="00B0669B">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21848E32" w:rsidR="00536504" w:rsidRPr="00536504" w:rsidRDefault="00536504">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7936ECF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536504"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B0669B" w:rsidRDefault="00536504">
            <w:pPr>
              <w:jc w:val="center"/>
              <w:rPr>
                <w:color w:val="000000"/>
                <w:sz w:val="20"/>
                <w:szCs w:val="20"/>
              </w:rPr>
            </w:pPr>
            <w:r w:rsidRPr="00B0669B">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754FEB4E" w:rsidR="00536504" w:rsidRPr="00536504" w:rsidRDefault="00536504">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4B2D1432"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536504"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B0669B" w:rsidRDefault="00536504">
            <w:pPr>
              <w:jc w:val="center"/>
              <w:rPr>
                <w:color w:val="000000"/>
                <w:sz w:val="20"/>
                <w:szCs w:val="20"/>
              </w:rPr>
            </w:pPr>
            <w:r w:rsidRPr="00B0669B">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1602F2B2" w:rsidR="00536504" w:rsidRPr="00536504" w:rsidRDefault="00536504">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1B6CADF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536504"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B0669B" w:rsidRDefault="00536504">
            <w:pPr>
              <w:jc w:val="center"/>
              <w:rPr>
                <w:color w:val="000000"/>
                <w:sz w:val="20"/>
                <w:szCs w:val="20"/>
              </w:rPr>
            </w:pPr>
            <w:r w:rsidRPr="00B0669B">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0A2544C0" w:rsidR="00536504" w:rsidRPr="00536504" w:rsidRDefault="00536504">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335B84FF"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536504"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B0669B" w:rsidRDefault="00536504">
            <w:pPr>
              <w:jc w:val="center"/>
              <w:rPr>
                <w:color w:val="000000"/>
                <w:sz w:val="20"/>
                <w:szCs w:val="20"/>
              </w:rPr>
            </w:pPr>
            <w:r w:rsidRPr="00B0669B">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52CB2210" w:rsidR="00536504" w:rsidRPr="00536504" w:rsidRDefault="00536504">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590A0C6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536504"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B0669B" w:rsidRDefault="00536504">
            <w:pPr>
              <w:jc w:val="center"/>
              <w:rPr>
                <w:color w:val="000000"/>
                <w:sz w:val="20"/>
                <w:szCs w:val="20"/>
              </w:rPr>
            </w:pPr>
            <w:r w:rsidRPr="00B0669B">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55E68F03" w:rsidR="00536504" w:rsidRPr="00536504" w:rsidRDefault="00536504">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718B4048"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536504"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B0669B" w:rsidRDefault="00536504">
            <w:pPr>
              <w:jc w:val="center"/>
              <w:rPr>
                <w:b/>
                <w:bCs/>
                <w:color w:val="000000"/>
                <w:sz w:val="20"/>
                <w:szCs w:val="20"/>
              </w:rPr>
            </w:pPr>
            <w:r w:rsidRPr="00B0669B">
              <w:rPr>
                <w:b/>
                <w:bCs/>
                <w:color w:val="000000"/>
                <w:sz w:val="20"/>
                <w:szCs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09093FB5" w:rsidR="00536504" w:rsidRPr="0073539E" w:rsidRDefault="00536504">
            <w:pPr>
              <w:jc w:val="center"/>
              <w:rPr>
                <w:b/>
                <w:bCs/>
                <w:color w:val="000000"/>
                <w:sz w:val="20"/>
                <w:szCs w:val="20"/>
              </w:rPr>
            </w:pPr>
            <w:r w:rsidRPr="00EC508D">
              <w:rPr>
                <w:b/>
                <w:bCs/>
                <w:sz w:val="20"/>
                <w:szCs w:val="20"/>
              </w:rPr>
              <w:t>16/12/2030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B0669B" w:rsidRDefault="00536504">
            <w:pPr>
              <w:jc w:val="center"/>
              <w:rPr>
                <w:b/>
                <w:bCs/>
                <w:color w:val="000000"/>
                <w:sz w:val="20"/>
                <w:szCs w:val="20"/>
              </w:rPr>
            </w:pPr>
            <w:r w:rsidRPr="00B0669B">
              <w:rPr>
                <w:b/>
                <w:bCs/>
                <w:color w:val="000000"/>
                <w:sz w:val="20"/>
                <w:szCs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Default="0059581D" w:rsidP="001C47C0">
      <w:pPr>
        <w:widowControl w:val="0"/>
        <w:spacing w:line="300" w:lineRule="exact"/>
        <w:jc w:val="center"/>
        <w:rPr>
          <w:smallCaps/>
          <w:sz w:val="26"/>
          <w:szCs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306C79"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78675E" w:rsidRDefault="00306C79">
            <w:pPr>
              <w:jc w:val="center"/>
              <w:rPr>
                <w:b/>
                <w:bCs/>
                <w:color w:val="000000"/>
                <w:sz w:val="20"/>
                <w:szCs w:val="20"/>
              </w:rPr>
            </w:pPr>
            <w:r w:rsidRPr="0078675E">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5EA99136" w:rsidR="00306C79" w:rsidRPr="0078675E" w:rsidRDefault="00306C79">
            <w:pPr>
              <w:jc w:val="center"/>
              <w:rPr>
                <w:b/>
                <w:bCs/>
                <w:color w:val="000000"/>
                <w:sz w:val="20"/>
                <w:szCs w:val="20"/>
              </w:rPr>
            </w:pPr>
            <w:r w:rsidRPr="0078675E">
              <w:rPr>
                <w:b/>
                <w:bCs/>
                <w:color w:val="000000"/>
                <w:sz w:val="20"/>
                <w:szCs w:val="20"/>
              </w:rPr>
              <w:t>Data</w:t>
            </w:r>
            <w:r w:rsidR="009813E5">
              <w:rPr>
                <w:b/>
                <w:bCs/>
                <w:color w:val="000000"/>
                <w:sz w:val="20"/>
                <w:szCs w:val="20"/>
              </w:rPr>
              <w:t>s</w:t>
            </w:r>
            <w:r w:rsidRPr="0078675E">
              <w:rPr>
                <w:b/>
                <w:bCs/>
                <w:color w:val="000000"/>
                <w:sz w:val="20"/>
                <w:szCs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26D731D8" w:rsidR="00306C79" w:rsidRPr="0078675E" w:rsidRDefault="00306C79">
            <w:pPr>
              <w:jc w:val="center"/>
              <w:rPr>
                <w:b/>
                <w:bCs/>
                <w:color w:val="000000"/>
                <w:sz w:val="20"/>
                <w:szCs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78675E" w:rsidRDefault="00306C79">
            <w:pPr>
              <w:jc w:val="center"/>
              <w:rPr>
                <w:b/>
                <w:bCs/>
                <w:color w:val="000000"/>
                <w:sz w:val="20"/>
                <w:szCs w:val="20"/>
              </w:rPr>
            </w:pPr>
            <w:r w:rsidRPr="0078675E">
              <w:rPr>
                <w:b/>
                <w:bCs/>
                <w:color w:val="000000"/>
                <w:sz w:val="20"/>
                <w:szCs w:val="20"/>
              </w:rPr>
              <w:t>Pagamento de Juros</w:t>
            </w:r>
            <w:r w:rsidR="0059581D">
              <w:rPr>
                <w:b/>
                <w:bCs/>
                <w:color w:val="000000"/>
                <w:sz w:val="20"/>
                <w:szCs w:val="20"/>
              </w:rPr>
              <w:t>?</w:t>
            </w:r>
          </w:p>
        </w:tc>
      </w:tr>
      <w:tr w:rsidR="0078675E"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78675E" w:rsidRDefault="0078675E">
            <w:pPr>
              <w:jc w:val="center"/>
              <w:rPr>
                <w:color w:val="000000"/>
                <w:sz w:val="20"/>
                <w:szCs w:val="20"/>
              </w:rPr>
            </w:pPr>
            <w:r w:rsidRPr="0078675E">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59C15654" w:rsidR="0078675E" w:rsidRPr="0078675E" w:rsidRDefault="0078675E">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78675E" w:rsidRDefault="0078675E">
            <w:pPr>
              <w:jc w:val="center"/>
              <w:rPr>
                <w:color w:val="000000"/>
                <w:sz w:val="20"/>
                <w:szCs w:val="20"/>
              </w:rPr>
            </w:pPr>
            <w:r w:rsidRPr="0078675E">
              <w:rPr>
                <w:color w:val="000000"/>
                <w:sz w:val="20"/>
                <w:szCs w:val="20"/>
              </w:rPr>
              <w:t>SIM</w:t>
            </w:r>
          </w:p>
        </w:tc>
      </w:tr>
      <w:tr w:rsidR="0078675E"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78675E" w:rsidRDefault="0078675E">
            <w:pPr>
              <w:jc w:val="center"/>
              <w:rPr>
                <w:color w:val="000000"/>
                <w:sz w:val="20"/>
                <w:szCs w:val="20"/>
              </w:rPr>
            </w:pPr>
            <w:r w:rsidRPr="0078675E">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6919CC53" w:rsidR="0078675E" w:rsidRPr="0078675E" w:rsidRDefault="0078675E">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78675E" w:rsidRDefault="0078675E">
            <w:pPr>
              <w:jc w:val="center"/>
              <w:rPr>
                <w:color w:val="000000"/>
                <w:sz w:val="20"/>
                <w:szCs w:val="20"/>
              </w:rPr>
            </w:pPr>
            <w:r w:rsidRPr="0078675E">
              <w:rPr>
                <w:color w:val="000000"/>
                <w:sz w:val="20"/>
                <w:szCs w:val="20"/>
              </w:rPr>
              <w:t>SIM</w:t>
            </w:r>
          </w:p>
        </w:tc>
      </w:tr>
      <w:tr w:rsidR="0078675E"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78675E" w:rsidRDefault="0078675E">
            <w:pPr>
              <w:jc w:val="center"/>
              <w:rPr>
                <w:color w:val="000000"/>
                <w:sz w:val="20"/>
                <w:szCs w:val="20"/>
              </w:rPr>
            </w:pPr>
            <w:r w:rsidRPr="0078675E">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1DC07701" w:rsidR="0078675E" w:rsidRPr="0078675E" w:rsidRDefault="0078675E">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78675E" w:rsidRDefault="0078675E">
            <w:pPr>
              <w:jc w:val="center"/>
              <w:rPr>
                <w:color w:val="000000"/>
                <w:sz w:val="20"/>
                <w:szCs w:val="20"/>
              </w:rPr>
            </w:pPr>
            <w:r w:rsidRPr="0078675E">
              <w:rPr>
                <w:color w:val="000000"/>
                <w:sz w:val="20"/>
                <w:szCs w:val="20"/>
              </w:rPr>
              <w:t>SIM</w:t>
            </w:r>
          </w:p>
        </w:tc>
      </w:tr>
      <w:tr w:rsidR="0078675E"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78675E" w:rsidRDefault="0078675E">
            <w:pPr>
              <w:jc w:val="center"/>
              <w:rPr>
                <w:color w:val="000000"/>
                <w:sz w:val="20"/>
                <w:szCs w:val="20"/>
              </w:rPr>
            </w:pPr>
            <w:r w:rsidRPr="0078675E">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7BA21596" w:rsidR="0078675E" w:rsidRPr="0078675E" w:rsidRDefault="0078675E">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78675E" w:rsidRDefault="0078675E">
            <w:pPr>
              <w:jc w:val="center"/>
              <w:rPr>
                <w:color w:val="000000"/>
                <w:sz w:val="20"/>
                <w:szCs w:val="20"/>
              </w:rPr>
            </w:pPr>
            <w:r w:rsidRPr="0078675E">
              <w:rPr>
                <w:color w:val="000000"/>
                <w:sz w:val="20"/>
                <w:szCs w:val="20"/>
              </w:rPr>
              <w:t>SIM</w:t>
            </w:r>
          </w:p>
        </w:tc>
      </w:tr>
      <w:tr w:rsidR="0078675E"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78675E" w:rsidRDefault="0078675E">
            <w:pPr>
              <w:jc w:val="center"/>
              <w:rPr>
                <w:color w:val="000000"/>
                <w:sz w:val="20"/>
                <w:szCs w:val="20"/>
              </w:rPr>
            </w:pPr>
            <w:r w:rsidRPr="0078675E">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14230C7D" w:rsidR="0078675E" w:rsidRPr="0078675E" w:rsidRDefault="0078675E">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78675E" w:rsidRDefault="0078675E">
            <w:pPr>
              <w:jc w:val="center"/>
              <w:rPr>
                <w:color w:val="000000"/>
                <w:sz w:val="20"/>
                <w:szCs w:val="20"/>
              </w:rPr>
            </w:pPr>
            <w:r w:rsidRPr="0078675E">
              <w:rPr>
                <w:color w:val="000000"/>
                <w:sz w:val="20"/>
                <w:szCs w:val="20"/>
              </w:rPr>
              <w:t>SIM</w:t>
            </w:r>
          </w:p>
        </w:tc>
      </w:tr>
      <w:tr w:rsidR="0078675E"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78675E" w:rsidRDefault="0078675E">
            <w:pPr>
              <w:jc w:val="center"/>
              <w:rPr>
                <w:color w:val="000000"/>
                <w:sz w:val="20"/>
                <w:szCs w:val="20"/>
              </w:rPr>
            </w:pPr>
            <w:r w:rsidRPr="0078675E">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1FA2C797" w:rsidR="0078675E" w:rsidRPr="0078675E" w:rsidRDefault="0078675E">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78675E" w:rsidRDefault="0078675E">
            <w:pPr>
              <w:jc w:val="center"/>
              <w:rPr>
                <w:color w:val="000000"/>
                <w:sz w:val="20"/>
                <w:szCs w:val="20"/>
              </w:rPr>
            </w:pPr>
            <w:r w:rsidRPr="0078675E">
              <w:rPr>
                <w:color w:val="000000"/>
                <w:sz w:val="20"/>
                <w:szCs w:val="20"/>
              </w:rPr>
              <w:t>SIM</w:t>
            </w:r>
          </w:p>
        </w:tc>
      </w:tr>
      <w:tr w:rsidR="0078675E"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78675E" w:rsidRDefault="0078675E">
            <w:pPr>
              <w:jc w:val="center"/>
              <w:rPr>
                <w:color w:val="000000"/>
                <w:sz w:val="20"/>
                <w:szCs w:val="20"/>
              </w:rPr>
            </w:pPr>
            <w:r w:rsidRPr="0078675E">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42CFBDD4" w:rsidR="0078675E" w:rsidRPr="0078675E" w:rsidRDefault="0078675E">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78675E" w:rsidRDefault="0078675E">
            <w:pPr>
              <w:jc w:val="center"/>
              <w:rPr>
                <w:color w:val="000000"/>
                <w:sz w:val="20"/>
                <w:szCs w:val="20"/>
              </w:rPr>
            </w:pPr>
            <w:r w:rsidRPr="0078675E">
              <w:rPr>
                <w:color w:val="000000"/>
                <w:sz w:val="20"/>
                <w:szCs w:val="20"/>
              </w:rPr>
              <w:t>SIM</w:t>
            </w:r>
          </w:p>
        </w:tc>
      </w:tr>
      <w:tr w:rsidR="0078675E"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78675E" w:rsidRDefault="0078675E">
            <w:pPr>
              <w:jc w:val="center"/>
              <w:rPr>
                <w:color w:val="000000"/>
                <w:sz w:val="20"/>
                <w:szCs w:val="20"/>
              </w:rPr>
            </w:pPr>
            <w:r w:rsidRPr="0078675E">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6B23CEA" w:rsidR="0078675E" w:rsidRPr="0078675E" w:rsidRDefault="0078675E">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78675E" w:rsidRDefault="0078675E">
            <w:pPr>
              <w:jc w:val="center"/>
              <w:rPr>
                <w:color w:val="000000"/>
                <w:sz w:val="20"/>
                <w:szCs w:val="20"/>
              </w:rPr>
            </w:pPr>
            <w:r w:rsidRPr="0078675E">
              <w:rPr>
                <w:color w:val="000000"/>
                <w:sz w:val="20"/>
                <w:szCs w:val="20"/>
              </w:rPr>
              <w:t>SIM</w:t>
            </w:r>
          </w:p>
        </w:tc>
      </w:tr>
      <w:tr w:rsidR="0078675E"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78675E" w:rsidRDefault="0078675E">
            <w:pPr>
              <w:jc w:val="center"/>
              <w:rPr>
                <w:color w:val="000000"/>
                <w:sz w:val="20"/>
                <w:szCs w:val="20"/>
              </w:rPr>
            </w:pPr>
            <w:r w:rsidRPr="0078675E">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6ED7C11C" w:rsidR="0078675E" w:rsidRPr="0078675E" w:rsidRDefault="0078675E">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78675E" w:rsidRDefault="0078675E">
            <w:pPr>
              <w:jc w:val="center"/>
              <w:rPr>
                <w:color w:val="000000"/>
                <w:sz w:val="20"/>
                <w:szCs w:val="20"/>
              </w:rPr>
            </w:pPr>
            <w:r w:rsidRPr="0078675E">
              <w:rPr>
                <w:color w:val="000000"/>
                <w:sz w:val="20"/>
                <w:szCs w:val="20"/>
              </w:rPr>
              <w:t>SIM</w:t>
            </w:r>
          </w:p>
        </w:tc>
      </w:tr>
      <w:tr w:rsidR="0078675E"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78675E" w:rsidRDefault="0078675E">
            <w:pPr>
              <w:jc w:val="center"/>
              <w:rPr>
                <w:color w:val="000000"/>
                <w:sz w:val="20"/>
                <w:szCs w:val="20"/>
              </w:rPr>
            </w:pPr>
            <w:r w:rsidRPr="0078675E">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661842C9" w:rsidR="0078675E" w:rsidRPr="0078675E" w:rsidRDefault="0078675E">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78675E" w:rsidRDefault="0078675E">
            <w:pPr>
              <w:jc w:val="center"/>
              <w:rPr>
                <w:color w:val="000000"/>
                <w:sz w:val="20"/>
                <w:szCs w:val="20"/>
              </w:rPr>
            </w:pPr>
            <w:r w:rsidRPr="0078675E">
              <w:rPr>
                <w:color w:val="000000"/>
                <w:sz w:val="20"/>
                <w:szCs w:val="20"/>
              </w:rPr>
              <w:t>SIM</w:t>
            </w:r>
          </w:p>
        </w:tc>
      </w:tr>
      <w:tr w:rsidR="0078675E"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78675E" w:rsidRDefault="0078675E">
            <w:pPr>
              <w:jc w:val="center"/>
              <w:rPr>
                <w:color w:val="000000"/>
                <w:sz w:val="20"/>
                <w:szCs w:val="20"/>
              </w:rPr>
            </w:pPr>
            <w:r w:rsidRPr="0078675E">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4BC6FD59" w:rsidR="0078675E" w:rsidRPr="0078675E" w:rsidRDefault="0078675E">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78675E" w:rsidRDefault="0078675E">
            <w:pPr>
              <w:jc w:val="center"/>
              <w:rPr>
                <w:color w:val="000000"/>
                <w:sz w:val="20"/>
                <w:szCs w:val="20"/>
              </w:rPr>
            </w:pPr>
            <w:r w:rsidRPr="0078675E">
              <w:rPr>
                <w:color w:val="000000"/>
                <w:sz w:val="20"/>
                <w:szCs w:val="20"/>
              </w:rPr>
              <w:t>SIM</w:t>
            </w:r>
          </w:p>
        </w:tc>
      </w:tr>
      <w:tr w:rsidR="0078675E"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78675E" w:rsidRDefault="0078675E">
            <w:pPr>
              <w:jc w:val="center"/>
              <w:rPr>
                <w:color w:val="000000"/>
                <w:sz w:val="20"/>
                <w:szCs w:val="20"/>
              </w:rPr>
            </w:pPr>
            <w:r w:rsidRPr="0078675E">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2BF2217D" w:rsidR="0078675E" w:rsidRPr="0078675E" w:rsidRDefault="0078675E">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78675E" w:rsidRDefault="0078675E">
            <w:pPr>
              <w:jc w:val="center"/>
              <w:rPr>
                <w:color w:val="000000"/>
                <w:sz w:val="20"/>
                <w:szCs w:val="20"/>
              </w:rPr>
            </w:pPr>
            <w:r w:rsidRPr="0078675E">
              <w:rPr>
                <w:color w:val="000000"/>
                <w:sz w:val="20"/>
                <w:szCs w:val="20"/>
              </w:rPr>
              <w:t>SIM</w:t>
            </w:r>
          </w:p>
        </w:tc>
      </w:tr>
      <w:tr w:rsidR="0078675E"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78675E" w:rsidRDefault="0078675E">
            <w:pPr>
              <w:jc w:val="center"/>
              <w:rPr>
                <w:color w:val="000000"/>
                <w:sz w:val="20"/>
                <w:szCs w:val="20"/>
              </w:rPr>
            </w:pPr>
            <w:r w:rsidRPr="0078675E">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02FB904E" w:rsidR="0078675E" w:rsidRPr="0078675E" w:rsidRDefault="0078675E">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78675E" w:rsidRDefault="0078675E">
            <w:pPr>
              <w:jc w:val="center"/>
              <w:rPr>
                <w:color w:val="000000"/>
                <w:sz w:val="20"/>
                <w:szCs w:val="20"/>
              </w:rPr>
            </w:pPr>
            <w:r w:rsidRPr="0078675E">
              <w:rPr>
                <w:color w:val="000000"/>
                <w:sz w:val="20"/>
                <w:szCs w:val="20"/>
              </w:rPr>
              <w:t>SIM</w:t>
            </w:r>
          </w:p>
        </w:tc>
      </w:tr>
      <w:tr w:rsidR="0078675E"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78675E" w:rsidRDefault="0078675E">
            <w:pPr>
              <w:jc w:val="center"/>
              <w:rPr>
                <w:color w:val="000000"/>
                <w:sz w:val="20"/>
                <w:szCs w:val="20"/>
              </w:rPr>
            </w:pPr>
            <w:r w:rsidRPr="0078675E">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07DBB64A" w:rsidR="0078675E" w:rsidRPr="0078675E" w:rsidRDefault="0078675E">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78675E" w:rsidRDefault="0078675E">
            <w:pPr>
              <w:jc w:val="center"/>
              <w:rPr>
                <w:color w:val="000000"/>
                <w:sz w:val="20"/>
                <w:szCs w:val="20"/>
              </w:rPr>
            </w:pPr>
            <w:r w:rsidRPr="0078675E">
              <w:rPr>
                <w:color w:val="000000"/>
                <w:sz w:val="20"/>
                <w:szCs w:val="20"/>
              </w:rPr>
              <w:t>SIM</w:t>
            </w:r>
          </w:p>
        </w:tc>
      </w:tr>
      <w:tr w:rsidR="0078675E"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78675E" w:rsidRDefault="0078675E">
            <w:pPr>
              <w:jc w:val="center"/>
              <w:rPr>
                <w:color w:val="000000"/>
                <w:sz w:val="20"/>
                <w:szCs w:val="20"/>
              </w:rPr>
            </w:pPr>
            <w:r w:rsidRPr="0078675E">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12ECDFF9" w:rsidR="0078675E" w:rsidRPr="0078675E" w:rsidRDefault="0078675E">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78675E" w:rsidRDefault="0078675E">
            <w:pPr>
              <w:jc w:val="center"/>
              <w:rPr>
                <w:color w:val="000000"/>
                <w:sz w:val="20"/>
                <w:szCs w:val="20"/>
              </w:rPr>
            </w:pPr>
            <w:r w:rsidRPr="0078675E">
              <w:rPr>
                <w:color w:val="000000"/>
                <w:sz w:val="20"/>
                <w:szCs w:val="20"/>
              </w:rPr>
              <w:t>SIM</w:t>
            </w:r>
          </w:p>
        </w:tc>
      </w:tr>
      <w:tr w:rsidR="0078675E"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78675E" w:rsidRDefault="0078675E">
            <w:pPr>
              <w:jc w:val="center"/>
              <w:rPr>
                <w:color w:val="000000"/>
                <w:sz w:val="20"/>
                <w:szCs w:val="20"/>
              </w:rPr>
            </w:pPr>
            <w:r w:rsidRPr="0078675E">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24590893" w:rsidR="0078675E" w:rsidRPr="0078675E" w:rsidRDefault="0078675E">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78675E" w:rsidRDefault="0078675E">
            <w:pPr>
              <w:jc w:val="center"/>
              <w:rPr>
                <w:color w:val="000000"/>
                <w:sz w:val="20"/>
                <w:szCs w:val="20"/>
              </w:rPr>
            </w:pPr>
            <w:r w:rsidRPr="0078675E">
              <w:rPr>
                <w:color w:val="000000"/>
                <w:sz w:val="20"/>
                <w:szCs w:val="20"/>
              </w:rPr>
              <w:t>SIM</w:t>
            </w:r>
          </w:p>
        </w:tc>
      </w:tr>
      <w:tr w:rsidR="0078675E"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78675E" w:rsidRDefault="0078675E">
            <w:pPr>
              <w:jc w:val="center"/>
              <w:rPr>
                <w:color w:val="000000"/>
                <w:sz w:val="20"/>
                <w:szCs w:val="20"/>
              </w:rPr>
            </w:pPr>
            <w:r w:rsidRPr="0078675E">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06AAB1AE" w:rsidR="0078675E" w:rsidRPr="0078675E" w:rsidRDefault="0078675E">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78675E" w:rsidRDefault="0078675E">
            <w:pPr>
              <w:jc w:val="center"/>
              <w:rPr>
                <w:color w:val="000000"/>
                <w:sz w:val="20"/>
                <w:szCs w:val="20"/>
              </w:rPr>
            </w:pPr>
            <w:r w:rsidRPr="0078675E">
              <w:rPr>
                <w:color w:val="000000"/>
                <w:sz w:val="20"/>
                <w:szCs w:val="20"/>
              </w:rPr>
              <w:t>SIM</w:t>
            </w:r>
          </w:p>
        </w:tc>
      </w:tr>
      <w:tr w:rsidR="0078675E"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78675E" w:rsidRDefault="0078675E">
            <w:pPr>
              <w:jc w:val="center"/>
              <w:rPr>
                <w:color w:val="000000"/>
                <w:sz w:val="20"/>
                <w:szCs w:val="20"/>
              </w:rPr>
            </w:pPr>
            <w:r w:rsidRPr="0078675E">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5D6F19DE" w:rsidR="0078675E" w:rsidRPr="0078675E" w:rsidRDefault="0078675E">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78675E" w:rsidRDefault="0078675E">
            <w:pPr>
              <w:jc w:val="center"/>
              <w:rPr>
                <w:color w:val="000000"/>
                <w:sz w:val="20"/>
                <w:szCs w:val="20"/>
              </w:rPr>
            </w:pPr>
            <w:r w:rsidRPr="0078675E">
              <w:rPr>
                <w:color w:val="000000"/>
                <w:sz w:val="20"/>
                <w:szCs w:val="20"/>
              </w:rPr>
              <w:t>SIM</w:t>
            </w:r>
          </w:p>
        </w:tc>
      </w:tr>
      <w:tr w:rsidR="0078675E"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78675E" w:rsidRDefault="0078675E">
            <w:pPr>
              <w:jc w:val="center"/>
              <w:rPr>
                <w:color w:val="000000"/>
                <w:sz w:val="20"/>
                <w:szCs w:val="20"/>
              </w:rPr>
            </w:pPr>
            <w:r w:rsidRPr="0078675E">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0A403DF2" w:rsidR="0078675E" w:rsidRPr="0078675E" w:rsidRDefault="0078675E">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78675E" w:rsidRDefault="0078675E">
            <w:pPr>
              <w:jc w:val="center"/>
              <w:rPr>
                <w:color w:val="000000"/>
                <w:sz w:val="20"/>
                <w:szCs w:val="20"/>
              </w:rPr>
            </w:pPr>
            <w:r w:rsidRPr="0078675E">
              <w:rPr>
                <w:color w:val="000000"/>
                <w:sz w:val="20"/>
                <w:szCs w:val="20"/>
              </w:rPr>
              <w:t>SIM</w:t>
            </w:r>
          </w:p>
        </w:tc>
      </w:tr>
      <w:tr w:rsidR="0078675E"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78675E" w:rsidRDefault="0078675E">
            <w:pPr>
              <w:jc w:val="center"/>
              <w:rPr>
                <w:color w:val="000000"/>
                <w:sz w:val="20"/>
                <w:szCs w:val="20"/>
              </w:rPr>
            </w:pPr>
            <w:r w:rsidRPr="0078675E">
              <w:rPr>
                <w:color w:val="000000"/>
                <w:sz w:val="20"/>
                <w:szCs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5D951214" w:rsidR="0078675E" w:rsidRPr="0078675E" w:rsidRDefault="0078675E">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78675E" w:rsidRDefault="0078675E">
            <w:pPr>
              <w:jc w:val="center"/>
              <w:rPr>
                <w:color w:val="000000"/>
                <w:sz w:val="20"/>
                <w:szCs w:val="20"/>
              </w:rPr>
            </w:pPr>
            <w:r w:rsidRPr="0078675E">
              <w:rPr>
                <w:color w:val="000000"/>
                <w:sz w:val="20"/>
                <w:szCs w:val="20"/>
              </w:rPr>
              <w:t>SIM</w:t>
            </w:r>
          </w:p>
        </w:tc>
      </w:tr>
      <w:tr w:rsidR="0078675E"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78675E" w:rsidRDefault="0078675E">
            <w:pPr>
              <w:jc w:val="center"/>
              <w:rPr>
                <w:color w:val="000000"/>
                <w:sz w:val="20"/>
                <w:szCs w:val="20"/>
              </w:rPr>
            </w:pPr>
            <w:r w:rsidRPr="0078675E">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3AE366B4" w:rsidR="0078675E" w:rsidRPr="0078675E" w:rsidRDefault="0078675E">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4AB301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78675E"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78675E" w:rsidRDefault="0078675E">
            <w:pPr>
              <w:jc w:val="center"/>
              <w:rPr>
                <w:color w:val="000000"/>
                <w:sz w:val="20"/>
                <w:szCs w:val="20"/>
              </w:rPr>
            </w:pPr>
            <w:r w:rsidRPr="0078675E">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40E7CE46" w:rsidR="0078675E" w:rsidRPr="0078675E" w:rsidRDefault="0078675E">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5050496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78675E"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78675E" w:rsidRDefault="0078675E">
            <w:pPr>
              <w:jc w:val="center"/>
              <w:rPr>
                <w:color w:val="000000"/>
                <w:sz w:val="20"/>
                <w:szCs w:val="20"/>
              </w:rPr>
            </w:pPr>
            <w:r w:rsidRPr="0078675E">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E126D4" w:rsidR="0078675E" w:rsidRPr="0078675E" w:rsidRDefault="0078675E">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31CEE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78675E"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78675E" w:rsidRDefault="0078675E">
            <w:pPr>
              <w:jc w:val="center"/>
              <w:rPr>
                <w:color w:val="000000"/>
                <w:sz w:val="20"/>
                <w:szCs w:val="20"/>
              </w:rPr>
            </w:pPr>
            <w:r w:rsidRPr="0078675E">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339B4CDD" w:rsidR="0078675E" w:rsidRPr="0078675E" w:rsidRDefault="0078675E">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806D34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78675E"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78675E" w:rsidRDefault="0078675E">
            <w:pPr>
              <w:jc w:val="center"/>
              <w:rPr>
                <w:color w:val="000000"/>
                <w:sz w:val="20"/>
                <w:szCs w:val="20"/>
              </w:rPr>
            </w:pPr>
            <w:r w:rsidRPr="0078675E">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7E07673" w:rsidR="0078675E" w:rsidRPr="0078675E" w:rsidRDefault="0078675E">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38E3910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78675E"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78675E" w:rsidRDefault="0078675E">
            <w:pPr>
              <w:jc w:val="center"/>
              <w:rPr>
                <w:color w:val="000000"/>
                <w:sz w:val="20"/>
                <w:szCs w:val="20"/>
              </w:rPr>
            </w:pPr>
            <w:r w:rsidRPr="0078675E">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292D1483" w:rsidR="0078675E" w:rsidRPr="0078675E" w:rsidRDefault="0078675E">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D3F6B6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78675E"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78675E" w:rsidRDefault="0078675E">
            <w:pPr>
              <w:jc w:val="center"/>
              <w:rPr>
                <w:color w:val="000000"/>
                <w:sz w:val="20"/>
                <w:szCs w:val="20"/>
              </w:rPr>
            </w:pPr>
            <w:r w:rsidRPr="0078675E">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4178AD4C" w:rsidR="0078675E" w:rsidRPr="0078675E" w:rsidRDefault="0078675E">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506ED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78675E"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78675E" w:rsidRDefault="0078675E">
            <w:pPr>
              <w:jc w:val="center"/>
              <w:rPr>
                <w:color w:val="000000"/>
                <w:sz w:val="20"/>
                <w:szCs w:val="20"/>
              </w:rPr>
            </w:pPr>
            <w:r w:rsidRPr="0078675E">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4D9D0FEE" w:rsidR="0078675E" w:rsidRPr="0078675E" w:rsidRDefault="0078675E">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CBBD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78675E"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78675E" w:rsidRDefault="0078675E">
            <w:pPr>
              <w:jc w:val="center"/>
              <w:rPr>
                <w:color w:val="000000"/>
                <w:sz w:val="20"/>
                <w:szCs w:val="20"/>
              </w:rPr>
            </w:pPr>
            <w:r w:rsidRPr="0078675E">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1D78F6B4" w:rsidR="0078675E" w:rsidRPr="0078675E" w:rsidRDefault="0078675E">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742660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78675E"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78675E" w:rsidRDefault="0078675E">
            <w:pPr>
              <w:jc w:val="center"/>
              <w:rPr>
                <w:color w:val="000000"/>
                <w:sz w:val="20"/>
                <w:szCs w:val="20"/>
              </w:rPr>
            </w:pPr>
            <w:r w:rsidRPr="0078675E">
              <w:rPr>
                <w:color w:val="000000"/>
                <w:sz w:val="20"/>
                <w:szCs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449D17AE" w:rsidR="0078675E" w:rsidRPr="0078675E" w:rsidRDefault="0078675E">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7F46D0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78675E"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78675E" w:rsidRDefault="0078675E">
            <w:pPr>
              <w:jc w:val="center"/>
              <w:rPr>
                <w:color w:val="000000"/>
                <w:sz w:val="20"/>
                <w:szCs w:val="20"/>
              </w:rPr>
            </w:pPr>
            <w:r w:rsidRPr="0078675E">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59A24234" w:rsidR="0078675E" w:rsidRPr="0078675E" w:rsidRDefault="0078675E">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5ABFCE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78675E"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78675E" w:rsidRDefault="0078675E">
            <w:pPr>
              <w:jc w:val="center"/>
              <w:rPr>
                <w:color w:val="000000"/>
                <w:sz w:val="20"/>
                <w:szCs w:val="20"/>
              </w:rPr>
            </w:pPr>
            <w:r w:rsidRPr="0078675E">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40D2B67B" w:rsidR="0078675E" w:rsidRPr="0078675E" w:rsidRDefault="0078675E">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0B6C1A4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78675E"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78675E" w:rsidRDefault="0078675E">
            <w:pPr>
              <w:jc w:val="center"/>
              <w:rPr>
                <w:color w:val="000000"/>
                <w:sz w:val="20"/>
                <w:szCs w:val="20"/>
              </w:rPr>
            </w:pPr>
            <w:r w:rsidRPr="0078675E">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6EAF749B" w:rsidR="0078675E" w:rsidRPr="0078675E" w:rsidRDefault="0078675E">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4D39174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78675E"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78675E" w:rsidRDefault="0078675E">
            <w:pPr>
              <w:jc w:val="center"/>
              <w:rPr>
                <w:color w:val="000000"/>
                <w:sz w:val="20"/>
                <w:szCs w:val="20"/>
              </w:rPr>
            </w:pPr>
            <w:r w:rsidRPr="0078675E">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5C195C09" w:rsidR="0078675E" w:rsidRPr="0078675E" w:rsidRDefault="0078675E">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223E871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78675E"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78675E" w:rsidRDefault="0078675E">
            <w:pPr>
              <w:jc w:val="center"/>
              <w:rPr>
                <w:color w:val="000000"/>
                <w:sz w:val="20"/>
                <w:szCs w:val="20"/>
              </w:rPr>
            </w:pPr>
            <w:r w:rsidRPr="0078675E">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53ECBDAE" w:rsidR="0078675E" w:rsidRPr="0078675E" w:rsidRDefault="0078675E">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53D21D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78675E"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78675E" w:rsidRDefault="0078675E">
            <w:pPr>
              <w:jc w:val="center"/>
              <w:rPr>
                <w:color w:val="000000"/>
                <w:sz w:val="20"/>
                <w:szCs w:val="20"/>
              </w:rPr>
            </w:pPr>
            <w:r w:rsidRPr="0078675E">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C359214" w:rsidR="0078675E" w:rsidRPr="0078675E" w:rsidRDefault="0078675E">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EB835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78675E"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78675E" w:rsidRDefault="0078675E">
            <w:pPr>
              <w:jc w:val="center"/>
              <w:rPr>
                <w:color w:val="000000"/>
                <w:sz w:val="20"/>
                <w:szCs w:val="20"/>
              </w:rPr>
            </w:pPr>
            <w:r w:rsidRPr="0078675E">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6E31E93F" w:rsidR="0078675E" w:rsidRPr="0078675E" w:rsidRDefault="0078675E">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3BD72A2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78675E"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78675E" w:rsidRDefault="0078675E">
            <w:pPr>
              <w:jc w:val="center"/>
              <w:rPr>
                <w:color w:val="000000"/>
                <w:sz w:val="20"/>
                <w:szCs w:val="20"/>
              </w:rPr>
            </w:pPr>
            <w:r w:rsidRPr="0078675E">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0BCE09E1" w:rsidR="0078675E" w:rsidRPr="0078675E" w:rsidRDefault="0078675E">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7B577E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78675E"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78675E" w:rsidRDefault="0078675E">
            <w:pPr>
              <w:jc w:val="center"/>
              <w:rPr>
                <w:color w:val="000000"/>
                <w:sz w:val="20"/>
                <w:szCs w:val="20"/>
              </w:rPr>
            </w:pPr>
            <w:r w:rsidRPr="0078675E">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7A5DB71B" w:rsidR="0078675E" w:rsidRPr="0078675E" w:rsidRDefault="0078675E">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66AE67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78675E"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78675E" w:rsidRDefault="0078675E">
            <w:pPr>
              <w:jc w:val="center"/>
              <w:rPr>
                <w:color w:val="000000"/>
                <w:sz w:val="20"/>
                <w:szCs w:val="20"/>
              </w:rPr>
            </w:pPr>
            <w:r w:rsidRPr="0078675E">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784673C0" w:rsidR="0078675E" w:rsidRPr="0078675E" w:rsidRDefault="0078675E">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4BB3524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78675E"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78675E" w:rsidRDefault="0078675E">
            <w:pPr>
              <w:jc w:val="center"/>
              <w:rPr>
                <w:color w:val="000000"/>
                <w:sz w:val="20"/>
                <w:szCs w:val="20"/>
              </w:rPr>
            </w:pPr>
            <w:r w:rsidRPr="0078675E">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41D39126" w:rsidR="0078675E" w:rsidRPr="0078675E" w:rsidRDefault="0078675E">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39686CB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78675E"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78675E" w:rsidRDefault="0078675E">
            <w:pPr>
              <w:jc w:val="center"/>
              <w:rPr>
                <w:color w:val="000000"/>
                <w:sz w:val="20"/>
                <w:szCs w:val="20"/>
              </w:rPr>
            </w:pPr>
            <w:r w:rsidRPr="0078675E">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6C743725" w:rsidR="0078675E" w:rsidRPr="0078675E" w:rsidRDefault="0078675E">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761FC38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78675E"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78675E" w:rsidRDefault="0078675E">
            <w:pPr>
              <w:jc w:val="center"/>
              <w:rPr>
                <w:color w:val="000000"/>
                <w:sz w:val="20"/>
                <w:szCs w:val="20"/>
              </w:rPr>
            </w:pPr>
            <w:r w:rsidRPr="0078675E">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41746633" w:rsidR="0078675E" w:rsidRPr="0078675E" w:rsidRDefault="0078675E">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3B9C24F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78675E"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78675E" w:rsidRDefault="0078675E">
            <w:pPr>
              <w:jc w:val="center"/>
              <w:rPr>
                <w:color w:val="000000"/>
                <w:sz w:val="20"/>
                <w:szCs w:val="20"/>
              </w:rPr>
            </w:pPr>
            <w:r w:rsidRPr="0078675E">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298191C3" w:rsidR="0078675E" w:rsidRPr="0078675E" w:rsidRDefault="0078675E">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704246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78675E"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78675E" w:rsidRDefault="0078675E">
            <w:pPr>
              <w:jc w:val="center"/>
              <w:rPr>
                <w:color w:val="000000"/>
                <w:sz w:val="20"/>
                <w:szCs w:val="20"/>
              </w:rPr>
            </w:pPr>
            <w:r w:rsidRPr="0078675E">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6AC1BA82" w:rsidR="0078675E" w:rsidRPr="0078675E" w:rsidRDefault="0078675E">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3989679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78675E"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78675E" w:rsidRDefault="0078675E">
            <w:pPr>
              <w:jc w:val="center"/>
              <w:rPr>
                <w:color w:val="000000"/>
                <w:sz w:val="20"/>
                <w:szCs w:val="20"/>
              </w:rPr>
            </w:pPr>
            <w:r w:rsidRPr="0078675E">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251CF0CF" w:rsidR="0078675E" w:rsidRPr="0078675E" w:rsidRDefault="0078675E">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67589C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78675E"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78675E" w:rsidRDefault="0078675E">
            <w:pPr>
              <w:jc w:val="center"/>
              <w:rPr>
                <w:color w:val="000000"/>
                <w:sz w:val="20"/>
                <w:szCs w:val="20"/>
              </w:rPr>
            </w:pPr>
            <w:r w:rsidRPr="0078675E">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624EF809" w:rsidR="0078675E" w:rsidRPr="0078675E" w:rsidRDefault="0078675E">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D84F34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78675E"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78675E" w:rsidRDefault="0078675E">
            <w:pPr>
              <w:jc w:val="center"/>
              <w:rPr>
                <w:color w:val="000000"/>
                <w:sz w:val="20"/>
                <w:szCs w:val="20"/>
              </w:rPr>
            </w:pPr>
            <w:r w:rsidRPr="0078675E">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0A8E4C03" w:rsidR="0078675E" w:rsidRPr="0078675E" w:rsidRDefault="0078675E">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00753C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78675E"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78675E" w:rsidRDefault="0078675E">
            <w:pPr>
              <w:jc w:val="center"/>
              <w:rPr>
                <w:color w:val="000000"/>
                <w:sz w:val="20"/>
                <w:szCs w:val="20"/>
              </w:rPr>
            </w:pPr>
            <w:r w:rsidRPr="0078675E">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1006C14C" w:rsidR="0078675E" w:rsidRPr="0078675E" w:rsidRDefault="0078675E">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C9B77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78675E"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78675E" w:rsidRDefault="0078675E">
            <w:pPr>
              <w:jc w:val="center"/>
              <w:rPr>
                <w:color w:val="000000"/>
                <w:sz w:val="20"/>
                <w:szCs w:val="20"/>
              </w:rPr>
            </w:pPr>
            <w:r w:rsidRPr="0078675E">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6E32288B" w:rsidR="0078675E" w:rsidRPr="0078675E" w:rsidRDefault="0078675E">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3498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78675E"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78675E" w:rsidRDefault="0078675E">
            <w:pPr>
              <w:jc w:val="center"/>
              <w:rPr>
                <w:color w:val="000000"/>
                <w:sz w:val="20"/>
                <w:szCs w:val="20"/>
              </w:rPr>
            </w:pPr>
            <w:r w:rsidRPr="0078675E">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154A5595" w:rsidR="0078675E" w:rsidRPr="0078675E" w:rsidRDefault="0078675E">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17AD1D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78675E"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78675E" w:rsidRDefault="0078675E">
            <w:pPr>
              <w:jc w:val="center"/>
              <w:rPr>
                <w:color w:val="000000"/>
                <w:sz w:val="20"/>
                <w:szCs w:val="20"/>
              </w:rPr>
            </w:pPr>
            <w:r w:rsidRPr="0078675E">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5FC1FCFC" w:rsidR="0078675E" w:rsidRPr="0078675E" w:rsidRDefault="0078675E">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6756CC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78675E"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78675E" w:rsidRDefault="0078675E">
            <w:pPr>
              <w:jc w:val="center"/>
              <w:rPr>
                <w:color w:val="000000"/>
                <w:sz w:val="20"/>
                <w:szCs w:val="20"/>
              </w:rPr>
            </w:pPr>
            <w:r w:rsidRPr="0078675E">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301330CE" w:rsidR="0078675E" w:rsidRPr="0078675E" w:rsidRDefault="0078675E">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07E5E15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78675E"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78675E" w:rsidRDefault="0078675E">
            <w:pPr>
              <w:jc w:val="center"/>
              <w:rPr>
                <w:color w:val="000000"/>
                <w:sz w:val="20"/>
                <w:szCs w:val="20"/>
              </w:rPr>
            </w:pPr>
            <w:r w:rsidRPr="0078675E">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6B441FD5" w:rsidR="0078675E" w:rsidRPr="0078675E" w:rsidRDefault="0078675E">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1903257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78675E"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78675E" w:rsidRDefault="0078675E">
            <w:pPr>
              <w:jc w:val="center"/>
              <w:rPr>
                <w:color w:val="000000"/>
                <w:sz w:val="20"/>
                <w:szCs w:val="20"/>
              </w:rPr>
            </w:pPr>
            <w:r w:rsidRPr="0078675E">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2F8615C8" w:rsidR="0078675E" w:rsidRPr="0078675E" w:rsidRDefault="0078675E">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28C0418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78675E"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78675E" w:rsidRDefault="0078675E">
            <w:pPr>
              <w:jc w:val="center"/>
              <w:rPr>
                <w:color w:val="000000"/>
                <w:sz w:val="20"/>
                <w:szCs w:val="20"/>
              </w:rPr>
            </w:pPr>
            <w:r w:rsidRPr="0078675E">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45FE669C" w:rsidR="0078675E" w:rsidRPr="0078675E" w:rsidRDefault="0078675E">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729EE4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78675E"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78675E" w:rsidRDefault="0078675E">
            <w:pPr>
              <w:jc w:val="center"/>
              <w:rPr>
                <w:color w:val="000000"/>
                <w:sz w:val="20"/>
                <w:szCs w:val="20"/>
              </w:rPr>
            </w:pPr>
            <w:r w:rsidRPr="0078675E">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4BB3370D" w:rsidR="0078675E" w:rsidRPr="0078675E" w:rsidRDefault="0078675E">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54A985B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78675E"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78675E" w:rsidRDefault="0078675E">
            <w:pPr>
              <w:jc w:val="center"/>
              <w:rPr>
                <w:color w:val="000000"/>
                <w:sz w:val="20"/>
                <w:szCs w:val="20"/>
              </w:rPr>
            </w:pPr>
            <w:r w:rsidRPr="0078675E">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3553D965" w:rsidR="0078675E" w:rsidRPr="0078675E" w:rsidRDefault="0078675E">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067C71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78675E"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78675E" w:rsidRDefault="0078675E">
            <w:pPr>
              <w:jc w:val="center"/>
              <w:rPr>
                <w:color w:val="000000"/>
                <w:sz w:val="20"/>
                <w:szCs w:val="20"/>
              </w:rPr>
            </w:pPr>
            <w:r w:rsidRPr="0078675E">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6CC7D234" w:rsidR="0078675E" w:rsidRPr="0078675E" w:rsidRDefault="0078675E">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6F26FD5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78675E"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78675E" w:rsidRDefault="0078675E">
            <w:pPr>
              <w:jc w:val="center"/>
              <w:rPr>
                <w:color w:val="000000"/>
                <w:sz w:val="20"/>
                <w:szCs w:val="20"/>
              </w:rPr>
            </w:pPr>
            <w:r w:rsidRPr="0078675E">
              <w:rPr>
                <w:color w:val="000000"/>
                <w:sz w:val="20"/>
                <w:szCs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8D7FEEA" w:rsidR="0078675E" w:rsidRPr="0078675E" w:rsidRDefault="0078675E">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7625421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78675E"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78675E" w:rsidRDefault="0078675E">
            <w:pPr>
              <w:jc w:val="center"/>
              <w:rPr>
                <w:color w:val="000000"/>
                <w:sz w:val="20"/>
                <w:szCs w:val="20"/>
              </w:rPr>
            </w:pPr>
            <w:r w:rsidRPr="0078675E">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15B31C0" w:rsidR="0078675E" w:rsidRPr="0078675E" w:rsidRDefault="0078675E">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0E668E2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78675E"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78675E" w:rsidRDefault="0078675E">
            <w:pPr>
              <w:jc w:val="center"/>
              <w:rPr>
                <w:color w:val="000000"/>
                <w:sz w:val="20"/>
                <w:szCs w:val="20"/>
              </w:rPr>
            </w:pPr>
            <w:r w:rsidRPr="0078675E">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429044F4" w:rsidR="0078675E" w:rsidRPr="0078675E" w:rsidRDefault="0078675E">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0F6867C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78675E"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78675E" w:rsidRDefault="0078675E">
            <w:pPr>
              <w:jc w:val="center"/>
              <w:rPr>
                <w:color w:val="000000"/>
                <w:sz w:val="20"/>
                <w:szCs w:val="20"/>
              </w:rPr>
            </w:pPr>
            <w:r w:rsidRPr="0078675E">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33B212F1" w:rsidR="0078675E" w:rsidRPr="0078675E" w:rsidRDefault="0078675E">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33620F9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78675E"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78675E" w:rsidRDefault="0078675E">
            <w:pPr>
              <w:jc w:val="center"/>
              <w:rPr>
                <w:color w:val="000000"/>
                <w:sz w:val="20"/>
                <w:szCs w:val="20"/>
              </w:rPr>
            </w:pPr>
            <w:r w:rsidRPr="0078675E">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518D7A45" w:rsidR="0078675E" w:rsidRPr="0078675E" w:rsidRDefault="0078675E">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53FBF21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78675E"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78675E" w:rsidRDefault="0078675E">
            <w:pPr>
              <w:jc w:val="center"/>
              <w:rPr>
                <w:color w:val="000000"/>
                <w:sz w:val="20"/>
                <w:szCs w:val="20"/>
              </w:rPr>
            </w:pPr>
            <w:r w:rsidRPr="0078675E">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3B989749" w:rsidR="0078675E" w:rsidRPr="0078675E" w:rsidRDefault="0078675E">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0383099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78675E"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78675E" w:rsidRDefault="0078675E">
            <w:pPr>
              <w:jc w:val="center"/>
              <w:rPr>
                <w:color w:val="000000"/>
                <w:sz w:val="20"/>
                <w:szCs w:val="20"/>
              </w:rPr>
            </w:pPr>
            <w:r w:rsidRPr="0078675E">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67F0ACC6" w:rsidR="0078675E" w:rsidRPr="0078675E" w:rsidRDefault="0078675E">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55149AC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78675E"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78675E" w:rsidRDefault="0078675E">
            <w:pPr>
              <w:jc w:val="center"/>
              <w:rPr>
                <w:color w:val="000000"/>
                <w:sz w:val="20"/>
                <w:szCs w:val="20"/>
              </w:rPr>
            </w:pPr>
            <w:r w:rsidRPr="0078675E">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17211F4B" w:rsidR="0078675E" w:rsidRPr="0078675E" w:rsidRDefault="0078675E">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1282E73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78675E"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78675E" w:rsidRDefault="0078675E">
            <w:pPr>
              <w:jc w:val="center"/>
              <w:rPr>
                <w:color w:val="000000"/>
                <w:sz w:val="20"/>
                <w:szCs w:val="20"/>
              </w:rPr>
            </w:pPr>
            <w:r w:rsidRPr="0078675E">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6CBA4148" w:rsidR="0078675E" w:rsidRPr="0078675E" w:rsidRDefault="0078675E">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42EBF1E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78675E"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78675E" w:rsidRDefault="0078675E">
            <w:pPr>
              <w:jc w:val="center"/>
              <w:rPr>
                <w:color w:val="000000"/>
                <w:sz w:val="20"/>
                <w:szCs w:val="20"/>
              </w:rPr>
            </w:pPr>
            <w:r w:rsidRPr="0078675E">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40675A79" w:rsidR="0078675E" w:rsidRPr="0078675E" w:rsidRDefault="0078675E">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70AD1AF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78675E"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78675E" w:rsidRDefault="0078675E">
            <w:pPr>
              <w:jc w:val="center"/>
              <w:rPr>
                <w:color w:val="000000"/>
                <w:sz w:val="20"/>
                <w:szCs w:val="20"/>
              </w:rPr>
            </w:pPr>
            <w:r w:rsidRPr="0078675E">
              <w:rPr>
                <w:color w:val="000000"/>
                <w:sz w:val="20"/>
                <w:szCs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58069C69" w:rsidR="0078675E" w:rsidRPr="0078675E" w:rsidRDefault="0078675E">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3BF057F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78675E"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78675E" w:rsidRDefault="0078675E">
            <w:pPr>
              <w:jc w:val="center"/>
              <w:rPr>
                <w:color w:val="000000"/>
                <w:sz w:val="20"/>
                <w:szCs w:val="20"/>
              </w:rPr>
            </w:pPr>
            <w:r w:rsidRPr="0078675E">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10AB5ACA" w:rsidR="0078675E" w:rsidRPr="0078675E" w:rsidRDefault="0078675E">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0E6B57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78675E"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78675E" w:rsidRDefault="0078675E">
            <w:pPr>
              <w:jc w:val="center"/>
              <w:rPr>
                <w:color w:val="000000"/>
                <w:sz w:val="20"/>
                <w:szCs w:val="20"/>
              </w:rPr>
            </w:pPr>
            <w:r w:rsidRPr="0078675E">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18C6A76A" w:rsidR="0078675E" w:rsidRPr="0078675E" w:rsidRDefault="0078675E">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470104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78675E"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78675E" w:rsidRDefault="0078675E">
            <w:pPr>
              <w:jc w:val="center"/>
              <w:rPr>
                <w:color w:val="000000"/>
                <w:sz w:val="20"/>
                <w:szCs w:val="20"/>
              </w:rPr>
            </w:pPr>
            <w:r w:rsidRPr="0078675E">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1811518C" w:rsidR="0078675E" w:rsidRPr="0078675E" w:rsidRDefault="0078675E">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0D085A0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78675E"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78675E" w:rsidRDefault="0078675E">
            <w:pPr>
              <w:jc w:val="center"/>
              <w:rPr>
                <w:color w:val="000000"/>
                <w:sz w:val="20"/>
                <w:szCs w:val="20"/>
              </w:rPr>
            </w:pPr>
            <w:r w:rsidRPr="0078675E">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B7218A3" w:rsidR="0078675E" w:rsidRPr="0078675E" w:rsidRDefault="0078675E">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14738C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78675E"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78675E" w:rsidRDefault="0078675E">
            <w:pPr>
              <w:jc w:val="center"/>
              <w:rPr>
                <w:color w:val="000000"/>
                <w:sz w:val="20"/>
                <w:szCs w:val="20"/>
              </w:rPr>
            </w:pPr>
            <w:r w:rsidRPr="0078675E">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13280893" w:rsidR="0078675E" w:rsidRPr="0078675E" w:rsidRDefault="0078675E">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2FDEF4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78675E"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78675E" w:rsidRDefault="0078675E">
            <w:pPr>
              <w:jc w:val="center"/>
              <w:rPr>
                <w:color w:val="000000"/>
                <w:sz w:val="20"/>
                <w:szCs w:val="20"/>
              </w:rPr>
            </w:pPr>
            <w:r w:rsidRPr="0078675E">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01DD9D7D" w:rsidR="0078675E" w:rsidRPr="0078675E" w:rsidRDefault="0078675E">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1745C1B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78675E"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78675E" w:rsidRDefault="0078675E">
            <w:pPr>
              <w:jc w:val="center"/>
              <w:rPr>
                <w:color w:val="000000"/>
                <w:sz w:val="20"/>
                <w:szCs w:val="20"/>
              </w:rPr>
            </w:pPr>
            <w:r w:rsidRPr="0078675E">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DEF6CB9" w:rsidR="0078675E" w:rsidRPr="0078675E" w:rsidRDefault="0078675E">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6A2529E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78675E"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78675E" w:rsidRDefault="0078675E">
            <w:pPr>
              <w:jc w:val="center"/>
              <w:rPr>
                <w:color w:val="000000"/>
                <w:sz w:val="20"/>
                <w:szCs w:val="20"/>
              </w:rPr>
            </w:pPr>
            <w:r w:rsidRPr="0078675E">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552AC468" w:rsidR="0078675E" w:rsidRPr="0078675E" w:rsidRDefault="0078675E">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2EC6358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78675E"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78675E" w:rsidRDefault="0078675E">
            <w:pPr>
              <w:jc w:val="center"/>
              <w:rPr>
                <w:color w:val="000000"/>
                <w:sz w:val="20"/>
                <w:szCs w:val="20"/>
              </w:rPr>
            </w:pPr>
            <w:r w:rsidRPr="0078675E">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64BDBA66" w:rsidR="0078675E" w:rsidRPr="0078675E" w:rsidRDefault="0078675E">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05003A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78675E"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78675E" w:rsidRDefault="0078675E">
            <w:pPr>
              <w:jc w:val="center"/>
              <w:rPr>
                <w:color w:val="000000"/>
                <w:sz w:val="20"/>
                <w:szCs w:val="20"/>
              </w:rPr>
            </w:pPr>
            <w:r w:rsidRPr="0078675E">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5DA4B51E" w:rsidR="0078675E" w:rsidRPr="0078675E" w:rsidRDefault="0078675E">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74BE40E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78675E"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78675E" w:rsidRDefault="0078675E">
            <w:pPr>
              <w:jc w:val="center"/>
              <w:rPr>
                <w:color w:val="000000"/>
                <w:sz w:val="20"/>
                <w:szCs w:val="20"/>
              </w:rPr>
            </w:pPr>
            <w:r w:rsidRPr="0078675E">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12C5267A" w:rsidR="0078675E" w:rsidRPr="0078675E" w:rsidRDefault="0078675E">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41CBF5F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78675E"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78675E" w:rsidRDefault="0078675E">
            <w:pPr>
              <w:jc w:val="center"/>
              <w:rPr>
                <w:color w:val="000000"/>
                <w:sz w:val="20"/>
                <w:szCs w:val="20"/>
              </w:rPr>
            </w:pPr>
            <w:r w:rsidRPr="0078675E">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3061E359" w:rsidR="0078675E" w:rsidRPr="0078675E" w:rsidRDefault="0078675E">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48A8ED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78675E"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78675E" w:rsidRDefault="0078675E">
            <w:pPr>
              <w:jc w:val="center"/>
              <w:rPr>
                <w:color w:val="000000"/>
                <w:sz w:val="20"/>
                <w:szCs w:val="20"/>
              </w:rPr>
            </w:pPr>
            <w:r w:rsidRPr="0078675E">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365B9CAF" w:rsidR="0078675E" w:rsidRPr="0078675E" w:rsidRDefault="0078675E">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3B244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78675E"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78675E" w:rsidRDefault="0078675E">
            <w:pPr>
              <w:jc w:val="center"/>
              <w:rPr>
                <w:color w:val="000000"/>
                <w:sz w:val="20"/>
                <w:szCs w:val="20"/>
              </w:rPr>
            </w:pPr>
            <w:r w:rsidRPr="0078675E">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7396A6C2" w:rsidR="0078675E" w:rsidRPr="0078675E" w:rsidRDefault="0078675E">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9069F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78675E"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78675E" w:rsidRDefault="0078675E">
            <w:pPr>
              <w:jc w:val="center"/>
              <w:rPr>
                <w:color w:val="000000"/>
                <w:sz w:val="20"/>
                <w:szCs w:val="20"/>
              </w:rPr>
            </w:pPr>
            <w:r w:rsidRPr="0078675E">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758861BA" w:rsidR="0078675E" w:rsidRPr="0078675E" w:rsidRDefault="0078675E">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4E3222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78675E"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78675E" w:rsidRDefault="0078675E">
            <w:pPr>
              <w:jc w:val="center"/>
              <w:rPr>
                <w:color w:val="000000"/>
                <w:sz w:val="20"/>
                <w:szCs w:val="20"/>
              </w:rPr>
            </w:pPr>
            <w:r w:rsidRPr="0078675E">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0C1A0327" w:rsidR="0078675E" w:rsidRPr="0078675E" w:rsidRDefault="0078675E">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745186E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78675E"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78675E" w:rsidRDefault="0078675E">
            <w:pPr>
              <w:jc w:val="center"/>
              <w:rPr>
                <w:color w:val="000000"/>
                <w:sz w:val="20"/>
                <w:szCs w:val="20"/>
              </w:rPr>
            </w:pPr>
            <w:r w:rsidRPr="0078675E">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5CF795E8" w:rsidR="0078675E" w:rsidRPr="0078675E" w:rsidRDefault="0078675E">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76B1CDA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78675E"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78675E" w:rsidRDefault="0078675E">
            <w:pPr>
              <w:jc w:val="center"/>
              <w:rPr>
                <w:color w:val="000000"/>
                <w:sz w:val="20"/>
                <w:szCs w:val="20"/>
              </w:rPr>
            </w:pPr>
            <w:r w:rsidRPr="0078675E">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213EBB9A" w:rsidR="0078675E" w:rsidRPr="0078675E" w:rsidRDefault="0078675E">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1E2C13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78675E"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78675E" w:rsidRDefault="0078675E">
            <w:pPr>
              <w:jc w:val="center"/>
              <w:rPr>
                <w:color w:val="000000"/>
                <w:sz w:val="20"/>
                <w:szCs w:val="20"/>
              </w:rPr>
            </w:pPr>
            <w:r w:rsidRPr="0078675E">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7EAFC002" w:rsidR="0078675E" w:rsidRPr="0078675E" w:rsidRDefault="0078675E">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1BEE613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78675E"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78675E" w:rsidRDefault="0078675E">
            <w:pPr>
              <w:jc w:val="center"/>
              <w:rPr>
                <w:color w:val="000000"/>
                <w:sz w:val="20"/>
                <w:szCs w:val="20"/>
              </w:rPr>
            </w:pPr>
            <w:r w:rsidRPr="0078675E">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37660E5A" w:rsidR="0078675E" w:rsidRPr="0078675E" w:rsidRDefault="0078675E">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23157E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78675E"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78675E" w:rsidRDefault="0078675E">
            <w:pPr>
              <w:jc w:val="center"/>
              <w:rPr>
                <w:color w:val="000000"/>
                <w:sz w:val="20"/>
                <w:szCs w:val="20"/>
              </w:rPr>
            </w:pPr>
            <w:r w:rsidRPr="0078675E">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614175D3" w:rsidR="0078675E" w:rsidRPr="0078675E" w:rsidRDefault="0078675E">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0AA8EB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78675E"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78675E" w:rsidRDefault="0078675E">
            <w:pPr>
              <w:jc w:val="center"/>
              <w:rPr>
                <w:color w:val="000000"/>
                <w:sz w:val="20"/>
                <w:szCs w:val="20"/>
              </w:rPr>
            </w:pPr>
            <w:r w:rsidRPr="0078675E">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27520568" w:rsidR="0078675E" w:rsidRPr="0078675E" w:rsidRDefault="0078675E">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7CBFF85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78675E"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78675E" w:rsidRDefault="0078675E">
            <w:pPr>
              <w:jc w:val="center"/>
              <w:rPr>
                <w:color w:val="000000"/>
                <w:sz w:val="20"/>
                <w:szCs w:val="20"/>
              </w:rPr>
            </w:pPr>
            <w:r w:rsidRPr="0078675E">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10A633E3" w:rsidR="0078675E" w:rsidRPr="0078675E" w:rsidRDefault="0078675E">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6BA67D9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78675E"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78675E" w:rsidRDefault="0078675E">
            <w:pPr>
              <w:jc w:val="center"/>
              <w:rPr>
                <w:color w:val="000000"/>
                <w:sz w:val="20"/>
                <w:szCs w:val="20"/>
              </w:rPr>
            </w:pPr>
            <w:r w:rsidRPr="0078675E">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53213B6B" w:rsidR="0078675E" w:rsidRPr="0078675E" w:rsidRDefault="0078675E">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6D2BEF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78675E"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78675E" w:rsidRDefault="0078675E">
            <w:pPr>
              <w:jc w:val="center"/>
              <w:rPr>
                <w:color w:val="000000"/>
                <w:sz w:val="20"/>
                <w:szCs w:val="20"/>
              </w:rPr>
            </w:pPr>
            <w:r w:rsidRPr="0078675E">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3CF15B4D" w:rsidR="0078675E" w:rsidRPr="0078675E" w:rsidRDefault="0078675E">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98D1B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78675E"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78675E" w:rsidRDefault="0078675E">
            <w:pPr>
              <w:jc w:val="center"/>
              <w:rPr>
                <w:color w:val="000000"/>
                <w:sz w:val="20"/>
                <w:szCs w:val="20"/>
              </w:rPr>
            </w:pPr>
            <w:r w:rsidRPr="0078675E">
              <w:rPr>
                <w:color w:val="000000"/>
                <w:sz w:val="20"/>
                <w:szCs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1248743D" w:rsidR="0078675E" w:rsidRPr="0078675E" w:rsidRDefault="0078675E">
            <w:pPr>
              <w:jc w:val="center"/>
              <w:rPr>
                <w:color w:val="000000"/>
                <w:sz w:val="20"/>
                <w:szCs w:val="20"/>
              </w:rPr>
            </w:pPr>
            <w:r w:rsidRPr="00EC508D">
              <w:rPr>
                <w:sz w:val="20"/>
                <w:szCs w:val="20"/>
              </w:rPr>
              <w:t>15/12/2028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5522A0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78675E"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78675E" w:rsidRDefault="0078675E">
            <w:pPr>
              <w:jc w:val="center"/>
              <w:rPr>
                <w:color w:val="000000"/>
                <w:sz w:val="20"/>
                <w:szCs w:val="20"/>
              </w:rPr>
            </w:pPr>
            <w:r w:rsidRPr="0078675E">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00A004C8" w:rsidR="0078675E" w:rsidRPr="0078675E" w:rsidRDefault="0078675E">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7C22B2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78675E"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78675E" w:rsidRDefault="0078675E">
            <w:pPr>
              <w:jc w:val="center"/>
              <w:rPr>
                <w:color w:val="000000"/>
                <w:sz w:val="20"/>
                <w:szCs w:val="20"/>
              </w:rPr>
            </w:pPr>
            <w:r w:rsidRPr="0078675E">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15E41E1D" w:rsidR="0078675E" w:rsidRPr="0078675E" w:rsidRDefault="0078675E">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5A32F42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78675E"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78675E" w:rsidRDefault="0078675E">
            <w:pPr>
              <w:jc w:val="center"/>
              <w:rPr>
                <w:color w:val="000000"/>
                <w:sz w:val="20"/>
                <w:szCs w:val="20"/>
              </w:rPr>
            </w:pPr>
            <w:r w:rsidRPr="0078675E">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6B63ED84" w:rsidR="0078675E" w:rsidRPr="0078675E" w:rsidRDefault="0078675E">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FCE9D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78675E"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78675E" w:rsidRDefault="0078675E">
            <w:pPr>
              <w:jc w:val="center"/>
              <w:rPr>
                <w:color w:val="000000"/>
                <w:sz w:val="20"/>
                <w:szCs w:val="20"/>
              </w:rPr>
            </w:pPr>
            <w:r w:rsidRPr="0078675E">
              <w:rPr>
                <w:color w:val="000000"/>
                <w:sz w:val="20"/>
                <w:szCs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739BC205" w:rsidR="0078675E" w:rsidRPr="0078675E" w:rsidRDefault="0078675E">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647AE73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78675E"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78675E" w:rsidRDefault="0078675E">
            <w:pPr>
              <w:jc w:val="center"/>
              <w:rPr>
                <w:color w:val="000000"/>
                <w:sz w:val="20"/>
                <w:szCs w:val="20"/>
              </w:rPr>
            </w:pPr>
            <w:r w:rsidRPr="0078675E">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396F32FA" w:rsidR="0078675E" w:rsidRPr="0078675E" w:rsidRDefault="0078675E">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5A0624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78675E"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78675E" w:rsidRDefault="0078675E">
            <w:pPr>
              <w:jc w:val="center"/>
              <w:rPr>
                <w:color w:val="000000"/>
                <w:sz w:val="20"/>
                <w:szCs w:val="20"/>
              </w:rPr>
            </w:pPr>
            <w:r w:rsidRPr="0078675E">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7A036FB7" w:rsidR="0078675E" w:rsidRPr="0078675E" w:rsidRDefault="0078675E">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38B88FB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78675E"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78675E" w:rsidRDefault="0078675E">
            <w:pPr>
              <w:jc w:val="center"/>
              <w:rPr>
                <w:color w:val="000000"/>
                <w:sz w:val="20"/>
                <w:szCs w:val="20"/>
              </w:rPr>
            </w:pPr>
            <w:r w:rsidRPr="0078675E">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70E1C9F2" w:rsidR="0078675E" w:rsidRPr="0078675E" w:rsidRDefault="0078675E">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1B6EBE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78675E"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78675E" w:rsidRDefault="0078675E">
            <w:pPr>
              <w:jc w:val="center"/>
              <w:rPr>
                <w:color w:val="000000"/>
                <w:sz w:val="20"/>
                <w:szCs w:val="20"/>
              </w:rPr>
            </w:pPr>
            <w:r w:rsidRPr="0078675E">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210D3C88" w:rsidR="0078675E" w:rsidRPr="0078675E" w:rsidRDefault="0078675E">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029C2A0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78675E"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78675E" w:rsidRDefault="0078675E">
            <w:pPr>
              <w:jc w:val="center"/>
              <w:rPr>
                <w:color w:val="000000"/>
                <w:sz w:val="20"/>
                <w:szCs w:val="20"/>
              </w:rPr>
            </w:pPr>
            <w:r w:rsidRPr="0078675E">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3D7EB60" w:rsidR="0078675E" w:rsidRPr="0078675E" w:rsidRDefault="0078675E">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3C0431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78675E"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78675E" w:rsidRDefault="0078675E">
            <w:pPr>
              <w:jc w:val="center"/>
              <w:rPr>
                <w:color w:val="000000"/>
                <w:sz w:val="20"/>
                <w:szCs w:val="20"/>
              </w:rPr>
            </w:pPr>
            <w:r w:rsidRPr="0078675E">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D6D7DAB" w:rsidR="0078675E" w:rsidRPr="0078675E" w:rsidRDefault="0078675E">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07E8B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78675E"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78675E" w:rsidRDefault="0078675E">
            <w:pPr>
              <w:jc w:val="center"/>
              <w:rPr>
                <w:color w:val="000000"/>
                <w:sz w:val="20"/>
                <w:szCs w:val="20"/>
              </w:rPr>
            </w:pPr>
            <w:r w:rsidRPr="0078675E">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4C7AE103" w:rsidR="0078675E" w:rsidRPr="0078675E" w:rsidRDefault="0078675E">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053C5B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78675E"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78675E" w:rsidRDefault="0078675E">
            <w:pPr>
              <w:jc w:val="center"/>
              <w:rPr>
                <w:color w:val="000000"/>
                <w:sz w:val="20"/>
                <w:szCs w:val="20"/>
              </w:rPr>
            </w:pPr>
            <w:r w:rsidRPr="0078675E">
              <w:rPr>
                <w:color w:val="000000"/>
                <w:sz w:val="20"/>
                <w:szCs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21170C67" w:rsidR="0078675E" w:rsidRPr="0078675E" w:rsidRDefault="0078675E">
            <w:pPr>
              <w:jc w:val="center"/>
              <w:rPr>
                <w:color w:val="000000"/>
                <w:sz w:val="20"/>
                <w:szCs w:val="20"/>
              </w:rPr>
            </w:pPr>
            <w:r w:rsidRPr="00EC508D">
              <w:rPr>
                <w:sz w:val="20"/>
                <w:szCs w:val="20"/>
              </w:rPr>
              <w:t>17/12/2029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7783717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78675E"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78675E" w:rsidRDefault="0078675E">
            <w:pPr>
              <w:jc w:val="center"/>
              <w:rPr>
                <w:color w:val="000000"/>
                <w:sz w:val="20"/>
                <w:szCs w:val="20"/>
              </w:rPr>
            </w:pPr>
            <w:r w:rsidRPr="0078675E">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0C439CDE" w:rsidR="0078675E" w:rsidRPr="0078675E" w:rsidRDefault="0078675E">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08A5D0E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78675E"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78675E" w:rsidRDefault="0078675E">
            <w:pPr>
              <w:jc w:val="center"/>
              <w:rPr>
                <w:color w:val="000000"/>
                <w:sz w:val="20"/>
                <w:szCs w:val="20"/>
              </w:rPr>
            </w:pPr>
            <w:r w:rsidRPr="0078675E">
              <w:rPr>
                <w:color w:val="000000"/>
                <w:sz w:val="20"/>
                <w:szCs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18E5B523" w:rsidR="0078675E" w:rsidRPr="0078675E" w:rsidRDefault="0078675E">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5C4D128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78675E"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78675E" w:rsidRDefault="0078675E">
            <w:pPr>
              <w:jc w:val="center"/>
              <w:rPr>
                <w:color w:val="000000"/>
                <w:sz w:val="20"/>
                <w:szCs w:val="20"/>
              </w:rPr>
            </w:pPr>
            <w:r w:rsidRPr="0078675E">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3F62B3F1" w:rsidR="0078675E" w:rsidRPr="0078675E" w:rsidRDefault="0078675E">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13CBA2C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78675E"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78675E" w:rsidRDefault="0078675E">
            <w:pPr>
              <w:jc w:val="center"/>
              <w:rPr>
                <w:color w:val="000000"/>
                <w:sz w:val="20"/>
                <w:szCs w:val="20"/>
              </w:rPr>
            </w:pPr>
            <w:r w:rsidRPr="0078675E">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489DEF2E" w:rsidR="0078675E" w:rsidRPr="0078675E" w:rsidRDefault="0078675E">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62F68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78675E"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78675E" w:rsidRDefault="0078675E">
            <w:pPr>
              <w:jc w:val="center"/>
              <w:rPr>
                <w:color w:val="000000"/>
                <w:sz w:val="20"/>
                <w:szCs w:val="20"/>
              </w:rPr>
            </w:pPr>
            <w:r w:rsidRPr="0078675E">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DED8E40" w:rsidR="0078675E" w:rsidRPr="0078675E" w:rsidRDefault="0078675E">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63DA44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78675E"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78675E" w:rsidRDefault="0078675E">
            <w:pPr>
              <w:jc w:val="center"/>
              <w:rPr>
                <w:color w:val="000000"/>
                <w:sz w:val="20"/>
                <w:szCs w:val="20"/>
              </w:rPr>
            </w:pPr>
            <w:r w:rsidRPr="0078675E">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4D772596" w:rsidR="0078675E" w:rsidRPr="0078675E" w:rsidRDefault="0078675E">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4778ABB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78675E"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78675E" w:rsidRDefault="0078675E">
            <w:pPr>
              <w:jc w:val="center"/>
              <w:rPr>
                <w:color w:val="000000"/>
                <w:sz w:val="20"/>
                <w:szCs w:val="20"/>
              </w:rPr>
            </w:pPr>
            <w:r w:rsidRPr="0078675E">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6EE9BA8A" w:rsidR="0078675E" w:rsidRPr="0078675E" w:rsidRDefault="0078675E">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7B60068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78675E"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78675E" w:rsidRDefault="0078675E">
            <w:pPr>
              <w:jc w:val="center"/>
              <w:rPr>
                <w:color w:val="000000"/>
                <w:sz w:val="20"/>
                <w:szCs w:val="20"/>
              </w:rPr>
            </w:pPr>
            <w:r w:rsidRPr="0078675E">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17A6322D" w:rsidR="0078675E" w:rsidRPr="0078675E" w:rsidRDefault="0078675E">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DE790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78675E"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78675E" w:rsidRDefault="0078675E">
            <w:pPr>
              <w:jc w:val="center"/>
              <w:rPr>
                <w:color w:val="000000"/>
                <w:sz w:val="20"/>
                <w:szCs w:val="20"/>
              </w:rPr>
            </w:pPr>
            <w:r w:rsidRPr="0078675E">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5DDFAD81" w:rsidR="0078675E" w:rsidRPr="0078675E" w:rsidRDefault="0078675E">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278E64A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78675E"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78675E" w:rsidRDefault="0078675E">
            <w:pPr>
              <w:jc w:val="center"/>
              <w:rPr>
                <w:color w:val="000000"/>
                <w:sz w:val="20"/>
                <w:szCs w:val="20"/>
              </w:rPr>
            </w:pPr>
            <w:r w:rsidRPr="0078675E">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691020CD" w:rsidR="0078675E" w:rsidRPr="0078675E" w:rsidRDefault="0078675E">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1CB7D5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78675E"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78675E" w:rsidRDefault="0078675E">
            <w:pPr>
              <w:jc w:val="center"/>
              <w:rPr>
                <w:color w:val="000000"/>
                <w:sz w:val="20"/>
                <w:szCs w:val="20"/>
              </w:rPr>
            </w:pPr>
            <w:r w:rsidRPr="0078675E">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2AC74ABD" w:rsidR="0078675E" w:rsidRPr="0078675E" w:rsidRDefault="0078675E">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538934C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78675E"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78675E" w:rsidRDefault="0078675E">
            <w:pPr>
              <w:jc w:val="center"/>
              <w:rPr>
                <w:b/>
                <w:bCs/>
                <w:color w:val="000000"/>
                <w:sz w:val="20"/>
                <w:szCs w:val="20"/>
              </w:rPr>
            </w:pPr>
            <w:r w:rsidRPr="0078675E">
              <w:rPr>
                <w:b/>
                <w:bCs/>
                <w:color w:val="000000"/>
                <w:sz w:val="20"/>
                <w:szCs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3A8B0E93" w:rsidR="0078675E" w:rsidRPr="0059581D" w:rsidRDefault="0078675E">
            <w:pPr>
              <w:jc w:val="center"/>
              <w:rPr>
                <w:b/>
                <w:bCs/>
                <w:color w:val="000000"/>
                <w:sz w:val="20"/>
                <w:szCs w:val="20"/>
              </w:rPr>
            </w:pPr>
            <w:r w:rsidRPr="00EC508D">
              <w:rPr>
                <w:b/>
                <w:bCs/>
                <w:sz w:val="20"/>
                <w:szCs w:val="20"/>
              </w:rPr>
              <w:t>16/12/2030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78675E" w:rsidRDefault="0078675E">
            <w:pPr>
              <w:jc w:val="center"/>
              <w:rPr>
                <w:b/>
                <w:bCs/>
                <w:color w:val="000000"/>
                <w:sz w:val="20"/>
                <w:szCs w:val="20"/>
              </w:rPr>
            </w:pPr>
            <w:r w:rsidRPr="0078675E">
              <w:rPr>
                <w:b/>
                <w:bCs/>
                <w:color w:val="000000"/>
                <w:sz w:val="20"/>
                <w:szCs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78675E" w:rsidRDefault="0078675E">
            <w:pPr>
              <w:jc w:val="center"/>
              <w:rPr>
                <w:b/>
                <w:bCs/>
                <w:color w:val="000000"/>
                <w:sz w:val="20"/>
                <w:szCs w:val="20"/>
              </w:rPr>
            </w:pPr>
            <w:r w:rsidRPr="0078675E">
              <w:rPr>
                <w:b/>
                <w:bCs/>
                <w:color w:val="000000"/>
                <w:sz w:val="20"/>
                <w:szCs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37"/>
          <w:footerReference w:type="default" r:id="rId38"/>
          <w:headerReference w:type="first" r:id="rId39"/>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1DDA2196" w14:textId="77777777" w:rsidR="005067FE" w:rsidRPr="00581716" w:rsidRDefault="005067FE" w:rsidP="005067FE">
      <w:pPr>
        <w:widowControl w:val="0"/>
        <w:spacing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R$ 4.226.981,05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362E5AF0" w14:textId="4BF3DE54"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trPr>
        <w:tc>
          <w:tcPr>
            <w:tcW w:w="4252" w:type="dxa"/>
          </w:tcPr>
          <w:p w14:paraId="38823FFD" w14:textId="3A023645" w:rsidR="005943CC" w:rsidRPr="00EC508D" w:rsidRDefault="005943CC" w:rsidP="00EC508D">
            <w:pPr>
              <w:widowControl w:val="0"/>
              <w:spacing w:line="300" w:lineRule="exact"/>
              <w:jc w:val="both"/>
              <w:rPr>
                <w:sz w:val="26"/>
                <w:szCs w:val="26"/>
              </w:rPr>
            </w:pPr>
            <w:r w:rsidRPr="00EC508D">
              <w:rPr>
                <w:sz w:val="26"/>
                <w:szCs w:val="26"/>
              </w:rPr>
              <w:t>____________________________</w:t>
            </w:r>
          </w:p>
          <w:p w14:paraId="77DD96F0" w14:textId="77777777" w:rsidR="005943CC" w:rsidRPr="00EC508D" w:rsidRDefault="005943CC" w:rsidP="00EC508D">
            <w:pPr>
              <w:widowControl w:val="0"/>
              <w:spacing w:line="300" w:lineRule="exact"/>
              <w:jc w:val="both"/>
              <w:rPr>
                <w:sz w:val="26"/>
                <w:szCs w:val="26"/>
              </w:rPr>
            </w:pPr>
            <w:r w:rsidRPr="00EC508D">
              <w:rPr>
                <w:sz w:val="26"/>
                <w:szCs w:val="26"/>
              </w:rPr>
              <w:t>Nome:</w:t>
            </w:r>
          </w:p>
          <w:p w14:paraId="0AF460B7" w14:textId="77777777" w:rsidR="005943CC" w:rsidRPr="00EC508D" w:rsidRDefault="005943CC" w:rsidP="00EC508D">
            <w:pPr>
              <w:widowControl w:val="0"/>
              <w:spacing w:line="300" w:lineRule="exact"/>
              <w:jc w:val="both"/>
              <w:rPr>
                <w:sz w:val="26"/>
                <w:szCs w:val="26"/>
              </w:rPr>
            </w:pPr>
            <w:r w:rsidRPr="00EC508D">
              <w:rPr>
                <w:sz w:val="26"/>
                <w:szCs w:val="26"/>
              </w:rPr>
              <w:t>Cargo:</w:t>
            </w:r>
          </w:p>
        </w:tc>
        <w:tc>
          <w:tcPr>
            <w:tcW w:w="4252" w:type="dxa"/>
          </w:tcPr>
          <w:p w14:paraId="5C2EF2C4" w14:textId="246308EA" w:rsidR="005943CC" w:rsidRPr="00EC508D" w:rsidRDefault="005943CC" w:rsidP="00EC508D">
            <w:pPr>
              <w:widowControl w:val="0"/>
              <w:spacing w:line="300" w:lineRule="exact"/>
              <w:jc w:val="both"/>
              <w:rPr>
                <w:sz w:val="26"/>
                <w:szCs w:val="26"/>
              </w:rPr>
            </w:pPr>
            <w:r w:rsidRPr="00EC508D">
              <w:rPr>
                <w:sz w:val="26"/>
                <w:szCs w:val="26"/>
              </w:rPr>
              <w:t>_____________________________</w:t>
            </w:r>
          </w:p>
          <w:p w14:paraId="10244271" w14:textId="77777777" w:rsidR="005943CC" w:rsidRPr="00EC508D" w:rsidRDefault="005943CC" w:rsidP="00EC508D">
            <w:pPr>
              <w:widowControl w:val="0"/>
              <w:spacing w:line="300" w:lineRule="exact"/>
              <w:jc w:val="both"/>
              <w:rPr>
                <w:sz w:val="26"/>
                <w:szCs w:val="26"/>
              </w:rPr>
            </w:pPr>
            <w:r w:rsidRPr="00EC508D">
              <w:rPr>
                <w:sz w:val="26"/>
                <w:szCs w:val="26"/>
              </w:rPr>
              <w:t>Nome:</w:t>
            </w:r>
          </w:p>
          <w:p w14:paraId="5A15987B" w14:textId="77777777" w:rsidR="005943CC" w:rsidRPr="00EC508D" w:rsidRDefault="005943CC" w:rsidP="00EC508D">
            <w:pPr>
              <w:widowControl w:val="0"/>
              <w:spacing w:line="300" w:lineRule="exact"/>
              <w:jc w:val="both"/>
              <w:rPr>
                <w:sz w:val="26"/>
                <w:szCs w:val="26"/>
              </w:rPr>
            </w:pPr>
            <w:r w:rsidRPr="00EC508D">
              <w:rPr>
                <w:sz w:val="26"/>
                <w:szCs w:val="26"/>
              </w:rPr>
              <w:t>Cargo:</w:t>
            </w:r>
          </w:p>
        </w:tc>
      </w:tr>
    </w:tbl>
    <w:p w14:paraId="2E151C4E" w14:textId="62C432F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caso aplicável. Estes valores serão corrigidos a partir da data da emissão do CRI pelo IPCA, 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D7D2" w14:textId="77777777" w:rsidR="004E563B" w:rsidRDefault="004E563B">
      <w:r>
        <w:separator/>
      </w:r>
    </w:p>
  </w:endnote>
  <w:endnote w:type="continuationSeparator" w:id="0">
    <w:p w14:paraId="646BA84C" w14:textId="77777777" w:rsidR="004E563B" w:rsidRDefault="004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2B7F" w14:textId="77777777" w:rsidR="004E563B" w:rsidRDefault="004E563B">
      <w:r>
        <w:separator/>
      </w:r>
    </w:p>
  </w:footnote>
  <w:footnote w:type="continuationSeparator" w:id="0">
    <w:p w14:paraId="63246F67" w14:textId="77777777" w:rsidR="004E563B" w:rsidRDefault="004E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19"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9"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0"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1"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2"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2"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1"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2"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3"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7"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9"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3"/>
  </w:num>
  <w:num w:numId="2">
    <w:abstractNumId w:val="59"/>
  </w:num>
  <w:num w:numId="3">
    <w:abstractNumId w:val="17"/>
  </w:num>
  <w:num w:numId="4">
    <w:abstractNumId w:val="14"/>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4"/>
  </w:num>
  <w:num w:numId="9">
    <w:abstractNumId w:val="86"/>
  </w:num>
  <w:num w:numId="10">
    <w:abstractNumId w:val="48"/>
  </w:num>
  <w:num w:numId="11">
    <w:abstractNumId w:val="20"/>
  </w:num>
  <w:num w:numId="12">
    <w:abstractNumId w:val="64"/>
  </w:num>
  <w:num w:numId="13">
    <w:abstractNumId w:val="79"/>
  </w:num>
  <w:num w:numId="14">
    <w:abstractNumId w:val="70"/>
  </w:num>
  <w:num w:numId="15">
    <w:abstractNumId w:val="27"/>
  </w:num>
  <w:num w:numId="16">
    <w:abstractNumId w:val="10"/>
  </w:num>
  <w:num w:numId="17">
    <w:abstractNumId w:val="60"/>
  </w:num>
  <w:num w:numId="18">
    <w:abstractNumId w:val="54"/>
  </w:num>
  <w:num w:numId="19">
    <w:abstractNumId w:val="57"/>
  </w:num>
  <w:num w:numId="20">
    <w:abstractNumId w:val="25"/>
  </w:num>
  <w:num w:numId="21">
    <w:abstractNumId w:val="37"/>
  </w:num>
  <w:num w:numId="22">
    <w:abstractNumId w:val="9"/>
  </w:num>
  <w:num w:numId="23">
    <w:abstractNumId w:val="68"/>
  </w:num>
  <w:num w:numId="24">
    <w:abstractNumId w:val="38"/>
  </w:num>
  <w:num w:numId="25">
    <w:abstractNumId w:val="66"/>
  </w:num>
  <w:num w:numId="26">
    <w:abstractNumId w:val="41"/>
  </w:num>
  <w:num w:numId="27">
    <w:abstractNumId w:val="88"/>
  </w:num>
  <w:num w:numId="28">
    <w:abstractNumId w:val="40"/>
  </w:num>
  <w:num w:numId="29">
    <w:abstractNumId w:val="53"/>
  </w:num>
  <w:num w:numId="30">
    <w:abstractNumId w:val="65"/>
  </w:num>
  <w:num w:numId="31">
    <w:abstractNumId w:val="82"/>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6"/>
  </w:num>
  <w:num w:numId="35">
    <w:abstractNumId w:val="56"/>
  </w:num>
  <w:num w:numId="36">
    <w:abstractNumId w:val="34"/>
  </w:num>
  <w:num w:numId="37">
    <w:abstractNumId w:val="95"/>
  </w:num>
  <w:num w:numId="38">
    <w:abstractNumId w:val="22"/>
  </w:num>
  <w:num w:numId="39">
    <w:abstractNumId w:val="26"/>
  </w:num>
  <w:num w:numId="40">
    <w:abstractNumId w:val="39"/>
  </w:num>
  <w:num w:numId="41">
    <w:abstractNumId w:val="85"/>
  </w:num>
  <w:num w:numId="42">
    <w:abstractNumId w:val="47"/>
  </w:num>
  <w:num w:numId="43">
    <w:abstractNumId w:val="91"/>
  </w:num>
  <w:num w:numId="44">
    <w:abstractNumId w:val="89"/>
  </w:num>
  <w:num w:numId="45">
    <w:abstractNumId w:val="50"/>
  </w:num>
  <w:num w:numId="46">
    <w:abstractNumId w:val="80"/>
  </w:num>
  <w:num w:numId="47">
    <w:abstractNumId w:val="94"/>
  </w:num>
  <w:num w:numId="48">
    <w:abstractNumId w:val="45"/>
  </w:num>
  <w:num w:numId="49">
    <w:abstractNumId w:val="21"/>
  </w:num>
  <w:num w:numId="50">
    <w:abstractNumId w:val="93"/>
  </w:num>
  <w:num w:numId="51">
    <w:abstractNumId w:val="87"/>
  </w:num>
  <w:num w:numId="52">
    <w:abstractNumId w:val="78"/>
  </w:num>
  <w:num w:numId="53">
    <w:abstractNumId w:val="58"/>
  </w:num>
  <w:num w:numId="54">
    <w:abstractNumId w:val="12"/>
  </w:num>
  <w:num w:numId="55">
    <w:abstractNumId w:val="81"/>
  </w:num>
  <w:num w:numId="56">
    <w:abstractNumId w:val="13"/>
  </w:num>
  <w:num w:numId="57">
    <w:abstractNumId w:val="44"/>
  </w:num>
  <w:num w:numId="58">
    <w:abstractNumId w:val="75"/>
  </w:num>
  <w:num w:numId="59">
    <w:abstractNumId w:val="33"/>
  </w:num>
  <w:num w:numId="60">
    <w:abstractNumId w:val="83"/>
  </w:num>
  <w:num w:numId="61">
    <w:abstractNumId w:val="32"/>
  </w:num>
  <w:num w:numId="62">
    <w:abstractNumId w:val="6"/>
  </w:num>
  <w:num w:numId="63">
    <w:abstractNumId w:val="7"/>
  </w:num>
  <w:num w:numId="64">
    <w:abstractNumId w:val="11"/>
  </w:num>
  <w:num w:numId="65">
    <w:abstractNumId w:val="2"/>
  </w:num>
  <w:num w:numId="66">
    <w:abstractNumId w:val="23"/>
  </w:num>
  <w:num w:numId="67">
    <w:abstractNumId w:val="55"/>
  </w:num>
  <w:num w:numId="68">
    <w:abstractNumId w:val="31"/>
  </w:num>
  <w:num w:numId="69">
    <w:abstractNumId w:val="46"/>
  </w:num>
  <w:num w:numId="70">
    <w:abstractNumId w:val="49"/>
  </w:num>
  <w:num w:numId="71">
    <w:abstractNumId w:val="4"/>
  </w:num>
  <w:num w:numId="72">
    <w:abstractNumId w:val="92"/>
  </w:num>
  <w:num w:numId="73">
    <w:abstractNumId w:val="61"/>
  </w:num>
  <w:num w:numId="74">
    <w:abstractNumId w:val="3"/>
  </w:num>
  <w:num w:numId="75">
    <w:abstractNumId w:val="16"/>
  </w:num>
  <w:num w:numId="76">
    <w:abstractNumId w:val="74"/>
  </w:num>
  <w:num w:numId="77">
    <w:abstractNumId w:val="1"/>
  </w:num>
  <w:num w:numId="78">
    <w:abstractNumId w:val="24"/>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42"/>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9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8122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38BE"/>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0BEA"/>
    <w:rsid w:val="003621BC"/>
    <w:rsid w:val="00363B79"/>
    <w:rsid w:val="00364026"/>
    <w:rsid w:val="00364F90"/>
    <w:rsid w:val="00365946"/>
    <w:rsid w:val="00365F95"/>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A5F"/>
    <w:rsid w:val="003C6FE8"/>
    <w:rsid w:val="003C7DFA"/>
    <w:rsid w:val="003D2F94"/>
    <w:rsid w:val="003D3299"/>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714A5"/>
    <w:rsid w:val="00471652"/>
    <w:rsid w:val="00471BC9"/>
    <w:rsid w:val="0047221E"/>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66BF"/>
    <w:rsid w:val="005067FE"/>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51160"/>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16C"/>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1A19"/>
    <w:rsid w:val="005E2594"/>
    <w:rsid w:val="005E2EC0"/>
    <w:rsid w:val="005E38DC"/>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A035D"/>
    <w:rsid w:val="006A0687"/>
    <w:rsid w:val="006A1764"/>
    <w:rsid w:val="006A3B52"/>
    <w:rsid w:val="006A42C7"/>
    <w:rsid w:val="006A6736"/>
    <w:rsid w:val="006A688F"/>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F45"/>
    <w:rsid w:val="006D515C"/>
    <w:rsid w:val="006D681C"/>
    <w:rsid w:val="006D6D6E"/>
    <w:rsid w:val="006D732C"/>
    <w:rsid w:val="006D772E"/>
    <w:rsid w:val="006E0F68"/>
    <w:rsid w:val="006E170C"/>
    <w:rsid w:val="006E1892"/>
    <w:rsid w:val="006E23B2"/>
    <w:rsid w:val="006E2815"/>
    <w:rsid w:val="006E2DA7"/>
    <w:rsid w:val="006E2E50"/>
    <w:rsid w:val="006E335E"/>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6463"/>
    <w:rsid w:val="00736E93"/>
    <w:rsid w:val="0074152B"/>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444F"/>
    <w:rsid w:val="007779B6"/>
    <w:rsid w:val="00777DD5"/>
    <w:rsid w:val="00780B99"/>
    <w:rsid w:val="0078195E"/>
    <w:rsid w:val="007822CE"/>
    <w:rsid w:val="00783736"/>
    <w:rsid w:val="0078595B"/>
    <w:rsid w:val="00785D7D"/>
    <w:rsid w:val="00786518"/>
    <w:rsid w:val="0078675E"/>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37E"/>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5734"/>
    <w:rsid w:val="007E5BD0"/>
    <w:rsid w:val="007E6DF1"/>
    <w:rsid w:val="007F0AE6"/>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5B38"/>
    <w:rsid w:val="008769B1"/>
    <w:rsid w:val="00876D8C"/>
    <w:rsid w:val="00876E4E"/>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D24"/>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6224"/>
    <w:rsid w:val="0097771F"/>
    <w:rsid w:val="00977933"/>
    <w:rsid w:val="009813E5"/>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167"/>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806C6"/>
    <w:rsid w:val="00A81DAC"/>
    <w:rsid w:val="00A82E99"/>
    <w:rsid w:val="00A84294"/>
    <w:rsid w:val="00A85EBF"/>
    <w:rsid w:val="00A94306"/>
    <w:rsid w:val="00A94C30"/>
    <w:rsid w:val="00A94F1F"/>
    <w:rsid w:val="00A95571"/>
    <w:rsid w:val="00A9558B"/>
    <w:rsid w:val="00A960AD"/>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2FA"/>
    <w:rsid w:val="00AD3A26"/>
    <w:rsid w:val="00AD4BAF"/>
    <w:rsid w:val="00AD61DE"/>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FD2"/>
    <w:rsid w:val="00AF55F1"/>
    <w:rsid w:val="00AF71D3"/>
    <w:rsid w:val="00AF71FC"/>
    <w:rsid w:val="00AF7EF6"/>
    <w:rsid w:val="00B0043B"/>
    <w:rsid w:val="00B00D31"/>
    <w:rsid w:val="00B02679"/>
    <w:rsid w:val="00B0669B"/>
    <w:rsid w:val="00B06AF0"/>
    <w:rsid w:val="00B07707"/>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B03F6"/>
    <w:rsid w:val="00BB09A4"/>
    <w:rsid w:val="00BB0CB1"/>
    <w:rsid w:val="00BB29E4"/>
    <w:rsid w:val="00BB2C1D"/>
    <w:rsid w:val="00BB2FB6"/>
    <w:rsid w:val="00BB311A"/>
    <w:rsid w:val="00BB3314"/>
    <w:rsid w:val="00BB3D62"/>
    <w:rsid w:val="00BB7F64"/>
    <w:rsid w:val="00BC02AE"/>
    <w:rsid w:val="00BC3680"/>
    <w:rsid w:val="00BC3DA1"/>
    <w:rsid w:val="00BC4D38"/>
    <w:rsid w:val="00BC53CC"/>
    <w:rsid w:val="00BC73E2"/>
    <w:rsid w:val="00BD0F23"/>
    <w:rsid w:val="00BD2C25"/>
    <w:rsid w:val="00BD33C1"/>
    <w:rsid w:val="00BD3918"/>
    <w:rsid w:val="00BD5B5D"/>
    <w:rsid w:val="00BE1B3D"/>
    <w:rsid w:val="00BE1E31"/>
    <w:rsid w:val="00BE2AC8"/>
    <w:rsid w:val="00BE368C"/>
    <w:rsid w:val="00BE3ED5"/>
    <w:rsid w:val="00BE480E"/>
    <w:rsid w:val="00BE5094"/>
    <w:rsid w:val="00BE599A"/>
    <w:rsid w:val="00BE69F4"/>
    <w:rsid w:val="00BF1E81"/>
    <w:rsid w:val="00BF28A9"/>
    <w:rsid w:val="00BF37CD"/>
    <w:rsid w:val="00BF419F"/>
    <w:rsid w:val="00BF47FD"/>
    <w:rsid w:val="00BF4A7A"/>
    <w:rsid w:val="00BF4FA4"/>
    <w:rsid w:val="00BF56C7"/>
    <w:rsid w:val="00BF6A29"/>
    <w:rsid w:val="00C033C1"/>
    <w:rsid w:val="00C035F6"/>
    <w:rsid w:val="00C03F4E"/>
    <w:rsid w:val="00C04DEA"/>
    <w:rsid w:val="00C04F75"/>
    <w:rsid w:val="00C05EAC"/>
    <w:rsid w:val="00C123D7"/>
    <w:rsid w:val="00C1275E"/>
    <w:rsid w:val="00C1292D"/>
    <w:rsid w:val="00C137FF"/>
    <w:rsid w:val="00C153E0"/>
    <w:rsid w:val="00C158BB"/>
    <w:rsid w:val="00C16B36"/>
    <w:rsid w:val="00C16F11"/>
    <w:rsid w:val="00C17BAA"/>
    <w:rsid w:val="00C2067E"/>
    <w:rsid w:val="00C21961"/>
    <w:rsid w:val="00C2202E"/>
    <w:rsid w:val="00C22B18"/>
    <w:rsid w:val="00C25149"/>
    <w:rsid w:val="00C27CE9"/>
    <w:rsid w:val="00C32658"/>
    <w:rsid w:val="00C32AF1"/>
    <w:rsid w:val="00C32CD7"/>
    <w:rsid w:val="00C3493D"/>
    <w:rsid w:val="00C34D1F"/>
    <w:rsid w:val="00C35ADF"/>
    <w:rsid w:val="00C36283"/>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65DA"/>
    <w:rsid w:val="00C57959"/>
    <w:rsid w:val="00C629B7"/>
    <w:rsid w:val="00C634C2"/>
    <w:rsid w:val="00C63660"/>
    <w:rsid w:val="00C63A61"/>
    <w:rsid w:val="00C65610"/>
    <w:rsid w:val="00C66050"/>
    <w:rsid w:val="00C666F9"/>
    <w:rsid w:val="00C66E21"/>
    <w:rsid w:val="00C70F3F"/>
    <w:rsid w:val="00C711F6"/>
    <w:rsid w:val="00C72FDE"/>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B1448"/>
    <w:rsid w:val="00CB2BF5"/>
    <w:rsid w:val="00CB3054"/>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55E0"/>
    <w:rsid w:val="00D65AD7"/>
    <w:rsid w:val="00D66672"/>
    <w:rsid w:val="00D74B30"/>
    <w:rsid w:val="00D74ED1"/>
    <w:rsid w:val="00D7553D"/>
    <w:rsid w:val="00D7642B"/>
    <w:rsid w:val="00D76741"/>
    <w:rsid w:val="00D76FAB"/>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E51F0"/>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5940"/>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3A0"/>
    <w:rsid w:val="00EB385B"/>
    <w:rsid w:val="00EB401D"/>
    <w:rsid w:val="00EB4212"/>
    <w:rsid w:val="00EB436D"/>
    <w:rsid w:val="00EB5C5E"/>
    <w:rsid w:val="00EB5CA3"/>
    <w:rsid w:val="00EB6102"/>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F0018C"/>
    <w:rsid w:val="00F0032B"/>
    <w:rsid w:val="00F01095"/>
    <w:rsid w:val="00F0121C"/>
    <w:rsid w:val="00F03885"/>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47ED"/>
    <w:rsid w:val="00F27421"/>
    <w:rsid w:val="00F303BD"/>
    <w:rsid w:val="00F3104E"/>
    <w:rsid w:val="00F31E91"/>
    <w:rsid w:val="00F33106"/>
    <w:rsid w:val="00F35193"/>
    <w:rsid w:val="00F353BD"/>
    <w:rsid w:val="00F362E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uiPriority w:val="99"/>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uiPriority w:val="34"/>
    <w:qFormat/>
    <w:pPr>
      <w:ind w:left="708"/>
    </w:pPr>
  </w:style>
  <w:style w:type="paragraph" w:styleId="Reviso">
    <w:name w:val="Revision"/>
    <w:hidden/>
    <w:uiPriority w:val="99"/>
    <w:rPr>
      <w:sz w:val="24"/>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uiPriority w:val="9"/>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uiPriority w:val="99"/>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uiPriority w:val="99"/>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uiPriority w:val="99"/>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header" Target="header2.xml"/><Relationship Id="rId21" Type="http://schemas.openxmlformats.org/officeDocument/2006/relationships/image" Target="media/image7.wmf"/><Relationship Id="rId34" Type="http://schemas.openxmlformats.org/officeDocument/2006/relationships/hyperlink" Target="mailto:gestao@isecbrasil.com.br"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anbima.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https://www.isecbrasil.com.br/" TargetMode="External"/><Relationship Id="rId37" Type="http://schemas.openxmlformats.org/officeDocument/2006/relationships/header" Target="header1.xml"/><Relationship Id="rId40"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hyperlink" Target="http://www.anbima.com.br" TargetMode="External"/><Relationship Id="rId36" Type="http://schemas.openxmlformats.org/officeDocument/2006/relationships/hyperlink" Target="mailto:spestruturacao@simplificpavarini.com.br" TargetMode="Externa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http://www.cvm.gov.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www.cvm.gov.br" TargetMode="External"/><Relationship Id="rId35" Type="http://schemas.openxmlformats.org/officeDocument/2006/relationships/hyperlink" Target="mailto:juridico@isecbrasil.com.br"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https://www.isecbrasil.com.br/"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Props1.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customXml/itemProps2.xml><?xml version="1.0" encoding="utf-8"?>
<ds:datastoreItem xmlns:ds="http://schemas.openxmlformats.org/officeDocument/2006/customXml" ds:itemID="{C7DA77E9-F71C-4EB0-9496-94CC348A3E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84774</Words>
  <Characters>457783</Characters>
  <Application>Microsoft Office Word</Application>
  <DocSecurity>0</DocSecurity>
  <Lines>3814</Lines>
  <Paragraphs>1082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3</cp:revision>
  <cp:lastPrinted>2017-07-26T23:27:00Z</cp:lastPrinted>
  <dcterms:created xsi:type="dcterms:W3CDTF">2020-12-11T22:15:00Z</dcterms:created>
  <dcterms:modified xsi:type="dcterms:W3CDTF">2020-12-11T22:16:00Z</dcterms:modified>
</cp:coreProperties>
</file>