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2C503B6D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0A1766">
        <w:rPr>
          <w:rFonts w:ascii="Tahoma" w:hAnsi="Tahoma" w:cs="Tahoma"/>
          <w:sz w:val="21"/>
          <w:szCs w:val="21"/>
        </w:rPr>
        <w:t>4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5239C326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0A1766">
        <w:rPr>
          <w:rFonts w:ascii="Tahoma" w:hAnsi="Tahoma" w:cs="Tahoma"/>
          <w:i/>
          <w:iCs/>
          <w:color w:val="000000"/>
          <w:sz w:val="21"/>
          <w:szCs w:val="21"/>
        </w:rPr>
        <w:t>4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622B8D3E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0A1766">
        <w:rPr>
          <w:rFonts w:ascii="Tahoma" w:hAnsi="Tahoma" w:cs="Tahoma"/>
          <w:i/>
          <w:iCs/>
          <w:color w:val="000000"/>
          <w:sz w:val="21"/>
          <w:szCs w:val="21"/>
        </w:rPr>
        <w:t>4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. A manutenção da Razão Mínima de Garantia e Razão Mínima Global serão verificadas anualmente pela Credora, até o 5º (quinto) Dia Útil do mês de março de cada ano (“Data de Verificação”),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DAA8BE8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23131294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>Exceto se expressamente indicado: (i) palavras e expressões em maiúsculas, terão o significado a elas atribuído neste Contrato, incluindo seu preâmbulo, e, se não definidas neste Contrato,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2115C401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todos os fins de direito, desde que com certificação nos padrões 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>”), reconhecendo, portanto, a validade da formalização do presente 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5011053E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Contrato 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2BA894DC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0A1766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4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40049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681A7D53" w14:textId="77777777" w:rsidR="00400491" w:rsidRDefault="00400491" w:rsidP="0040049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Hlk66731884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</w:p>
    <w:p w14:paraId="5B46CA41" w14:textId="77777777" w:rsidR="00400491" w:rsidRDefault="00400491" w:rsidP="0040049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4" w:name="_Hlk118714249"/>
      <w:bookmarkStart w:id="5" w:name="_DV_C103"/>
      <w:bookmarkStart w:id="6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4"/>
    </w:p>
    <w:p w14:paraId="45CA13C1" w14:textId="77777777" w:rsidR="00400491" w:rsidRDefault="00400491" w:rsidP="0040049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649B6B" w14:textId="77777777" w:rsidR="00400491" w:rsidRDefault="00400491" w:rsidP="0040049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400491" w14:paraId="06301B50" w14:textId="77777777" w:rsidTr="00400491">
        <w:tc>
          <w:tcPr>
            <w:tcW w:w="5038" w:type="dxa"/>
          </w:tcPr>
          <w:p w14:paraId="52AB3C93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7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0E3FB20A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3C9DECEB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1196D18F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61F21AC9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FFA87EF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693D996A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7B335D2F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7C8AC091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720A7B7A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172FDA74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Luisa Herkenhoff Mis</w:t>
            </w:r>
          </w:p>
          <w:p w14:paraId="21DC539B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2175576 - SPTC/ES</w:t>
            </w:r>
          </w:p>
          <w:p w14:paraId="1C803561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122.277.507-74</w:t>
            </w:r>
          </w:p>
          <w:p w14:paraId="7D8C9C6E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Procuradora</w:t>
            </w:r>
          </w:p>
          <w:p w14:paraId="165A3222" w14:textId="77777777" w:rsidR="00400491" w:rsidRDefault="0040049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1D41F3BB" w14:textId="77777777" w:rsidR="00400491" w:rsidRDefault="0040049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5"/>
        <w:bookmarkEnd w:id="6"/>
        <w:bookmarkEnd w:id="7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40049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3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7361" w14:textId="77777777" w:rsidR="001B3B13" w:rsidRDefault="001B3B13">
      <w:r>
        <w:separator/>
      </w:r>
    </w:p>
  </w:endnote>
  <w:endnote w:type="continuationSeparator" w:id="0">
    <w:p w14:paraId="46FF0DD2" w14:textId="77777777" w:rsidR="001B3B13" w:rsidRDefault="001B3B13">
      <w:r>
        <w:continuationSeparator/>
      </w:r>
    </w:p>
  </w:endnote>
  <w:endnote w:type="continuationNotice" w:id="1">
    <w:p w14:paraId="6489F230" w14:textId="77777777" w:rsidR="001B3B13" w:rsidRDefault="001B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2227" w14:textId="77777777" w:rsidR="001B3B13" w:rsidRDefault="001B3B13">
      <w:r>
        <w:separator/>
      </w:r>
    </w:p>
  </w:footnote>
  <w:footnote w:type="continuationSeparator" w:id="0">
    <w:p w14:paraId="070B1D1E" w14:textId="77777777" w:rsidR="001B3B13" w:rsidRDefault="001B3B13">
      <w:r>
        <w:continuationSeparator/>
      </w:r>
    </w:p>
  </w:footnote>
  <w:footnote w:type="continuationNotice" w:id="1">
    <w:p w14:paraId="3CC1F455" w14:textId="77777777" w:rsidR="001B3B13" w:rsidRDefault="001B3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A1766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00491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F5B4F"/>
    <w:rsid w:val="00C20142"/>
    <w:rsid w:val="00C237DD"/>
    <w:rsid w:val="00C24CB5"/>
    <w:rsid w:val="00C3658D"/>
    <w:rsid w:val="00C612D3"/>
    <w:rsid w:val="00C753AD"/>
    <w:rsid w:val="00C90C8F"/>
    <w:rsid w:val="00C96514"/>
    <w:rsid w:val="00CB4EC0"/>
    <w:rsid w:val="00CB525F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f4d57-ec2f-4615-a139-a4f77c0b172f" xsi:nil="true"/>
    <lcf76f155ced4ddcb4097134ff3c332f xmlns="31adb176-178c-41bb-8643-04db008b5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6" ma:contentTypeDescription="Crie um novo documento." ma:contentTypeScope="" ma:versionID="e8d3c0d6d6e33f500db09a8aee175648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47a4533f9bef04f1f94a99b018581ae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807b2-0386-49ea-b79d-98bf5001991e}" ma:internalName="TaxCatchAll" ma:showField="CatchAllData" ma:web="6d1f4d57-ec2f-4615-a139-a4f77c0b1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4d2c6b5-9014-4553-8ad1-79fe03b8a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  <ds:schemaRef ds:uri="6d1f4d57-ec2f-4615-a139-a4f77c0b172f"/>
    <ds:schemaRef ds:uri="31adb176-178c-41bb-8643-04db008b5e14"/>
  </ds:schemaRefs>
</ds:datastoreItem>
</file>

<file path=customXml/itemProps3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D62E1-A223-4340-A55F-7523DAB1B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4</cp:revision>
  <cp:lastPrinted>2021-03-16T12:44:00Z</cp:lastPrinted>
  <dcterms:created xsi:type="dcterms:W3CDTF">2022-11-07T14:32:00Z</dcterms:created>
  <dcterms:modified xsi:type="dcterms:W3CDTF">2022-11-07T14:56:00Z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0x010100E3994FF76BF5D14F9EC4EDE16BD124A7</vt:lpwstr>
  </property>
</Properties>
</file>