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bookmarkStart w:id="0" w:name="_GoBack"/>
      <w:bookmarkEnd w:id="0"/>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77777777"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Conjunto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1"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1"/>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071F5F7E" w:rsidR="00214FC0" w:rsidRPr="007639AE" w:rsidRDefault="00FD6F93" w:rsidP="007639AE">
      <w:pPr>
        <w:widowControl/>
        <w:suppressAutoHyphens/>
        <w:spacing w:line="312" w:lineRule="auto"/>
        <w:contextualSpacing/>
        <w:rPr>
          <w:color w:val="000000" w:themeColor="text1"/>
        </w:rPr>
      </w:pPr>
      <w:bookmarkStart w:id="2" w:name="Texto1083"/>
      <w:r w:rsidRPr="007639AE">
        <w:rPr>
          <w:b/>
        </w:rPr>
        <w:t>COOPERATIVA AGROINDUSTRIAL COPAGRIL</w:t>
      </w:r>
      <w:r w:rsidRPr="007639AE">
        <w:rPr>
          <w:bCs/>
        </w:rPr>
        <w:t>, com sede na cidade de Marechal Candido Rondon, Estado do Paraná, na Avenida Maripa, nº 2180, Centro, inscrita no CNPJ/ME sob o nº 81.584.278/0001-55</w:t>
      </w:r>
      <w:bookmarkEnd w:id="2"/>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0231BE9"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FD6F93" w:rsidRPr="007639AE">
        <w:t xml:space="preserve"> e a “Cédula de Crédito Bancário nº </w:t>
      </w:r>
      <w:r w:rsidR="00F50753" w:rsidRPr="007639AE">
        <w:rPr>
          <w:bCs/>
          <w:iCs/>
        </w:rPr>
        <w:t>[</w:t>
      </w:r>
      <w:r w:rsidR="00F50753" w:rsidRPr="007639AE">
        <w:rPr>
          <w:bCs/>
          <w:iCs/>
          <w:highlight w:val="yellow"/>
        </w:rPr>
        <w:t>=</w:t>
      </w:r>
      <w:r w:rsidR="00F50753" w:rsidRPr="007639AE">
        <w:rPr>
          <w:bCs/>
          <w:iCs/>
        </w:rPr>
        <w:t>]</w:t>
      </w:r>
      <w:r w:rsidR="00FD6F93" w:rsidRPr="007639AE">
        <w:t>”</w:t>
      </w:r>
      <w:r w:rsidR="009E5407" w:rsidRPr="007639AE">
        <w:t>, no valor</w:t>
      </w:r>
      <w:r w:rsidR="00FD6F93" w:rsidRPr="007639AE">
        <w:t xml:space="preserve"> total</w:t>
      </w:r>
      <w:r w:rsidR="009E5407" w:rsidRPr="007639AE">
        <w:t xml:space="preserve"> principal de </w:t>
      </w:r>
      <w:r w:rsidR="008703C8" w:rsidRPr="007639AE">
        <w:t>R$</w:t>
      </w:r>
      <w:r w:rsidR="00FD6F93" w:rsidRPr="007639AE">
        <w:t xml:space="preserve"> 48</w:t>
      </w:r>
      <w:r w:rsidR="008703C8" w:rsidRPr="007639AE">
        <w:t>.000.000,00 (</w:t>
      </w:r>
      <w:r w:rsidR="00FD6F93" w:rsidRPr="007639AE">
        <w:t>quarenta e oito</w:t>
      </w:r>
      <w:r w:rsidR="008703C8" w:rsidRPr="007639AE">
        <w:t xml:space="preserve"> milhões de reais)</w:t>
      </w:r>
      <w:r w:rsidR="009E5407" w:rsidRPr="007639AE">
        <w:t>,</w:t>
      </w:r>
      <w:r w:rsidR="00FD6F93" w:rsidRPr="007639AE">
        <w:t xml:space="preserve"> sendo R$ 24.000.000,00 (vinte quatro milhões de reais) cada,</w:t>
      </w:r>
      <w:r w:rsidR="009E5407" w:rsidRPr="007639AE">
        <w:t xml:space="preserve"> </w:t>
      </w:r>
      <w:r w:rsidRPr="007639AE">
        <w:t xml:space="preserve">por meio da qual 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3ECF9896"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a Cedente, ora titular dos Créditos Imobiliários, é uma sociedade de crédito direto, nos termos do artigo 6º da Resolução nº 4.656, de 26 de abril de 2018, a qual foi contratada para atuar exclusivamente como instituição emissora da Cédula 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04FE59ED" w:rsidR="008703C8" w:rsidRPr="007639AE" w:rsidRDefault="008703C8" w:rsidP="007639AE">
      <w:pPr>
        <w:widowControl/>
        <w:numPr>
          <w:ilvl w:val="0"/>
          <w:numId w:val="32"/>
        </w:numPr>
        <w:adjustRightInd/>
        <w:spacing w:line="312" w:lineRule="auto"/>
        <w:ind w:left="709" w:hanging="709"/>
        <w:textAlignment w:val="auto"/>
        <w:outlineLvl w:val="2"/>
      </w:pPr>
      <w:r w:rsidRPr="007639AE">
        <w:t xml:space="preserve">nos termos deste Contrato de Cessão, a Cedente irá ceder os Créditos Imobiliários à Cessionária, que irá </w:t>
      </w:r>
      <w:r w:rsidR="00E22806" w:rsidRPr="007639AE">
        <w:t>(a) emit</w:t>
      </w:r>
      <w:r w:rsidR="00D16B26" w:rsidRPr="007639AE">
        <w:t>i</w:t>
      </w:r>
      <w:r w:rsidR="00E22806" w:rsidRPr="007639AE">
        <w:t>r, por meio do “Instrumento Particular de Emissão de Cédulas de Crédito Imobiliário, Sem 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76A9F9D9" w:rsidR="007E39BF" w:rsidRPr="007639AE" w:rsidRDefault="007E39BF" w:rsidP="007639AE">
      <w:pPr>
        <w:widowControl/>
        <w:numPr>
          <w:ilvl w:val="0"/>
          <w:numId w:val="32"/>
        </w:numPr>
        <w:adjustRightInd/>
        <w:spacing w:line="312" w:lineRule="auto"/>
        <w:ind w:left="709" w:hanging="709"/>
        <w:textAlignment w:val="auto"/>
        <w:outlineLvl w:val="2"/>
      </w:pPr>
      <w:r w:rsidRPr="007639AE">
        <w:lastRenderedPageBreak/>
        <w:t xml:space="preserve">a Emissão dos CRI será realizada em conformidade com o estabelecido no “Termo de Securitização de Créditos Imobiliários da </w:t>
      </w:r>
      <w:r w:rsidR="0062424D" w:rsidRPr="007639AE">
        <w:t>175ª e 176ª</w:t>
      </w:r>
      <w:r w:rsidRPr="007639AE">
        <w:t xml:space="preserve"> 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5262D530" w:rsidR="00622292" w:rsidRPr="007639AE" w:rsidRDefault="007E39BF" w:rsidP="007639AE">
      <w:pPr>
        <w:widowControl/>
        <w:numPr>
          <w:ilvl w:val="0"/>
          <w:numId w:val="32"/>
        </w:numPr>
        <w:adjustRightInd/>
        <w:spacing w:line="312" w:lineRule="auto"/>
        <w:ind w:left="709" w:hanging="709"/>
        <w:textAlignment w:val="auto"/>
        <w:outlineLvl w:val="2"/>
      </w:pPr>
      <w:bookmarkStart w:id="3"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3"/>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celebrados entre a </w:t>
      </w:r>
      <w:r w:rsidR="00155A22" w:rsidRPr="007639AE">
        <w:t xml:space="preserve">Cedente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18CE10BE"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4" w:name="_Hlk60311423"/>
      <w:r w:rsidR="00155A22" w:rsidRPr="007639AE">
        <w:rPr>
          <w:bCs/>
        </w:rPr>
        <w:t>Isec Securitizadora S.A.</w:t>
      </w:r>
      <w:bookmarkEnd w:id="4"/>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5" w:name="_DV_M33"/>
      <w:bookmarkEnd w:id="5"/>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6"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6"/>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7"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7"/>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8" w:name="_Ref425004965"/>
      <w:bookmarkStart w:id="9" w:name="_Ref498332874"/>
      <w:r w:rsidRPr="007639AE">
        <w:rPr>
          <w:u w:val="single"/>
        </w:rPr>
        <w:t>Emissão dos CRI</w:t>
      </w:r>
      <w:r w:rsidR="00194F5C" w:rsidRPr="007639AE">
        <w:t>.</w:t>
      </w:r>
      <w:r w:rsidRPr="007639AE">
        <w:t xml:space="preserve"> </w:t>
      </w:r>
      <w:bookmarkEnd w:id="8"/>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9"/>
    </w:p>
    <w:p w14:paraId="5C5509F9" w14:textId="77777777" w:rsidR="00281774" w:rsidRPr="007639AE" w:rsidRDefault="00281774" w:rsidP="007639AE">
      <w:pPr>
        <w:widowControl/>
        <w:autoSpaceDE w:val="0"/>
        <w:autoSpaceDN w:val="0"/>
        <w:spacing w:line="312" w:lineRule="auto"/>
        <w:textAlignment w:val="auto"/>
      </w:pPr>
    </w:p>
    <w:p w14:paraId="456C900A" w14:textId="0382B5A3"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 e razoabilidade,</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0" w:name="_DV_M54"/>
      <w:bookmarkStart w:id="11" w:name="_DV_M56"/>
      <w:bookmarkStart w:id="12" w:name="_DV_M58"/>
      <w:bookmarkEnd w:id="10"/>
      <w:bookmarkEnd w:id="11"/>
      <w:bookmarkEnd w:id="12"/>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014EA57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3"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6678C0" w:rsidRPr="007639AE">
        <w:t>R$</w:t>
      </w:r>
      <w:r w:rsidR="00F50753" w:rsidRPr="007639AE">
        <w:t>48</w:t>
      </w:r>
      <w:r w:rsidR="006678C0" w:rsidRPr="007639AE">
        <w:t>.000.000,00 (</w:t>
      </w:r>
      <w:r w:rsidR="00F50753" w:rsidRPr="007639AE">
        <w:t xml:space="preserve">quarenta </w:t>
      </w:r>
      <w:r w:rsidR="006678C0" w:rsidRPr="007639AE">
        <w:t>milhões de reais</w:t>
      </w:r>
      <w:r w:rsidR="00F50753" w:rsidRPr="007639AE">
        <w:t>)</w:t>
      </w:r>
      <w:r w:rsidR="00F50753" w:rsidRPr="007639AE">
        <w:rPr>
          <w:noProof/>
        </w:rPr>
        <w:t>, sendo R$ 24.000.000,00 (vinte e quatro milhões de reais) referentes</w:t>
      </w:r>
      <w:r w:rsidR="00F50753" w:rsidRPr="007639AE">
        <w:t xml:space="preserve"> a cada CCB emitida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77777777"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4" w:name="_Ref425005252"/>
      <w:bookmarkStart w:id="15" w:name="_Ref459136466"/>
      <w:r w:rsidRPr="007639AE">
        <w:rPr>
          <w:u w:val="single"/>
        </w:rPr>
        <w:t>Valor da Cessão</w:t>
      </w:r>
      <w:bookmarkStart w:id="16" w:name="_DV_M63"/>
      <w:bookmarkEnd w:id="14"/>
      <w:bookmarkEnd w:id="16"/>
      <w:r w:rsidR="00194F5C" w:rsidRPr="007639AE">
        <w:t xml:space="preserve">. </w:t>
      </w:r>
      <w:r w:rsidR="008C7724" w:rsidRPr="007639AE">
        <w:t xml:space="preserve">O preço a ser </w:t>
      </w:r>
      <w:bookmarkStart w:id="17" w:name="_DV_C87"/>
      <w:r w:rsidR="008C7724" w:rsidRPr="007639AE">
        <w:t xml:space="preserve">pago </w:t>
      </w:r>
      <w:bookmarkStart w:id="18" w:name="_DV_M87"/>
      <w:bookmarkEnd w:id="17"/>
      <w:bookmarkEnd w:id="18"/>
      <w:r w:rsidR="008C7724" w:rsidRPr="007639AE">
        <w:t xml:space="preserve">pela Cessionária à Cedente, </w:t>
      </w:r>
      <w:bookmarkStart w:id="19"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9"/>
      <w:r w:rsidR="008C7724" w:rsidRPr="007639AE">
        <w:t>, corresponde ao Valor Nominal</w:t>
      </w:r>
      <w:bookmarkStart w:id="20" w:name="_DV_C93"/>
      <w:r w:rsidR="008C7724" w:rsidRPr="007639AE">
        <w:t xml:space="preserve"> na Data de Emissão</w:t>
      </w:r>
      <w:bookmarkStart w:id="21" w:name="_DV_M92"/>
      <w:bookmarkEnd w:id="20"/>
      <w:bookmarkEnd w:id="21"/>
      <w:r w:rsidR="00D4134F" w:rsidRPr="007639AE">
        <w:t xml:space="preserve"> </w:t>
      </w:r>
      <w:bookmarkStart w:id="22" w:name="_DV_M94"/>
      <w:bookmarkEnd w:id="15"/>
      <w:bookmarkEnd w:id="22"/>
      <w:r w:rsidR="00547C78" w:rsidRPr="007639AE">
        <w:t>(“</w:t>
      </w:r>
      <w:r w:rsidR="00547C78" w:rsidRPr="007639AE">
        <w:rPr>
          <w:u w:val="single"/>
        </w:rPr>
        <w:t>Valor d</w:t>
      </w:r>
      <w:r w:rsidR="00421127" w:rsidRPr="007639AE">
        <w:rPr>
          <w:u w:val="single"/>
        </w:rPr>
        <w:t>a</w:t>
      </w:r>
      <w:r w:rsidR="00547C78" w:rsidRPr="007639AE">
        <w:rPr>
          <w:u w:val="single"/>
        </w:rPr>
        <w:t xml:space="preserve"> Cessão</w:t>
      </w:r>
      <w:r w:rsidR="00547C78" w:rsidRPr="007639AE">
        <w:t>”)</w:t>
      </w:r>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593928AE"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3"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4" w:name="_DV_C109"/>
      <w:r w:rsidR="0012468D" w:rsidRPr="007639AE">
        <w:t>, líquido das despesas flat e do valor necessário para constituição fundo de despesas, nos termos do Termo de Securitização,</w:t>
      </w:r>
      <w:r w:rsidRPr="007639AE">
        <w:t xml:space="preserve"> 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5" w:name="_DV_M101"/>
      <w:bookmarkEnd w:id="24"/>
      <w:bookmarkEnd w:id="25"/>
      <w:r w:rsidRPr="007639AE">
        <w:t xml:space="preserve"> cumprimento das Condições Precedentes</w:t>
      </w:r>
      <w:bookmarkStart w:id="26" w:name="_DV_C110"/>
      <w:r w:rsidRPr="007639AE">
        <w:t xml:space="preserve"> estabelecidas neste Contrato</w:t>
      </w:r>
      <w:bookmarkStart w:id="27" w:name="_DV_M102"/>
      <w:bookmarkEnd w:id="26"/>
      <w:bookmarkEnd w:id="27"/>
      <w:r w:rsidR="0012468D" w:rsidRPr="007639AE">
        <w:t>, sem a incidência de correção monetário ou juros remuneratórios</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8" w:name="m_-3114134867564599436__DV_C123"/>
      <w:r w:rsidR="00BF0C63" w:rsidRPr="007639AE">
        <w:t>mediante crédito</w:t>
      </w:r>
      <w:bookmarkEnd w:id="23"/>
      <w:bookmarkEnd w:id="28"/>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r w:rsidR="00C264DD" w:rsidRPr="007639AE">
        <w:rPr>
          <w:rFonts w:eastAsia="Batang"/>
          <w:color w:val="000000" w:themeColor="text1"/>
        </w:rPr>
        <w:t xml:space="preserve"> </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9" w:name="_DV_M64"/>
      <w:bookmarkStart w:id="30" w:name="_DV_M89"/>
      <w:bookmarkStart w:id="31" w:name="_DV_M65"/>
      <w:bookmarkStart w:id="32" w:name="_Ref434344381"/>
      <w:bookmarkEnd w:id="29"/>
      <w:bookmarkEnd w:id="30"/>
      <w:bookmarkEnd w:id="31"/>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2"/>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7B1863C7" w14:textId="77777777" w:rsidR="00547C78" w:rsidRPr="007639AE" w:rsidRDefault="00547C78" w:rsidP="007639AE">
      <w:pPr>
        <w:widowControl/>
        <w:tabs>
          <w:tab w:val="num" w:pos="1701"/>
          <w:tab w:val="num" w:pos="3698"/>
        </w:tabs>
        <w:autoSpaceDE w:val="0"/>
        <w:autoSpaceDN w:val="0"/>
        <w:spacing w:line="312" w:lineRule="auto"/>
        <w:textAlignment w:val="auto"/>
      </w:pPr>
    </w:p>
    <w:p w14:paraId="71B8C107" w14:textId="1DCC4BDD" w:rsidR="008B267D" w:rsidRPr="007639AE" w:rsidRDefault="008B267D" w:rsidP="007639AE">
      <w:pPr>
        <w:widowControl/>
        <w:numPr>
          <w:ilvl w:val="1"/>
          <w:numId w:val="3"/>
        </w:numPr>
        <w:tabs>
          <w:tab w:val="left" w:pos="1418"/>
        </w:tabs>
        <w:autoSpaceDE w:val="0"/>
        <w:autoSpaceDN w:val="0"/>
        <w:spacing w:line="312" w:lineRule="auto"/>
        <w:textAlignment w:val="auto"/>
      </w:pPr>
      <w:r w:rsidRPr="007639AE">
        <w:rPr>
          <w:u w:val="single"/>
        </w:rPr>
        <w:t>Condições Precedentes</w:t>
      </w:r>
      <w:r w:rsidR="00194F5C" w:rsidRPr="007639AE">
        <w:t xml:space="preserve">. </w:t>
      </w:r>
      <w:r w:rsidR="00427443" w:rsidRPr="007639AE">
        <w:t>A</w:t>
      </w:r>
      <w:r w:rsidRPr="007639AE">
        <w:t>s seguintes condições precedentes deverão ser atendidas</w:t>
      </w:r>
      <w:r w:rsidR="00427443" w:rsidRPr="007639AE">
        <w:t xml:space="preserve"> previamente ao pagamento do Valor de Cessão</w:t>
      </w:r>
      <w:r w:rsidRPr="007639AE">
        <w:t>, conforme disposto n</w:t>
      </w:r>
      <w:r w:rsidR="00D037E9" w:rsidRPr="007639AE">
        <w:t>a Cláusula</w:t>
      </w:r>
      <w:r w:rsidRPr="007639AE">
        <w:t xml:space="preserve">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acima</w:t>
      </w:r>
      <w:r w:rsidR="00C7263B" w:rsidRPr="007639AE">
        <w:fldChar w:fldCharType="end"/>
      </w:r>
      <w:r w:rsidR="00A15D0E" w:rsidRPr="007639AE">
        <w:t xml:space="preserve">, sem prejuízo das condições precedentes previstas </w:t>
      </w:r>
      <w:r w:rsidR="00836C3B" w:rsidRPr="007639AE">
        <w:t>n</w:t>
      </w:r>
      <w:r w:rsidR="00A15D0E" w:rsidRPr="007639AE">
        <w:t>o Contrato de Distribuição</w:t>
      </w:r>
      <w:r w:rsidR="00C7263B" w:rsidRPr="007639AE">
        <w:t xml:space="preserve"> </w:t>
      </w:r>
      <w:r w:rsidRPr="007639AE">
        <w:t>(“</w:t>
      </w:r>
      <w:r w:rsidRPr="007639AE">
        <w:rPr>
          <w:u w:val="single"/>
        </w:rPr>
        <w:t>Condições Precedentes</w:t>
      </w:r>
      <w:r w:rsidRPr="007639AE">
        <w:t>”):</w:t>
      </w:r>
      <w:r w:rsidR="0097699E" w:rsidRPr="007639AE">
        <w:t xml:space="preserve"> </w:t>
      </w:r>
    </w:p>
    <w:p w14:paraId="57D20D92" w14:textId="77777777" w:rsidR="008B267D" w:rsidRPr="007639AE" w:rsidRDefault="008B267D" w:rsidP="007639AE">
      <w:pPr>
        <w:widowControl/>
        <w:autoSpaceDE w:val="0"/>
        <w:autoSpaceDN w:val="0"/>
        <w:spacing w:line="312" w:lineRule="auto"/>
        <w:textAlignment w:val="auto"/>
      </w:pPr>
      <w:bookmarkStart w:id="33" w:name="_DV_M186"/>
      <w:bookmarkEnd w:id="33"/>
    </w:p>
    <w:p w14:paraId="05E7B927" w14:textId="599250D5" w:rsidR="009C3375" w:rsidRPr="007639AE" w:rsidRDefault="009C3375" w:rsidP="007639AE">
      <w:pPr>
        <w:widowControl/>
        <w:autoSpaceDE w:val="0"/>
        <w:autoSpaceDN w:val="0"/>
        <w:adjustRightInd/>
        <w:spacing w:line="312" w:lineRule="auto"/>
        <w:textAlignment w:val="auto"/>
      </w:pPr>
      <w:bookmarkStart w:id="34" w:name="_DV_M188"/>
      <w:bookmarkEnd w:id="34"/>
      <w:r w:rsidRPr="007639AE">
        <w:t>a)</w:t>
      </w:r>
      <w:r w:rsidRPr="007639AE">
        <w:tab/>
        <w:t xml:space="preserve">estejam perfeitamente formalizados todos os Documentos da Oferta, Certificados de Recebíveis Imobiliários objeto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Pr="007639AE">
        <w:t xml:space="preserve">ª Emissão da ISEC Securitizadora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25B6CBA9" w14:textId="77777777" w:rsidR="009C3375" w:rsidRPr="007639AE" w:rsidRDefault="009C3375" w:rsidP="007639AE">
      <w:pPr>
        <w:widowControl/>
        <w:autoSpaceDE w:val="0"/>
        <w:autoSpaceDN w:val="0"/>
        <w:adjustRightInd/>
        <w:spacing w:line="312" w:lineRule="auto"/>
        <w:textAlignment w:val="auto"/>
      </w:pPr>
    </w:p>
    <w:p w14:paraId="70AFD89A" w14:textId="2F7B6A24" w:rsidR="009C3375" w:rsidRPr="007639AE" w:rsidRDefault="009C3375" w:rsidP="007639AE">
      <w:pPr>
        <w:widowControl/>
        <w:autoSpaceDE w:val="0"/>
        <w:autoSpaceDN w:val="0"/>
        <w:adjustRightInd/>
        <w:spacing w:line="312" w:lineRule="auto"/>
        <w:textAlignment w:val="auto"/>
      </w:pPr>
      <w:r w:rsidRPr="007639AE">
        <w:t>b)</w:t>
      </w:r>
      <w:r w:rsidRPr="007639AE">
        <w:tab/>
        <w:t>cumprimento, por parte da Devedora, de todas as obrigações assumidas nas CCB vencidas e exigíveis na data do primeiro desembolso, bem como a inocorrência de qualquer evento de Vencimento Antecipado;</w:t>
      </w:r>
    </w:p>
    <w:p w14:paraId="25156D5B" w14:textId="77777777" w:rsidR="009C3375" w:rsidRPr="007639AE" w:rsidRDefault="009C3375" w:rsidP="007639AE">
      <w:pPr>
        <w:widowControl/>
        <w:autoSpaceDE w:val="0"/>
        <w:autoSpaceDN w:val="0"/>
        <w:adjustRightInd/>
        <w:spacing w:line="312" w:lineRule="auto"/>
        <w:textAlignment w:val="auto"/>
      </w:pPr>
    </w:p>
    <w:p w14:paraId="4210F4A1" w14:textId="77777777" w:rsidR="009C3375" w:rsidRPr="007639AE" w:rsidRDefault="009C3375" w:rsidP="007639AE">
      <w:pPr>
        <w:widowControl/>
        <w:autoSpaceDE w:val="0"/>
        <w:autoSpaceDN w:val="0"/>
        <w:adjustRightInd/>
        <w:spacing w:line="312" w:lineRule="auto"/>
        <w:textAlignment w:val="auto"/>
      </w:pPr>
      <w:r w:rsidRPr="007639AE">
        <w:t>c)</w:t>
      </w:r>
      <w:r w:rsidRPr="007639AE">
        <w:tab/>
        <w:t xml:space="preserve">obtenção do registro dos CRI para distribuição no mercado primário e negociação no mercado secundário junto à B3 S.A. – Brasil, Bolsa, Balcão (“B3”); </w:t>
      </w:r>
    </w:p>
    <w:p w14:paraId="1F85A3A6" w14:textId="77777777" w:rsidR="009C3375" w:rsidRPr="007639AE" w:rsidRDefault="009C3375" w:rsidP="007639AE">
      <w:pPr>
        <w:widowControl/>
        <w:autoSpaceDE w:val="0"/>
        <w:autoSpaceDN w:val="0"/>
        <w:adjustRightInd/>
        <w:spacing w:line="312" w:lineRule="auto"/>
        <w:textAlignment w:val="auto"/>
      </w:pPr>
    </w:p>
    <w:p w14:paraId="64E3E501" w14:textId="4A4BE58A" w:rsidR="009C3375" w:rsidRPr="007639AE" w:rsidRDefault="009C3375" w:rsidP="007639AE">
      <w:pPr>
        <w:widowControl/>
        <w:autoSpaceDE w:val="0"/>
        <w:autoSpaceDN w:val="0"/>
        <w:adjustRightInd/>
        <w:spacing w:line="312" w:lineRule="auto"/>
        <w:textAlignment w:val="auto"/>
      </w:pPr>
      <w:r w:rsidRPr="007639AE">
        <w:t>d)</w:t>
      </w:r>
      <w:r w:rsidRPr="007639AE">
        <w:tab/>
        <w:t xml:space="preserve">perfeita formalização e emissão </w:t>
      </w:r>
      <w:r w:rsidR="00F62A5E" w:rsidRPr="007639AE">
        <w:t>dos Documentos da Operação</w:t>
      </w:r>
      <w:r w:rsidRPr="007639AE">
        <w:t>;</w:t>
      </w:r>
    </w:p>
    <w:p w14:paraId="15D53F11" w14:textId="77777777" w:rsidR="009C3375" w:rsidRPr="007639AE" w:rsidRDefault="009C3375" w:rsidP="007639AE">
      <w:pPr>
        <w:widowControl/>
        <w:autoSpaceDE w:val="0"/>
        <w:autoSpaceDN w:val="0"/>
        <w:adjustRightInd/>
        <w:spacing w:line="312" w:lineRule="auto"/>
        <w:textAlignment w:val="auto"/>
      </w:pPr>
    </w:p>
    <w:p w14:paraId="30E131A3" w14:textId="79A737C6" w:rsidR="009C3375" w:rsidRPr="007639AE" w:rsidRDefault="009C3375" w:rsidP="007639AE">
      <w:pPr>
        <w:widowControl/>
        <w:autoSpaceDE w:val="0"/>
        <w:autoSpaceDN w:val="0"/>
        <w:adjustRightInd/>
        <w:spacing w:line="312" w:lineRule="auto"/>
        <w:textAlignment w:val="auto"/>
      </w:pPr>
      <w:r w:rsidRPr="007639AE">
        <w:t>e)</w:t>
      </w:r>
      <w:r w:rsidRPr="007639AE">
        <w:tab/>
        <w:t xml:space="preserve">conclusão do processo de Due Diligence legal, contábil, financeira e operacional da Devedora, e eventuais terceiros envolvidos na operação, de forma satisfatória </w:t>
      </w:r>
      <w:r w:rsidR="00F62A5E" w:rsidRPr="007639AE">
        <w:t>à Cessionária</w:t>
      </w:r>
      <w:r w:rsidRPr="007639AE">
        <w:t xml:space="preserve">, com a consequente emissão do relatório de diligência e da opinião legal, abrangendo os CRI; </w:t>
      </w:r>
    </w:p>
    <w:p w14:paraId="4A3A1879" w14:textId="77777777" w:rsidR="009C3375" w:rsidRPr="007639AE" w:rsidRDefault="009C3375" w:rsidP="007639AE">
      <w:pPr>
        <w:widowControl/>
        <w:autoSpaceDE w:val="0"/>
        <w:autoSpaceDN w:val="0"/>
        <w:adjustRightInd/>
        <w:spacing w:line="312" w:lineRule="auto"/>
        <w:textAlignment w:val="auto"/>
      </w:pPr>
    </w:p>
    <w:p w14:paraId="31C9C721" w14:textId="63BD1F9C" w:rsidR="009C3375" w:rsidRPr="007639AE" w:rsidRDefault="009C3375" w:rsidP="007639AE">
      <w:pPr>
        <w:widowControl/>
        <w:autoSpaceDE w:val="0"/>
        <w:autoSpaceDN w:val="0"/>
        <w:adjustRightInd/>
        <w:spacing w:line="312" w:lineRule="auto"/>
        <w:textAlignment w:val="auto"/>
      </w:pPr>
      <w:r w:rsidRPr="007639AE">
        <w:t>f)</w:t>
      </w:r>
      <w:r w:rsidRPr="007639AE">
        <w:tab/>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Imóveis no respectivo Cartório de Registro de Imóveis, para fins de assegurar o fiel e integral cumprimento das obrigações </w:t>
      </w:r>
      <w:r w:rsidR="00F62A5E" w:rsidRPr="007639AE">
        <w:t>das CCB</w:t>
      </w:r>
      <w:r w:rsidRPr="007639AE">
        <w:t xml:space="preserve">; </w:t>
      </w:r>
    </w:p>
    <w:p w14:paraId="24E9096B" w14:textId="77777777" w:rsidR="009C3375" w:rsidRPr="007639AE" w:rsidRDefault="009C3375" w:rsidP="007639AE">
      <w:pPr>
        <w:widowControl/>
        <w:autoSpaceDE w:val="0"/>
        <w:autoSpaceDN w:val="0"/>
        <w:adjustRightInd/>
        <w:spacing w:line="312" w:lineRule="auto"/>
        <w:textAlignment w:val="auto"/>
      </w:pPr>
    </w:p>
    <w:p w14:paraId="1B1B0BD7" w14:textId="2E20F7BE" w:rsidR="009C3375" w:rsidRPr="007639AE" w:rsidRDefault="009C3375" w:rsidP="007639AE">
      <w:pPr>
        <w:widowControl/>
        <w:autoSpaceDE w:val="0"/>
        <w:autoSpaceDN w:val="0"/>
        <w:adjustRightInd/>
        <w:spacing w:line="312" w:lineRule="auto"/>
        <w:textAlignment w:val="auto"/>
      </w:pPr>
      <w:r w:rsidRPr="007639AE">
        <w:t>g)</w:t>
      </w:r>
      <w:r w:rsidRPr="007639AE">
        <w:tab/>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 ou Cessionária</w:t>
      </w:r>
      <w:r w:rsidRPr="007639AE">
        <w:t xml:space="preserve"> que possa inviabilizar a operação; e</w:t>
      </w:r>
    </w:p>
    <w:p w14:paraId="77A1F2E5" w14:textId="77777777" w:rsidR="009C3375" w:rsidRPr="007639AE" w:rsidRDefault="009C3375" w:rsidP="007639AE">
      <w:pPr>
        <w:widowControl/>
        <w:autoSpaceDE w:val="0"/>
        <w:autoSpaceDN w:val="0"/>
        <w:adjustRightInd/>
        <w:spacing w:line="312" w:lineRule="auto"/>
        <w:textAlignment w:val="auto"/>
      </w:pPr>
    </w:p>
    <w:p w14:paraId="246FC3EB" w14:textId="50C087EE" w:rsidR="009C3375" w:rsidRPr="007639AE" w:rsidRDefault="009C3375" w:rsidP="007639AE">
      <w:pPr>
        <w:widowControl/>
        <w:autoSpaceDE w:val="0"/>
        <w:autoSpaceDN w:val="0"/>
        <w:adjustRightInd/>
        <w:spacing w:line="312" w:lineRule="auto"/>
        <w:textAlignment w:val="auto"/>
      </w:pPr>
      <w:r w:rsidRPr="007639AE">
        <w:t>h)</w:t>
      </w:r>
      <w:r w:rsidRPr="007639AE">
        <w:tab/>
        <w:t xml:space="preserve">que as declarações da </w:t>
      </w:r>
      <w:r w:rsidR="00F62A5E" w:rsidRPr="007639AE">
        <w:t>Devedora e Cessionária</w:t>
      </w:r>
      <w:r w:rsidRPr="007639AE">
        <w:t xml:space="preserve"> sejam válidas, completas e precisas na oportunidade do desembolso.</w:t>
      </w:r>
    </w:p>
    <w:p w14:paraId="3E2F41D3" w14:textId="77777777" w:rsidR="008B267D" w:rsidRPr="007639AE" w:rsidRDefault="008B267D" w:rsidP="007639AE">
      <w:pPr>
        <w:widowControl/>
        <w:autoSpaceDE w:val="0"/>
        <w:autoSpaceDN w:val="0"/>
        <w:spacing w:line="312" w:lineRule="auto"/>
        <w:textAlignment w:val="auto"/>
      </w:pPr>
    </w:p>
    <w:p w14:paraId="35FCFE1D" w14:textId="5C871BEE" w:rsidR="008B267D" w:rsidRPr="007639AE" w:rsidRDefault="008B267D" w:rsidP="007639AE">
      <w:pPr>
        <w:widowControl/>
        <w:numPr>
          <w:ilvl w:val="2"/>
          <w:numId w:val="3"/>
        </w:numPr>
        <w:tabs>
          <w:tab w:val="left" w:pos="1418"/>
          <w:tab w:val="num" w:pos="1701"/>
        </w:tabs>
        <w:autoSpaceDE w:val="0"/>
        <w:autoSpaceDN w:val="0"/>
        <w:spacing w:line="312" w:lineRule="auto"/>
        <w:textAlignment w:val="auto"/>
      </w:pPr>
      <w:bookmarkStart w:id="35" w:name="_DV_M196"/>
      <w:bookmarkEnd w:id="35"/>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46474E5B" w14:textId="77777777" w:rsidR="00DD2278" w:rsidRPr="007639AE" w:rsidRDefault="00DD2278" w:rsidP="007639AE">
      <w:pPr>
        <w:widowControl/>
        <w:autoSpaceDE w:val="0"/>
        <w:autoSpaceDN w:val="0"/>
        <w:spacing w:line="312" w:lineRule="auto"/>
        <w:textAlignment w:val="auto"/>
      </w:pPr>
    </w:p>
    <w:p w14:paraId="0342B19C" w14:textId="492BF276" w:rsidR="00DD2278" w:rsidRPr="007639AE" w:rsidRDefault="00DD2278" w:rsidP="007639AE">
      <w:pPr>
        <w:widowControl/>
        <w:numPr>
          <w:ilvl w:val="2"/>
          <w:numId w:val="3"/>
        </w:numPr>
        <w:tabs>
          <w:tab w:val="left" w:pos="1418"/>
          <w:tab w:val="num" w:pos="1701"/>
        </w:tabs>
        <w:autoSpaceDE w:val="0"/>
        <w:autoSpaceDN w:val="0"/>
        <w:spacing w:line="312" w:lineRule="auto"/>
        <w:textAlignment w:val="auto"/>
      </w:pPr>
      <w:r w:rsidRPr="007639AE">
        <w:t>Condição Resolutiva: Na hipótese da não implementação da totalidade das Condições Precedentes Desembolso, em até [</w:t>
      </w:r>
      <w:r w:rsidRPr="007639AE">
        <w:rPr>
          <w:rFonts w:eastAsia="Times New Roman"/>
          <w:highlight w:val="yellow"/>
          <w:lang w:eastAsia="ja-JP"/>
        </w:rPr>
        <w:t>●</w:t>
      </w:r>
      <w:r w:rsidRPr="007639AE">
        <w:rPr>
          <w:rFonts w:eastAsia="Times New Roman"/>
          <w:lang w:eastAsia="ja-JP"/>
        </w:rPr>
        <w:t>]</w:t>
      </w:r>
      <w:r w:rsidRPr="007639AE">
        <w:t xml:space="preserve"> ([</w:t>
      </w:r>
      <w:r w:rsidRPr="007639AE">
        <w:rPr>
          <w:highlight w:val="yellow"/>
          <w:lang w:eastAsia="ja-JP"/>
        </w:rPr>
        <w:t>●</w:t>
      </w:r>
      <w:r w:rsidRPr="007639AE">
        <w:rPr>
          <w:lang w:eastAsia="ja-JP"/>
        </w:rPr>
        <w:t>]</w:t>
      </w:r>
      <w:r w:rsidRPr="007639AE">
        <w:t xml:space="preserve">) dias a contar da data de assinatura do presente Contrato de Cessão, prorrogáveis a critério da Securitizadora, por </w:t>
      </w:r>
      <w:r w:rsidR="0062424D" w:rsidRPr="007639AE">
        <w:t>[</w:t>
      </w:r>
      <w:r w:rsidR="0062424D" w:rsidRPr="007639AE">
        <w:rPr>
          <w:rFonts w:eastAsia="Times New Roman"/>
          <w:highlight w:val="yellow"/>
          <w:lang w:eastAsia="ja-JP"/>
        </w:rPr>
        <w:t>●</w:t>
      </w:r>
      <w:r w:rsidR="0062424D" w:rsidRPr="007639AE">
        <w:rPr>
          <w:rFonts w:eastAsia="Times New Roman"/>
          <w:lang w:eastAsia="ja-JP"/>
        </w:rPr>
        <w:t>]</w:t>
      </w:r>
      <w:r w:rsidR="0062424D" w:rsidRPr="007639AE">
        <w:t xml:space="preserve"> ([</w:t>
      </w:r>
      <w:r w:rsidR="0062424D" w:rsidRPr="007639AE">
        <w:rPr>
          <w:highlight w:val="yellow"/>
          <w:lang w:eastAsia="ja-JP"/>
        </w:rPr>
        <w:t>●</w:t>
      </w:r>
      <w:r w:rsidR="0062424D" w:rsidRPr="007639AE">
        <w:rPr>
          <w:lang w:eastAsia="ja-JP"/>
        </w:rPr>
        <w:t>]</w:t>
      </w:r>
      <w:r w:rsidR="0062424D" w:rsidRPr="007639AE">
        <w:t xml:space="preserve">) </w:t>
      </w:r>
      <w:r w:rsidRPr="007639AE">
        <w:t>dias, uma única vez, este instrumento será considerado resilido, de pleno direito, independentemente de aviso ou notificação, nos termos do artigo 127 do Código Civil, observada a obrigação da Devedora de pagar ao Cedente e a Cessionária de todos os custos e despesas incorridas pela Cessionária e demais prestadores de serviço, até a data da resilição</w:t>
      </w:r>
      <w:r w:rsidR="0062424D" w:rsidRPr="007639AE">
        <w:t xml:space="preserve">. </w:t>
      </w:r>
      <w:r w:rsidR="0062424D" w:rsidRPr="007639AE">
        <w:rPr>
          <w:b/>
          <w:bCs/>
          <w:i/>
          <w:iCs/>
        </w:rPr>
        <w:t>[</w:t>
      </w:r>
      <w:r w:rsidR="00F8629D" w:rsidRPr="007639AE">
        <w:rPr>
          <w:b/>
          <w:bCs/>
          <w:i/>
          <w:iCs/>
          <w:highlight w:val="cyan"/>
        </w:rPr>
        <w:t>Comentário</w:t>
      </w:r>
      <w:r w:rsidR="0062424D" w:rsidRPr="007639AE">
        <w:rPr>
          <w:b/>
          <w:bCs/>
          <w:i/>
          <w:iCs/>
          <w:highlight w:val="cyan"/>
        </w:rPr>
        <w:t xml:space="preserve"> VBSO: Favor confirmar.</w:t>
      </w:r>
      <w:r w:rsidR="0062424D" w:rsidRPr="007639AE">
        <w:rPr>
          <w:b/>
          <w:bCs/>
          <w:i/>
          <w:iCs/>
        </w:rPr>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3"/>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32521171" w14:textId="53AD2213" w:rsidR="00BE5BEE" w:rsidRPr="007639AE" w:rsidRDefault="005E4CE4" w:rsidP="007639AE">
      <w:pPr>
        <w:widowControl/>
        <w:numPr>
          <w:ilvl w:val="1"/>
          <w:numId w:val="3"/>
        </w:numPr>
        <w:autoSpaceDE w:val="0"/>
        <w:autoSpaceDN w:val="0"/>
        <w:spacing w:line="312" w:lineRule="auto"/>
        <w:textAlignment w:val="auto"/>
        <w:rPr>
          <w:color w:val="000000"/>
        </w:rPr>
      </w:pPr>
      <w:bookmarkStart w:id="36" w:name="_Ref434273179"/>
      <w:bookmarkStart w:id="37"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8"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8"/>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6"/>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r w:rsidR="005877F5" w:rsidRPr="007639AE">
        <w:rPr>
          <w:b/>
          <w:bCs/>
          <w:i/>
          <w:iCs/>
        </w:rPr>
        <w:t>[</w:t>
      </w:r>
      <w:r w:rsidR="005877F5" w:rsidRPr="007639AE">
        <w:rPr>
          <w:b/>
          <w:bCs/>
          <w:i/>
          <w:iCs/>
          <w:highlight w:val="lightGray"/>
        </w:rPr>
        <w:t>Nota Quasar: Teremos a cessão da conta?</w:t>
      </w:r>
      <w:r w:rsidR="005877F5" w:rsidRPr="007639AE">
        <w:rPr>
          <w:b/>
          <w:bCs/>
          <w:i/>
          <w:iCs/>
        </w:rPr>
        <w:t>]</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9" w:name="_DV_M123"/>
      <w:bookmarkEnd w:id="39"/>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0" w:name="_Ref431049270"/>
      <w:bookmarkEnd w:id="37"/>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0"/>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1"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1"/>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1D99507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e no âmbito dos Documentos da Operação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3401082C"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boa fé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2DEA6BE7" w14:textId="77777777" w:rsidR="00322298" w:rsidRPr="007639AE"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 ou implicar a falsidade, parcialidade ou insuficiência das declarações acima, comunicará imediatamente a Cessionária e o Agente Fiduciário, fornecendo todas as informações necessárias a respeito;</w:t>
      </w:r>
    </w:p>
    <w:p w14:paraId="153A3A23" w14:textId="77777777" w:rsidR="00322298" w:rsidRPr="007639AE" w:rsidRDefault="00322298" w:rsidP="007639AE">
      <w:pPr>
        <w:pStyle w:val="PargrafodaLista"/>
        <w:widowControl/>
        <w:spacing w:line="312" w:lineRule="auto"/>
        <w:rPr>
          <w:color w:val="000000"/>
        </w:rPr>
      </w:pPr>
    </w:p>
    <w:p w14:paraId="75D5138C" w14:textId="492FBC2F"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7639AE">
        <w:rPr>
          <w:color w:val="000000"/>
          <w:highlight w:val="cyan"/>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r w:rsidR="00644656" w:rsidRPr="007639AE">
        <w:rPr>
          <w:b/>
          <w:bCs/>
          <w:i/>
          <w:iCs/>
          <w:color w:val="000000"/>
        </w:rPr>
        <w:t>[</w:t>
      </w:r>
      <w:r w:rsidR="00644656" w:rsidRPr="007639AE">
        <w:rPr>
          <w:b/>
          <w:bCs/>
          <w:i/>
          <w:iCs/>
          <w:color w:val="000000"/>
          <w:highlight w:val="cyan"/>
        </w:rPr>
        <w:t>Nota Copagril: A Copagril possui mais de 2000 funcionários e diversos representantes externos, não temos controle das condutas destes, sugiro exclusão.]</w:t>
      </w:r>
      <w:r w:rsidR="00F8629D" w:rsidRPr="007639AE">
        <w:rPr>
          <w:b/>
          <w:bCs/>
          <w:i/>
          <w:iCs/>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37256D09"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027E8840"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a Devedora</w:t>
      </w:r>
      <w:r w:rsidRPr="007639AE">
        <w:rPr>
          <w:color w:val="000000"/>
        </w:rPr>
        <w:t xml:space="preserve">, bem como não houve qualquer alteração no capital social ou aumento substancial do endividamento </w:t>
      </w:r>
      <w:r w:rsidR="00B4187A" w:rsidRPr="007639AE">
        <w:rPr>
          <w:color w:val="000000"/>
        </w:rPr>
        <w:t>da Devedora</w:t>
      </w:r>
      <w:r w:rsidRPr="007639AE">
        <w:rPr>
          <w:color w:val="000000"/>
        </w:rPr>
        <w:t>;</w:t>
      </w:r>
      <w:r w:rsidR="00AC375A" w:rsidRPr="007639AE">
        <w:rPr>
          <w:color w:val="000000"/>
        </w:rPr>
        <w:t xml:space="preserve"> </w:t>
      </w:r>
      <w:r w:rsidR="00644656" w:rsidRPr="007639AE">
        <w:rPr>
          <w:b/>
          <w:bCs/>
          <w:i/>
          <w:iCs/>
          <w:color w:val="000000"/>
        </w:rPr>
        <w:t>[</w:t>
      </w:r>
      <w:r w:rsidR="00644656" w:rsidRPr="007639AE">
        <w:rPr>
          <w:b/>
          <w:bCs/>
          <w:i/>
          <w:iCs/>
          <w:color w:val="000000"/>
          <w:highlight w:val="cyan"/>
        </w:rPr>
        <w:t>Nota Copagril: Houve o fato relevante da Intercooperação com a Lar, com venda de ativo significativo para Copagril, como fica esta clausula?</w:t>
      </w:r>
      <w:r w:rsidR="00644656" w:rsidRPr="007639AE">
        <w:rPr>
          <w:b/>
          <w:bCs/>
          <w:i/>
          <w:iCs/>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3AB2073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boa 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2A2F2992" w14:textId="77777777" w:rsidR="00457890" w:rsidRPr="007639AE" w:rsidRDefault="00457890" w:rsidP="007639AE">
      <w:pPr>
        <w:widowControl/>
        <w:suppressAutoHyphens/>
        <w:autoSpaceDE w:val="0"/>
        <w:autoSpaceDN w:val="0"/>
        <w:spacing w:line="312" w:lineRule="auto"/>
        <w:rPr>
          <w:color w:val="000000"/>
        </w:rPr>
      </w:pPr>
    </w:p>
    <w:p w14:paraId="2CD29455" w14:textId="36D9A0A6" w:rsidR="0051331B" w:rsidRPr="007639AE" w:rsidRDefault="008E5E9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1EDC6CDE" w14:textId="77777777" w:rsidR="0051331B" w:rsidRPr="007639AE" w:rsidRDefault="0051331B" w:rsidP="007639AE">
      <w:pPr>
        <w:pStyle w:val="PargrafodaLista"/>
        <w:widowControl/>
        <w:suppressAutoHyphens/>
        <w:autoSpaceDE w:val="0"/>
        <w:autoSpaceDN w:val="0"/>
        <w:spacing w:line="312" w:lineRule="auto"/>
        <w:ind w:left="720"/>
        <w:rPr>
          <w:color w:val="000000"/>
        </w:rPr>
      </w:pPr>
    </w:p>
    <w:p w14:paraId="25915EEA" w14:textId="77777777"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20FFE29A" w14:textId="77777777" w:rsidR="00E83293" w:rsidRPr="007639AE" w:rsidRDefault="00E83293" w:rsidP="007639AE">
      <w:pPr>
        <w:widowControl/>
        <w:suppressAutoHyphens/>
        <w:autoSpaceDE w:val="0"/>
        <w:autoSpaceDN w:val="0"/>
        <w:spacing w:line="312" w:lineRule="auto"/>
      </w:pP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2" w:name="_DV_M106"/>
      <w:bookmarkStart w:id="43" w:name="_DV_M107"/>
      <w:bookmarkStart w:id="44" w:name="_DV_M108"/>
      <w:bookmarkStart w:id="45" w:name="_DV_M109"/>
      <w:bookmarkEnd w:id="42"/>
      <w:bookmarkEnd w:id="43"/>
      <w:bookmarkEnd w:id="44"/>
      <w:bookmarkEnd w:id="45"/>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30CF2DE0" w14:textId="77777777" w:rsidR="00105DB2"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Documentos da Operação do qual é parte</w:t>
      </w:r>
      <w:r w:rsidR="00105DB2" w:rsidRPr="007639AE">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06714BD4" w14:textId="77777777"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0944CBF8" w14:textId="33BCD64F" w:rsidR="00914B55" w:rsidRPr="007639AE" w:rsidRDefault="006C0EF3" w:rsidP="007639AE">
      <w:pPr>
        <w:widowControl/>
        <w:numPr>
          <w:ilvl w:val="0"/>
          <w:numId w:val="3"/>
        </w:numPr>
        <w:tabs>
          <w:tab w:val="left" w:pos="1418"/>
        </w:tabs>
        <w:autoSpaceDE w:val="0"/>
        <w:autoSpaceDN w:val="0"/>
        <w:spacing w:line="312" w:lineRule="auto"/>
        <w:textAlignment w:val="auto"/>
        <w:rPr>
          <w:b/>
        </w:rPr>
      </w:pPr>
      <w:r w:rsidRPr="007639AE">
        <w:rPr>
          <w:b/>
        </w:rPr>
        <w:t>DESPESAS GERAIS</w:t>
      </w:r>
      <w:r w:rsidR="005877F5" w:rsidRPr="007639AE">
        <w:rPr>
          <w:b/>
        </w:rPr>
        <w:t xml:space="preserve"> </w:t>
      </w:r>
      <w:r w:rsidR="005877F5" w:rsidRPr="007639AE">
        <w:rPr>
          <w:b/>
          <w:i/>
          <w:iCs/>
        </w:rPr>
        <w:t>[</w:t>
      </w:r>
      <w:r w:rsidR="005877F5" w:rsidRPr="007639AE">
        <w:rPr>
          <w:b/>
          <w:i/>
          <w:iCs/>
          <w:highlight w:val="yellow"/>
        </w:rPr>
        <w:t>Nota VBSO: Cláusula de Despesas incluída pela Isec. Favor confirmar.</w:t>
      </w:r>
      <w:r w:rsidR="005877F5" w:rsidRPr="007639AE">
        <w:rPr>
          <w:b/>
          <w:i/>
          <w:iCs/>
        </w:rPr>
        <w:t>]</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7639AE">
      <w:pPr>
        <w:widowControl/>
        <w:autoSpaceDE w:val="0"/>
        <w:autoSpaceDN w:val="0"/>
        <w:spacing w:line="312" w:lineRule="auto"/>
        <w:textAlignment w:val="auto"/>
        <w:rPr>
          <w:b/>
        </w:rPr>
      </w:pPr>
    </w:p>
    <w:p w14:paraId="6F15621F" w14:textId="77777777"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22622803" w14:textId="369AD02F"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7639AE">
      <w:pPr>
        <w:pStyle w:val="PargrafodaLista"/>
        <w:widowControl/>
        <w:numPr>
          <w:ilvl w:val="1"/>
          <w:numId w:val="3"/>
        </w:numPr>
        <w:tabs>
          <w:tab w:val="left" w:pos="567"/>
        </w:tabs>
        <w:adjustRightInd/>
        <w:spacing w:line="312" w:lineRule="auto"/>
        <w:contextualSpacing/>
        <w:textAlignment w:val="auto"/>
      </w:pPr>
      <w:bookmarkStart w:id="46" w:name="_DV_M76"/>
      <w:bookmarkStart w:id="47" w:name="_DV_M149"/>
      <w:bookmarkStart w:id="48" w:name="_DV_M150"/>
      <w:bookmarkStart w:id="49" w:name="_DV_M151"/>
      <w:bookmarkStart w:id="50" w:name="_DV_M152"/>
      <w:bookmarkStart w:id="51" w:name="_DV_M154"/>
      <w:bookmarkStart w:id="52" w:name="_DV_M194"/>
      <w:bookmarkStart w:id="53" w:name="_DV_M195"/>
      <w:bookmarkStart w:id="54" w:name="_DV_M197"/>
      <w:bookmarkStart w:id="55" w:name="_DV_M198"/>
      <w:bookmarkStart w:id="56" w:name="_DV_M199"/>
      <w:bookmarkStart w:id="57" w:name="_DV_M200"/>
      <w:bookmarkStart w:id="58" w:name="_DV_M201"/>
      <w:bookmarkStart w:id="59" w:name="_DV_M202"/>
      <w:bookmarkStart w:id="60" w:name="_DV_M20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1B7D6A4A"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O não reembolso das despesas, nos termos acima, em até 2 (dois)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7639AE">
      <w:pPr>
        <w:pStyle w:val="PargrafodaLista"/>
        <w:widowControl/>
        <w:tabs>
          <w:tab w:val="left" w:pos="1134"/>
        </w:tabs>
        <w:adjustRightInd/>
        <w:spacing w:line="312" w:lineRule="auto"/>
        <w:ind w:left="567"/>
        <w:contextualSpacing/>
        <w:textAlignment w:val="auto"/>
      </w:pPr>
    </w:p>
    <w:p w14:paraId="7B01353D" w14:textId="77777777"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72BBF90B"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10 (dez) Dias Úteis</w:t>
      </w:r>
      <w:r w:rsidRPr="007639AE">
        <w:rPr>
          <w:bCs/>
          <w:lang w:eastAsia="en-US"/>
        </w:rPr>
        <w:t>, informações sobre qualquer descumprimento não sanado de quaisquer cláusulas, termos ou condições deste Contrato, observados os prazos específicos determinados neste Contrato;</w:t>
      </w:r>
      <w:r w:rsidR="00D679DD" w:rsidRPr="007639AE">
        <w:rPr>
          <w:bCs/>
          <w:lang w:eastAsia="en-US"/>
        </w:rPr>
        <w:t xml:space="preserve"> </w:t>
      </w:r>
      <w:r w:rsidR="00644656" w:rsidRPr="007639AE">
        <w:rPr>
          <w:b/>
          <w:i/>
          <w:iCs/>
          <w:lang w:eastAsia="en-US"/>
        </w:rPr>
        <w:t>[</w:t>
      </w:r>
      <w:r w:rsidR="00644656" w:rsidRPr="007639AE">
        <w:rPr>
          <w:b/>
          <w:i/>
          <w:iCs/>
          <w:highlight w:val="yellow"/>
          <w:lang w:eastAsia="en-US"/>
        </w:rPr>
        <w:t>Nota VBSO: Alteração para 10 Dias Úteis sugerida pela Copagril. Favor confirmar.</w:t>
      </w:r>
      <w:r w:rsidR="00644656" w:rsidRPr="007639AE">
        <w:rPr>
          <w:b/>
          <w:i/>
          <w:iCs/>
          <w:lang w:eastAsia="en-US"/>
        </w:rPr>
        <w:t>]</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1" w:name="_Ref459998597"/>
      <w:r w:rsidRPr="007639AE">
        <w:rPr>
          <w:b/>
        </w:rPr>
        <w:t>REGISTRO</w:t>
      </w:r>
      <w:bookmarkEnd w:id="61"/>
    </w:p>
    <w:p w14:paraId="5BACB6F1" w14:textId="77777777" w:rsidR="004C3B3F" w:rsidRPr="007639AE" w:rsidRDefault="004C3B3F" w:rsidP="007639AE">
      <w:pPr>
        <w:widowControl/>
        <w:autoSpaceDE w:val="0"/>
        <w:autoSpaceDN w:val="0"/>
        <w:spacing w:line="312" w:lineRule="auto"/>
        <w:textAlignment w:val="auto"/>
      </w:pPr>
      <w:bookmarkStart w:id="62" w:name="_DV_M341"/>
      <w:bookmarkEnd w:id="62"/>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3" w:name="_DV_M364"/>
      <w:bookmarkStart w:id="64" w:name="_Toc510869664"/>
      <w:bookmarkStart w:id="65" w:name="_Toc529870648"/>
      <w:bookmarkStart w:id="66" w:name="_Toc532964158"/>
      <w:bookmarkStart w:id="67" w:name="_Toc41728606"/>
      <w:bookmarkStart w:id="68" w:name="_Ref460780784"/>
      <w:bookmarkEnd w:id="63"/>
      <w:r w:rsidRPr="007639AE">
        <w:rPr>
          <w:b/>
        </w:rPr>
        <w:t>DISPOSIÇÕES GERAIS</w:t>
      </w:r>
      <w:bookmarkEnd w:id="64"/>
      <w:bookmarkEnd w:id="65"/>
      <w:bookmarkEnd w:id="66"/>
      <w:bookmarkEnd w:id="67"/>
      <w:bookmarkEnd w:id="68"/>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9" w:name="_DV_M365"/>
      <w:bookmarkStart w:id="70" w:name="_Ref498336940"/>
      <w:bookmarkEnd w:id="69"/>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0"/>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1" w:name="_DV_M366"/>
      <w:bookmarkEnd w:id="71"/>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2" w:name="_DV_M367"/>
      <w:bookmarkStart w:id="73" w:name="_DV_M368"/>
      <w:bookmarkStart w:id="74" w:name="_DV_M369"/>
      <w:bookmarkStart w:id="75" w:name="_DV_M370"/>
      <w:bookmarkStart w:id="76" w:name="_DV_M372"/>
      <w:bookmarkStart w:id="77" w:name="_DV_M373"/>
      <w:bookmarkStart w:id="78" w:name="_DV_M374"/>
      <w:bookmarkEnd w:id="72"/>
      <w:bookmarkEnd w:id="73"/>
      <w:bookmarkEnd w:id="74"/>
      <w:bookmarkEnd w:id="75"/>
      <w:bookmarkEnd w:id="76"/>
      <w:bookmarkEnd w:id="77"/>
      <w:bookmarkEnd w:id="78"/>
      <w:r w:rsidRPr="007639AE">
        <w:rPr>
          <w:b/>
        </w:rPr>
        <w:t>QI SOCIEDADE DE CRÉDITO DIRETO S.A.</w:t>
      </w:r>
    </w:p>
    <w:p w14:paraId="7E06208C" w14:textId="77777777" w:rsidR="00C2640B" w:rsidRPr="007639AE" w:rsidRDefault="00DD14D0" w:rsidP="007639AE">
      <w:pPr>
        <w:widowControl/>
        <w:autoSpaceDE w:val="0"/>
        <w:autoSpaceDN w:val="0"/>
        <w:spacing w:line="312" w:lineRule="auto"/>
        <w:rPr>
          <w:color w:val="000000"/>
        </w:rPr>
      </w:pPr>
      <w:r w:rsidRPr="007639AE">
        <w:t>Avenida Brigadeiro Faria Lima, 2.391, 1º andar, Conjunto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58948654" w14:textId="0844FB1C"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54F22C5E" w14:textId="242925AF"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699CE28B" w14:textId="219ACC65" w:rsidR="00C2640B"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9" w:name="_DV_M375"/>
      <w:bookmarkEnd w:id="79"/>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0" w:name="_DV_M589"/>
      <w:bookmarkEnd w:id="80"/>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1" w:name="_DV_M590"/>
      <w:bookmarkEnd w:id="81"/>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2" w:name="_DV_M591"/>
      <w:bookmarkEnd w:id="82"/>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83" w:name="_DV_M592"/>
      <w:bookmarkEnd w:id="83"/>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4" w:name="_DV_M376"/>
      <w:bookmarkEnd w:id="84"/>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5" w:name="_DV_M383"/>
      <w:bookmarkStart w:id="86" w:name="_Ref498336969"/>
      <w:bookmarkEnd w:id="85"/>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6"/>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7777777" w:rsidR="004C3B3F" w:rsidRPr="007639AE" w:rsidRDefault="004C3B3F" w:rsidP="007639AE">
      <w:pPr>
        <w:widowControl/>
        <w:numPr>
          <w:ilvl w:val="1"/>
          <w:numId w:val="3"/>
        </w:numPr>
        <w:autoSpaceDE w:val="0"/>
        <w:autoSpaceDN w:val="0"/>
        <w:spacing w:line="312" w:lineRule="auto"/>
        <w:textAlignment w:val="auto"/>
        <w:rPr>
          <w:b/>
        </w:rPr>
      </w:pPr>
      <w:bookmarkStart w:id="87" w:name="_DV_M384"/>
      <w:bookmarkEnd w:id="87"/>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8" w:name="_DV_M385"/>
      <w:bookmarkEnd w:id="88"/>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77777777" w:rsidR="004C3B3F" w:rsidRPr="007639AE" w:rsidRDefault="004C3B3F" w:rsidP="007639AE">
      <w:pPr>
        <w:widowControl/>
        <w:numPr>
          <w:ilvl w:val="1"/>
          <w:numId w:val="3"/>
        </w:numPr>
        <w:autoSpaceDE w:val="0"/>
        <w:autoSpaceDN w:val="0"/>
        <w:spacing w:line="312" w:lineRule="auto"/>
        <w:textAlignment w:val="auto"/>
      </w:pPr>
      <w:bookmarkStart w:id="89" w:name="_DV_M386"/>
      <w:bookmarkEnd w:id="89"/>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0" w:name="_DV_M387"/>
      <w:bookmarkEnd w:id="90"/>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91" w:name="_DV_M388"/>
      <w:bookmarkEnd w:id="91"/>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2" w:name="_DV_M389"/>
      <w:bookmarkEnd w:id="92"/>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3" w:name="_DV_M390"/>
      <w:bookmarkEnd w:id="93"/>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4" w:name="_DV_M391"/>
      <w:bookmarkEnd w:id="94"/>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28EF5EB9" w:rsidR="005877F5" w:rsidRPr="007639AE"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5" w:name="_DV_M392"/>
      <w:bookmarkEnd w:id="95"/>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40A3E9AF" w:rsidR="004C3B3F" w:rsidRPr="007639AE" w:rsidRDefault="004C3B3F" w:rsidP="007639AE">
      <w:pPr>
        <w:widowControl/>
        <w:numPr>
          <w:ilvl w:val="1"/>
          <w:numId w:val="3"/>
        </w:numPr>
        <w:autoSpaceDE w:val="0"/>
        <w:autoSpaceDN w:val="0"/>
        <w:spacing w:line="312" w:lineRule="auto"/>
        <w:textAlignment w:val="auto"/>
      </w:pPr>
      <w:bookmarkStart w:id="96" w:name="_DV_M393"/>
      <w:bookmarkEnd w:id="96"/>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xml:space="preserve">, como o único competente para dirimir quaisquer questões ou litígios originários deste Contrato de Cessão, renunciando expressamente a qualquer outro, por mais privilegiado que seja ou venha a ser. </w:t>
      </w:r>
      <w:r w:rsidR="00644656" w:rsidRPr="007639AE">
        <w:rPr>
          <w:b/>
          <w:bCs/>
          <w:i/>
          <w:iCs/>
        </w:rPr>
        <w:t>[</w:t>
      </w:r>
      <w:r w:rsidR="00644656" w:rsidRPr="007639AE">
        <w:rPr>
          <w:b/>
          <w:bCs/>
          <w:i/>
          <w:iCs/>
          <w:highlight w:val="yellow"/>
        </w:rPr>
        <w:t>Nota VBSO: Copagril sugere a alteração do foro para Marechal Cândido Rondon-PR</w:t>
      </w:r>
      <w:r w:rsidR="00644656" w:rsidRPr="007639AE">
        <w:rPr>
          <w:b/>
          <w:bCs/>
          <w:i/>
          <w:iCs/>
        </w:rPr>
        <w:t>]</w:t>
      </w:r>
    </w:p>
    <w:p w14:paraId="2D9F70D4" w14:textId="77777777" w:rsidR="004C3B3F" w:rsidRPr="007639AE" w:rsidRDefault="004C3B3F" w:rsidP="007639AE">
      <w:pPr>
        <w:widowControl/>
        <w:autoSpaceDE w:val="0"/>
        <w:autoSpaceDN w:val="0"/>
        <w:spacing w:line="312" w:lineRule="auto"/>
        <w:textAlignment w:val="auto"/>
      </w:pPr>
    </w:p>
    <w:p w14:paraId="58B831EF" w14:textId="77777777" w:rsidR="004C3B3F" w:rsidRPr="007639AE" w:rsidRDefault="004C3B3F" w:rsidP="007639AE">
      <w:pPr>
        <w:widowControl/>
        <w:autoSpaceDE w:val="0"/>
        <w:autoSpaceDN w:val="0"/>
        <w:spacing w:line="312" w:lineRule="auto"/>
        <w:textAlignment w:val="auto"/>
      </w:pPr>
      <w:bookmarkStart w:id="97" w:name="_DV_M394"/>
      <w:bookmarkEnd w:id="97"/>
      <w:r w:rsidRPr="007639AE">
        <w:t xml:space="preserve">E, por estarem assim, justas e contratadas, as Partes assinam o presente Contrato de Cessão em </w:t>
      </w:r>
      <w:r w:rsidR="007E4093" w:rsidRPr="007639AE">
        <w:t>3</w:t>
      </w:r>
      <w:r w:rsidRPr="007639AE">
        <w:t xml:space="preserve"> (</w:t>
      </w:r>
      <w:r w:rsidR="007E4093" w:rsidRPr="007639AE">
        <w:t>três</w:t>
      </w:r>
      <w:r w:rsidRPr="007639AE">
        <w:t>) vias, de igual teor e forma,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8" w:name="_DV_M395"/>
      <w:bookmarkEnd w:id="98"/>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9" w:name="_DV_M396"/>
      <w:bookmarkEnd w:id="99"/>
      <w:r w:rsidRPr="007639AE">
        <w:rPr>
          <w:i/>
        </w:rPr>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0" w:name="_DV_M328"/>
      <w:bookmarkStart w:id="101" w:name="_DV_M329"/>
      <w:bookmarkEnd w:id="100"/>
      <w:bookmarkEnd w:id="101"/>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E5C4E74"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Pr="007639AE">
        <w:rPr>
          <w:rFonts w:ascii="Times New Roman" w:eastAsia="Batang" w:hAnsi="Times New Roman"/>
          <w:szCs w:val="24"/>
        </w:rPr>
        <w:t>R$ </w:t>
      </w:r>
      <w:r w:rsidR="00F50753" w:rsidRPr="007639AE">
        <w:rPr>
          <w:rFonts w:ascii="Times New Roman" w:eastAsia="Batang" w:hAnsi="Times New Roman"/>
          <w:szCs w:val="24"/>
        </w:rPr>
        <w:t>48</w:t>
      </w:r>
      <w:r w:rsidRPr="007639AE">
        <w:rPr>
          <w:rFonts w:ascii="Times New Roman" w:hAnsi="Times New Roman"/>
          <w:szCs w:val="24"/>
        </w:rPr>
        <w:t>.000.000,00 (</w:t>
      </w:r>
      <w:r w:rsidR="00F50753" w:rsidRPr="007639AE">
        <w:rPr>
          <w:rFonts w:ascii="Times New Roman" w:hAnsi="Times New Roman"/>
          <w:szCs w:val="24"/>
        </w:rPr>
        <w:t xml:space="preserve">quarenta e oito </w:t>
      </w:r>
      <w:r w:rsidRPr="007639AE">
        <w:rPr>
          <w:rFonts w:ascii="Times New Roman" w:hAnsi="Times New Roman"/>
          <w:szCs w:val="24"/>
        </w:rPr>
        <w:t>milhões de reais</w:t>
      </w:r>
      <w:r w:rsidR="00F50753" w:rsidRPr="007639AE">
        <w:rPr>
          <w:rFonts w:ascii="Times New Roman" w:hAnsi="Times New Roman"/>
          <w:szCs w:val="24"/>
        </w:rPr>
        <w:t xml:space="preserve">), sendo cada CCB R$ 24.000.000,00 (vinte e quatro milhões de reais), </w:t>
      </w:r>
      <w:r w:rsidRPr="007639AE">
        <w:rPr>
          <w:rFonts w:ascii="Times New Roman" w:hAnsi="Times New Roman"/>
          <w:szCs w:val="24"/>
        </w:rPr>
        <w:t>na data de emissão da</w:t>
      </w:r>
      <w:r w:rsidR="007C7CFE" w:rsidRPr="007639AE">
        <w:rPr>
          <w:rFonts w:ascii="Times New Roman" w:hAnsi="Times New Roman"/>
          <w:szCs w:val="24"/>
        </w:rPr>
        <w:t>s</w:t>
      </w:r>
      <w:r w:rsidRPr="007639AE">
        <w:rPr>
          <w:rFonts w:ascii="Times New Roman" w:hAnsi="Times New Roman"/>
          <w:szCs w:val="24"/>
        </w:rPr>
        <w:t xml:space="preserve">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A0328B8" w14:textId="77777777" w:rsidR="00937BA9" w:rsidRPr="007639AE" w:rsidRDefault="00937BA9" w:rsidP="007639AE">
      <w:pPr>
        <w:widowControl/>
        <w:spacing w:line="312" w:lineRule="auto"/>
        <w:jc w:val="center"/>
        <w:rPr>
          <w:b/>
        </w:rPr>
      </w:pPr>
      <w:r w:rsidRPr="007639AE">
        <w:rPr>
          <w:b/>
        </w:rPr>
        <w:t>DATAS DE PAGAMENTO DOS CRÉDITOS IMOBILIÁRIOS</w:t>
      </w:r>
    </w:p>
    <w:p w14:paraId="263DF92E" w14:textId="77777777" w:rsidR="008E32FD" w:rsidRPr="007639AE" w:rsidRDefault="008E32FD" w:rsidP="007639AE">
      <w:pPr>
        <w:widowControl/>
        <w:spacing w:line="312" w:lineRule="auto"/>
      </w:pPr>
    </w:p>
    <w:p w14:paraId="328D277D" w14:textId="1557C0BA" w:rsidR="008E32FD" w:rsidRPr="007639AE" w:rsidRDefault="007E4093" w:rsidP="007639AE">
      <w:pPr>
        <w:widowControl/>
        <w:spacing w:line="312" w:lineRule="auto"/>
        <w:rPr>
          <w:bCs/>
          <w:smallCaps/>
        </w:rPr>
      </w:pPr>
      <w:r w:rsidRPr="007639AE">
        <w:rPr>
          <w:bCs/>
        </w:rPr>
        <w:t>[</w:t>
      </w:r>
      <w:r w:rsidRPr="007639AE">
        <w:rPr>
          <w:b/>
          <w:smallCaps/>
          <w:highlight w:val="yellow"/>
        </w:rPr>
        <w:t>Nota VBSO: A ser oportunamente inserido conforme definição no âmbito da</w:t>
      </w:r>
      <w:r w:rsidR="007C7CFE" w:rsidRPr="007639AE">
        <w:rPr>
          <w:b/>
          <w:smallCaps/>
          <w:highlight w:val="yellow"/>
        </w:rPr>
        <w:t>S</w:t>
      </w:r>
      <w:r w:rsidRPr="007639AE">
        <w:rPr>
          <w:b/>
          <w:smallCaps/>
          <w:highlight w:val="yellow"/>
        </w:rPr>
        <w:t xml:space="preserve"> CCB</w:t>
      </w:r>
      <w:r w:rsidRPr="007639AE">
        <w:rPr>
          <w:bCs/>
          <w:smallCaps/>
        </w:rPr>
        <w:t>]</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296DF4B6" w14:textId="456B9BD9" w:rsidR="00164474" w:rsidRPr="007639AE" w:rsidRDefault="007E4093" w:rsidP="007639AE">
      <w:pPr>
        <w:widowControl/>
        <w:spacing w:line="312" w:lineRule="auto"/>
        <w:rPr>
          <w:bCs/>
          <w:i/>
        </w:rPr>
      </w:pPr>
      <w:r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2A76269B" w14:textId="77777777" w:rsidR="00164474" w:rsidRPr="007639AE" w:rsidRDefault="00164474" w:rsidP="007639AE">
      <w:pPr>
        <w:widowControl/>
        <w:spacing w:line="312" w:lineRule="auto"/>
        <w:rPr>
          <w:bCs/>
          <w:i/>
        </w:rPr>
      </w:pPr>
    </w:p>
    <w:p w14:paraId="11B3C83A" w14:textId="77777777" w:rsidR="00164474" w:rsidRPr="007639AE" w:rsidRDefault="00164474" w:rsidP="007639AE">
      <w:pPr>
        <w:widowControl/>
        <w:spacing w:line="312" w:lineRule="auto"/>
        <w:jc w:val="center"/>
        <w:rPr>
          <w:b/>
        </w:rPr>
      </w:pPr>
      <w:r w:rsidRPr="007639AE">
        <w:rPr>
          <w:b/>
        </w:rPr>
        <w:t>ANEXO III</w:t>
      </w:r>
    </w:p>
    <w:p w14:paraId="39150A39" w14:textId="77777777" w:rsidR="00164474" w:rsidRPr="007639AE" w:rsidRDefault="00164474" w:rsidP="007639AE">
      <w:pPr>
        <w:widowControl/>
        <w:spacing w:line="312" w:lineRule="auto"/>
        <w:rPr>
          <w:b/>
        </w:rPr>
      </w:pPr>
    </w:p>
    <w:p w14:paraId="77360C8A" w14:textId="7A1AA5AE" w:rsidR="00222CEA" w:rsidRPr="007639AE" w:rsidRDefault="00222CEA" w:rsidP="007639AE">
      <w:pPr>
        <w:widowControl/>
        <w:spacing w:line="312" w:lineRule="auto"/>
        <w:jc w:val="center"/>
        <w:rPr>
          <w:b/>
        </w:rPr>
      </w:pPr>
      <w:r w:rsidRPr="007639AE">
        <w:rPr>
          <w:b/>
        </w:rPr>
        <w:t>DESPESAS</w:t>
      </w:r>
      <w:r w:rsidR="00CA1A05" w:rsidRPr="007639AE">
        <w:rPr>
          <w:b/>
        </w:rPr>
        <w:t xml:space="preserve"> </w:t>
      </w:r>
      <w:r w:rsidR="00CA1A05" w:rsidRPr="007639AE">
        <w:rPr>
          <w:b/>
          <w:i/>
          <w:iCs/>
        </w:rPr>
        <w:t>[</w:t>
      </w:r>
      <w:r w:rsidR="00CA1A05" w:rsidRPr="007639AE">
        <w:rPr>
          <w:b/>
          <w:i/>
          <w:iCs/>
          <w:highlight w:val="yellow"/>
        </w:rPr>
        <w:t>Nota VBSO: Anexo incluído pela Isec, favor confirmar</w:t>
      </w:r>
      <w:r w:rsidR="00CA1A05" w:rsidRPr="007639AE">
        <w:rPr>
          <w:b/>
          <w:i/>
          <w:iCs/>
        </w:rPr>
        <w:t>]</w:t>
      </w:r>
    </w:p>
    <w:p w14:paraId="6F8BF02F" w14:textId="77777777" w:rsidR="00A77EE6" w:rsidRPr="007639AE" w:rsidRDefault="00A77EE6" w:rsidP="007639AE">
      <w:pPr>
        <w:widowControl/>
        <w:spacing w:line="312" w:lineRule="auto"/>
      </w:pPr>
    </w:p>
    <w:p w14:paraId="25BDCCA8" w14:textId="77777777" w:rsidR="00CA1A05" w:rsidRPr="007639AE" w:rsidRDefault="00CA1A05" w:rsidP="007639AE">
      <w:pPr>
        <w:widowControl/>
        <w:spacing w:line="312" w:lineRule="auto"/>
        <w:rPr>
          <w:b/>
          <w:bCs/>
        </w:rPr>
      </w:pPr>
      <w:r w:rsidRPr="007639AE">
        <w:rPr>
          <w:b/>
          <w:bCs/>
        </w:rPr>
        <w:t>DESPESAS INICIAIS, RECORRENTES E EXTRAORDINÁRIAS</w:t>
      </w:r>
    </w:p>
    <w:p w14:paraId="7D60FE60" w14:textId="77777777" w:rsidR="00CA1A05" w:rsidRPr="007639AE" w:rsidRDefault="00CA1A05" w:rsidP="007639AE">
      <w:pPr>
        <w:widowControl/>
        <w:spacing w:line="312" w:lineRule="auto"/>
        <w:rPr>
          <w:b/>
          <w:bCs/>
        </w:rPr>
      </w:pP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545204A" w14:textId="77777777" w:rsidR="00CA1A05" w:rsidRPr="007639AE" w:rsidRDefault="00CA1A05" w:rsidP="007639AE">
      <w:pPr>
        <w:widowControl/>
        <w:spacing w:line="312" w:lineRule="auto"/>
        <w:rPr>
          <w:b/>
          <w:bCs/>
        </w:rPr>
      </w:pPr>
      <w:r w:rsidRPr="007639AE">
        <w:rPr>
          <w:bCs/>
        </w:rPr>
        <w:t>[</w:t>
      </w:r>
      <w:r w:rsidRPr="007639AE">
        <w:rPr>
          <w:bCs/>
          <w:highlight w:val="yellow"/>
        </w:rPr>
        <w:t>inserir planilha</w:t>
      </w:r>
      <w:r w:rsidRPr="007639AE">
        <w:rPr>
          <w:bCs/>
        </w:rPr>
        <w:t>]</w:t>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5809EDB" w:rsidR="00CA1A05" w:rsidRPr="007639AE" w:rsidRDefault="00CA1A05" w:rsidP="007639AE">
      <w:pPr>
        <w:widowControl/>
        <w:numPr>
          <w:ilvl w:val="0"/>
          <w:numId w:val="40"/>
        </w:numPr>
        <w:spacing w:line="312" w:lineRule="auto"/>
        <w:rPr>
          <w:bCs/>
        </w:rPr>
      </w:pPr>
      <w:r w:rsidRPr="007639AE">
        <w:rPr>
          <w:bCs/>
        </w:rPr>
        <w:t>remuneração da Instituição Custodiante das CCI, sendo: (a) Implantação e Registro das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62DC20E3" w14:textId="77777777" w:rsidR="00CA1A05" w:rsidRPr="007639AE" w:rsidRDefault="00CA1A05" w:rsidP="007639AE">
      <w:pPr>
        <w:widowControl/>
        <w:spacing w:line="312" w:lineRule="auto"/>
        <w:ind w:left="1860"/>
        <w:rPr>
          <w:bCs/>
        </w:rPr>
      </w:pPr>
    </w:p>
    <w:p w14:paraId="20AAD91D" w14:textId="73192433" w:rsidR="00CA1A05" w:rsidRPr="007639AE" w:rsidRDefault="00CA1A05" w:rsidP="007639AE">
      <w:pPr>
        <w:widowControl/>
        <w:numPr>
          <w:ilvl w:val="0"/>
          <w:numId w:val="40"/>
        </w:numPr>
        <w:spacing w:line="312" w:lineRule="auto"/>
        <w:rPr>
          <w:bCs/>
        </w:rPr>
      </w:pPr>
      <w:r w:rsidRPr="007639AE">
        <w:rPr>
          <w:bCs/>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caso aplicável. 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30255C">
      <w:headerReference w:type="even" r:id="rId9"/>
      <w:headerReference w:type="default" r:id="rId10"/>
      <w:footerReference w:type="even" r:id="rId11"/>
      <w:footerReference w:type="default" r:id="rId12"/>
      <w:headerReference w:type="first" r:id="rId13"/>
      <w:footerReference w:type="first" r:id="rId14"/>
      <w:pgSz w:w="12242" w:h="15842" w:code="1"/>
      <w:pgMar w:top="1418" w:right="1418" w:bottom="1418" w:left="1701"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62424D" w:rsidRDefault="0062424D">
      <w:r>
        <w:separator/>
      </w:r>
    </w:p>
    <w:p w14:paraId="1881FD79" w14:textId="77777777" w:rsidR="0062424D" w:rsidRDefault="0062424D"/>
  </w:endnote>
  <w:endnote w:type="continuationSeparator" w:id="0">
    <w:p w14:paraId="012F20DB" w14:textId="77777777" w:rsidR="0062424D" w:rsidRDefault="0062424D">
      <w:r>
        <w:continuationSeparator/>
      </w:r>
    </w:p>
    <w:p w14:paraId="080C18D3" w14:textId="77777777" w:rsidR="0062424D" w:rsidRDefault="0062424D"/>
  </w:endnote>
  <w:endnote w:type="continuationNotice" w:id="1">
    <w:p w14:paraId="3696E544" w14:textId="77777777" w:rsidR="0062424D" w:rsidRDefault="006242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62424D" w:rsidRDefault="006242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62424D" w:rsidRDefault="001360EE">
    <w:pPr>
      <w:pStyle w:val="Rodap"/>
      <w:ind w:right="360"/>
      <w:jc w:val="left"/>
    </w:pPr>
    <w:r>
      <w:fldChar w:fldCharType="begin"/>
    </w:r>
    <w:r>
      <w:instrText xml:space="preserve"> DOCVARIABLE #DNDocID \* MERGEFORMAT </w:instrText>
    </w:r>
    <w:r>
      <w:fldChar w:fldCharType="separate"/>
    </w:r>
    <w:r w:rsidR="0062424D"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62424D" w:rsidRDefault="00624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62424D" w:rsidRPr="00DE03E0" w:rsidRDefault="0062424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62424D" w:rsidRPr="004E52CB" w:rsidRDefault="0062424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62424D" w:rsidRDefault="0062424D">
      <w:r>
        <w:separator/>
      </w:r>
    </w:p>
    <w:p w14:paraId="4D5165F3" w14:textId="77777777" w:rsidR="0062424D" w:rsidRDefault="0062424D"/>
  </w:footnote>
  <w:footnote w:type="continuationSeparator" w:id="0">
    <w:p w14:paraId="7600B51E" w14:textId="77777777" w:rsidR="0062424D" w:rsidRDefault="0062424D">
      <w:r>
        <w:continuationSeparator/>
      </w:r>
    </w:p>
    <w:p w14:paraId="14312761" w14:textId="77777777" w:rsidR="0062424D" w:rsidRDefault="0062424D"/>
  </w:footnote>
  <w:footnote w:type="continuationNotice" w:id="1">
    <w:p w14:paraId="3B77733E" w14:textId="77777777" w:rsidR="0062424D" w:rsidRDefault="006242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62424D" w:rsidRDefault="0062424D">
    <w:pPr>
      <w:pStyle w:val="Cabealho"/>
    </w:pPr>
  </w:p>
  <w:p w14:paraId="437AA5A3" w14:textId="77777777" w:rsidR="0062424D" w:rsidRDefault="006242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088CCF57" w:rsidR="0062424D" w:rsidRPr="007639AE" w:rsidRDefault="00F8629D" w:rsidP="00F8629D">
    <w:pPr>
      <w:autoSpaceDE w:val="0"/>
      <w:autoSpaceDN w:val="0"/>
      <w:jc w:val="right"/>
      <w:rPr>
        <w:b/>
        <w:bCs/>
      </w:rPr>
    </w:pPr>
    <w:r w:rsidRPr="007639AE">
      <w:rPr>
        <w:b/>
        <w:bCs/>
      </w:rPr>
      <w:t>2ª Versão VBSO - 08.01.2021</w:t>
    </w:r>
  </w:p>
  <w:p w14:paraId="1CFAF661" w14:textId="77777777" w:rsidR="00F8629D" w:rsidRPr="00F8629D" w:rsidRDefault="00F8629D"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62424D" w:rsidRPr="000C26FA" w:rsidRDefault="0062424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1"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5"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7"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8"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3"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7"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FE11535"/>
    <w:multiLevelType w:val="multilevel"/>
    <w:tmpl w:val="D646ED28"/>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Leelawadee" w:hAnsi="Leelawadee" w:cs="Leelawadee" w:hint="default"/>
        <w:i w:val="0"/>
        <w:color w:val="auto"/>
        <w:sz w:val="20"/>
        <w:szCs w:val="16"/>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0"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2"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37"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3"/>
  </w:num>
  <w:num w:numId="3">
    <w:abstractNumId w:val="10"/>
  </w:num>
  <w:num w:numId="4">
    <w:abstractNumId w:val="22"/>
  </w:num>
  <w:num w:numId="5">
    <w:abstractNumId w:val="28"/>
  </w:num>
  <w:num w:numId="6">
    <w:abstractNumId w:val="15"/>
  </w:num>
  <w:num w:numId="7">
    <w:abstractNumId w:val="29"/>
  </w:num>
  <w:num w:numId="8">
    <w:abstractNumId w:val="38"/>
  </w:num>
  <w:num w:numId="9">
    <w:abstractNumId w:val="21"/>
  </w:num>
  <w:num w:numId="10">
    <w:abstractNumId w:val="17"/>
  </w:num>
  <w:num w:numId="11">
    <w:abstractNumId w:val="39"/>
  </w:num>
  <w:num w:numId="12">
    <w:abstractNumId w:val="31"/>
  </w:num>
  <w:num w:numId="13">
    <w:abstractNumId w:val="26"/>
  </w:num>
  <w:num w:numId="14">
    <w:abstractNumId w:val="13"/>
  </w:num>
  <w:num w:numId="15">
    <w:abstractNumId w:val="14"/>
  </w:num>
  <w:num w:numId="16">
    <w:abstractNumId w:val="27"/>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6"/>
  </w:num>
  <w:num w:numId="21">
    <w:abstractNumId w:val="12"/>
  </w:num>
  <w:num w:numId="22">
    <w:abstractNumId w:val="5"/>
  </w:num>
  <w:num w:numId="23">
    <w:abstractNumId w:val="35"/>
  </w:num>
  <w:num w:numId="24">
    <w:abstractNumId w:val="9"/>
  </w:num>
  <w:num w:numId="25">
    <w:abstractNumId w:val="20"/>
  </w:num>
  <w:num w:numId="26">
    <w:abstractNumId w:val="8"/>
  </w:num>
  <w:num w:numId="27">
    <w:abstractNumId w:val="30"/>
  </w:num>
  <w:num w:numId="28">
    <w:abstractNumId w:val="18"/>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1"/>
  </w:num>
  <w:num w:numId="31">
    <w:abstractNumId w:val="19"/>
  </w:num>
  <w:num w:numId="32">
    <w:abstractNumId w:val="32"/>
  </w:num>
  <w:num w:numId="33">
    <w:abstractNumId w:val="25"/>
  </w:num>
  <w:num w:numId="34">
    <w:abstractNumId w:val="24"/>
  </w:num>
  <w:num w:numId="35">
    <w:abstractNumId w:val="6"/>
  </w:num>
  <w:num w:numId="36">
    <w:abstractNumId w:val="7"/>
  </w:num>
  <w:num w:numId="37">
    <w:abstractNumId w:val="3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gUA7f4sI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C011DE"/>
    <w:rsid w:val="00C0487E"/>
    <w:rsid w:val="00C04A5A"/>
    <w:rsid w:val="00C04B0E"/>
    <w:rsid w:val="00C0606D"/>
    <w:rsid w:val="00C0613B"/>
    <w:rsid w:val="00C07883"/>
    <w:rsid w:val="00C13F40"/>
    <w:rsid w:val="00C150F8"/>
    <w:rsid w:val="00C16CB9"/>
    <w:rsid w:val="00C176AC"/>
    <w:rsid w:val="00C17A88"/>
    <w:rsid w:val="00C17B97"/>
    <w:rsid w:val="00C208FB"/>
    <w:rsid w:val="00C20A9E"/>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570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AE49-453D-4E75-BC84-01DE5872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9639</Words>
  <Characters>52053</Characters>
  <Application>Microsoft Office Word</Application>
  <DocSecurity>0</DocSecurity>
  <Lines>433</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61569</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Felipe Facure de Vito Araujo</cp:lastModifiedBy>
  <cp:revision>2</cp:revision>
  <cp:lastPrinted>2017-12-18T12:59:00Z</cp:lastPrinted>
  <dcterms:created xsi:type="dcterms:W3CDTF">2021-01-11T11:30:00Z</dcterms:created>
  <dcterms:modified xsi:type="dcterms:W3CDTF">2021-01-11T11:30:00Z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