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2194DBC2" w:rsidR="000841C1" w:rsidRPr="00910A4A"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910A4A" w:rsidRPr="00910A4A">
        <w:rPr>
          <w:rFonts w:asciiTheme="minorHAnsi" w:hAnsiTheme="minorHAnsi" w:cstheme="minorHAnsi"/>
          <w:sz w:val="22"/>
          <w:szCs w:val="22"/>
          <w:lang w:val="pt-BR"/>
        </w:rPr>
        <w:t>2104086806/RPS</w:t>
      </w:r>
    </w:p>
    <w:p w14:paraId="6DC01D49" w14:textId="77777777" w:rsidR="000841C1" w:rsidRPr="00910A4A" w:rsidRDefault="000841C1" w:rsidP="004A3E90">
      <w:pPr>
        <w:spacing w:line="276" w:lineRule="auto"/>
        <w:ind w:right="17"/>
        <w:rPr>
          <w:rFonts w:asciiTheme="minorHAnsi" w:hAnsiTheme="minorHAnsi" w:cstheme="minorHAnsi"/>
          <w:sz w:val="22"/>
          <w:szCs w:val="22"/>
        </w:rPr>
      </w:pPr>
    </w:p>
    <w:p w14:paraId="7E307958" w14:textId="1133D8A5"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w:t>
      </w:r>
      <w:r w:rsidR="00B6130B" w:rsidRPr="00910A4A">
        <w:rPr>
          <w:rFonts w:asciiTheme="minorHAnsi" w:hAnsiTheme="minorHAnsi" w:cstheme="minorHAnsi"/>
          <w:sz w:val="22"/>
          <w:szCs w:val="22"/>
        </w:rPr>
        <w:t xml:space="preserve">nº </w:t>
      </w:r>
      <w:r w:rsidR="00910A4A" w:rsidRPr="00910A4A">
        <w:rPr>
          <w:rFonts w:asciiTheme="minorHAnsi" w:hAnsiTheme="minorHAnsi" w:cstheme="minorHAnsi"/>
          <w:sz w:val="22"/>
          <w:szCs w:val="22"/>
        </w:rPr>
        <w:t>2104086806/RPS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1710858D"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5F3B08">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08122C41"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5F3B08">
        <w:rPr>
          <w:rFonts w:asciiTheme="minorHAnsi" w:hAnsiTheme="minorHAnsi" w:cstheme="minorHAnsi"/>
          <w:b/>
          <w:color w:val="000000"/>
          <w:sz w:val="22"/>
          <w:szCs w:val="22"/>
        </w:rPr>
        <w:t xml:space="preserve"> </w:t>
      </w:r>
      <w:bookmarkStart w:id="3" w:name="_Hlk84490911"/>
      <w:r w:rsidR="005F3B08">
        <w:rPr>
          <w:rFonts w:asciiTheme="minorHAnsi" w:hAnsiTheme="minorHAnsi" w:cstheme="minorHAnsi"/>
          <w:color w:val="000000"/>
          <w:sz w:val="22"/>
          <w:szCs w:val="22"/>
        </w:rPr>
        <w:t>(atual denominação de ISEC Securitizadora S.A.)</w:t>
      </w:r>
      <w:bookmarkEnd w:id="3"/>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4"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4"/>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5" w:name="_DV_M2"/>
      <w:bookmarkStart w:id="6" w:name="_DV_M3"/>
      <w:bookmarkStart w:id="7" w:name="_Hlk82626494"/>
      <w:bookmarkEnd w:id="5"/>
      <w:bookmarkEnd w:id="6"/>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8"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8"/>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232CAEBA"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910A4A" w:rsidRPr="00910A4A">
        <w:rPr>
          <w:rFonts w:asciiTheme="minorHAnsi" w:hAnsiTheme="minorHAnsi" w:cstheme="minorHAnsi"/>
          <w:sz w:val="22"/>
          <w:szCs w:val="22"/>
        </w:rPr>
        <w:t>2104086806/RPS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5F3B08">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3F716EB9"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151E1D">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6116E9B4"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9"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9"/>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10"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10"/>
      <w:r w:rsidRPr="00A64B81">
        <w:rPr>
          <w:rFonts w:asciiTheme="minorHAnsi" w:hAnsiTheme="minorHAnsi" w:cstheme="minorHAnsi"/>
          <w:sz w:val="22"/>
          <w:szCs w:val="22"/>
        </w:rPr>
        <w:t xml:space="preserve">: (a) </w:t>
      </w:r>
      <w:bookmarkStart w:id="11" w:name="_Hlk66698772"/>
      <w:r w:rsidRPr="00A64B81">
        <w:rPr>
          <w:rFonts w:asciiTheme="minorHAnsi" w:hAnsiTheme="minorHAnsi" w:cstheme="minorHAnsi"/>
          <w:sz w:val="22"/>
          <w:szCs w:val="22"/>
        </w:rPr>
        <w:t>incidência de tributos, além das despesas de cobrança e de intimação, conforme aplicável</w:t>
      </w:r>
      <w:bookmarkEnd w:id="11"/>
      <w:r w:rsidRPr="00A64B81">
        <w:rPr>
          <w:rFonts w:asciiTheme="minorHAnsi" w:hAnsiTheme="minorHAnsi" w:cstheme="minorHAnsi"/>
          <w:sz w:val="22"/>
          <w:szCs w:val="22"/>
        </w:rPr>
        <w:t xml:space="preserve">; (b) </w:t>
      </w:r>
      <w:bookmarkStart w:id="12"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2"/>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3"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3"/>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4BF54AF4"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BC0D96">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4986EC58"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BC0D96">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BC0D96">
        <w:rPr>
          <w:rFonts w:asciiTheme="minorHAnsi" w:hAnsiTheme="minorHAnsi" w:cstheme="minorHAnsi"/>
          <w:i/>
          <w:iCs/>
          <w:sz w:val="22"/>
          <w:szCs w:val="22"/>
        </w:rPr>
        <w:t xml:space="preserve">, </w:t>
      </w:r>
      <w:r w:rsidR="00BC0D96">
        <w:rPr>
          <w:rFonts w:asciiTheme="minorHAnsi" w:hAnsiTheme="minorHAnsi" w:cstheme="minorHAnsi"/>
          <w:i/>
          <w:iCs/>
          <w:sz w:val="22"/>
        </w:rPr>
        <w:t>de forma que esta enviará ao Agente Fiduciário o resultado do atendimento ou não d</w:t>
      </w:r>
      <w:r w:rsidR="00151E1D">
        <w:rPr>
          <w:rFonts w:asciiTheme="minorHAnsi" w:hAnsiTheme="minorHAnsi" w:cstheme="minorHAnsi"/>
          <w:i/>
          <w:iCs/>
          <w:sz w:val="22"/>
        </w:rPr>
        <w:t xml:space="preserve">e tais </w:t>
      </w:r>
      <w:r w:rsidR="00BC0D96">
        <w:rPr>
          <w:rFonts w:asciiTheme="minorHAnsi" w:hAnsiTheme="minorHAnsi" w:cstheme="minorHAnsi"/>
          <w:i/>
          <w:iCs/>
          <w:sz w:val="22"/>
        </w:rPr>
        <w:t>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39EC2159" w14:textId="499A4E60" w:rsidR="00151E1D"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bookmarkStart w:id="14" w:name="_Hlk84490955"/>
      <w:r w:rsidR="00151E1D">
        <w:rPr>
          <w:rFonts w:asciiTheme="minorHAnsi" w:hAnsiTheme="minorHAnsi" w:cstheme="minorHAnsi"/>
          <w:sz w:val="22"/>
          <w:szCs w:val="22"/>
        </w:rPr>
        <w:t xml:space="preserve">Em razão da substituição do Agente Fiduciário, </w:t>
      </w:r>
      <w:r w:rsidR="00151E1D" w:rsidRPr="009D5B3E">
        <w:rPr>
          <w:rFonts w:asciiTheme="minorHAnsi" w:hAnsiTheme="minorHAnsi" w:cstheme="minorHAnsi"/>
          <w:sz w:val="22"/>
          <w:szCs w:val="22"/>
        </w:rPr>
        <w:t>todas as referências à Simplific Pavarini deverão ser interpretadas como sendo à Oliveira Trust</w:t>
      </w:r>
      <w:bookmarkEnd w:id="14"/>
      <w:r w:rsidR="00151E1D">
        <w:rPr>
          <w:rFonts w:asciiTheme="minorHAnsi" w:hAnsiTheme="minorHAnsi" w:cstheme="minorHAnsi"/>
          <w:sz w:val="22"/>
          <w:szCs w:val="22"/>
        </w:rPr>
        <w:t>.</w:t>
      </w:r>
    </w:p>
    <w:p w14:paraId="455718B3" w14:textId="77777777" w:rsidR="00151E1D" w:rsidRDefault="00151E1D" w:rsidP="007F24A8">
      <w:pPr>
        <w:spacing w:line="276" w:lineRule="auto"/>
        <w:jc w:val="both"/>
        <w:rPr>
          <w:rFonts w:asciiTheme="minorHAnsi" w:hAnsiTheme="minorHAnsi" w:cstheme="minorHAnsi"/>
          <w:sz w:val="22"/>
          <w:szCs w:val="22"/>
        </w:rPr>
      </w:pPr>
    </w:p>
    <w:p w14:paraId="66BB97A3" w14:textId="532D090C" w:rsidR="00D120CF" w:rsidRPr="00A64B81" w:rsidRDefault="00151E1D"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265D5DB8"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r w:rsidR="005F3B08" w:rsidRPr="009D37EA">
        <w:rPr>
          <w:rFonts w:asciiTheme="minorHAnsi" w:hAnsiTheme="minorHAnsi" w:cstheme="minorHAnsi"/>
          <w:bCs/>
          <w:szCs w:val="22"/>
          <w:highlight w:val="yellow"/>
        </w:rPr>
        <w:t>[●]</w:t>
      </w:r>
      <w:r w:rsidR="005F3B08">
        <w:rPr>
          <w:rFonts w:asciiTheme="minorHAnsi" w:hAnsiTheme="minorHAnsi" w:cstheme="minorHAnsi"/>
          <w:bCs/>
          <w:szCs w:val="22"/>
        </w:rPr>
        <w:t xml:space="preserve"> de outubro</w:t>
      </w:r>
      <w:r w:rsidR="005F3B08" w:rsidRPr="00A64B81">
        <w:rPr>
          <w:rFonts w:asciiTheme="minorHAnsi" w:hAnsiTheme="minorHAnsi" w:cstheme="minorHAnsi"/>
          <w:szCs w:val="22"/>
        </w:rPr>
        <w:t xml:space="preserve"> </w:t>
      </w:r>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18CC4E94"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5F3B08">
        <w:rPr>
          <w:rFonts w:asciiTheme="minorHAnsi" w:hAnsiTheme="minorHAnsi" w:cstheme="minorHAnsi"/>
          <w:i/>
          <w:sz w:val="22"/>
          <w:szCs w:val="22"/>
        </w:rPr>
        <w:t>O r</w:t>
      </w:r>
      <w:r w:rsidRPr="00A64B81">
        <w:rPr>
          <w:rFonts w:asciiTheme="minorHAnsi" w:hAnsiTheme="minorHAnsi" w:cstheme="minorHAnsi"/>
          <w:i/>
          <w:sz w:val="22"/>
          <w:szCs w:val="22"/>
        </w:rPr>
        <w:t>estante da página</w:t>
      </w:r>
      <w:r w:rsidR="005F3B08">
        <w:rPr>
          <w:rFonts w:asciiTheme="minorHAnsi" w:hAnsiTheme="minorHAnsi" w:cstheme="minorHAnsi"/>
          <w:i/>
          <w:sz w:val="22"/>
          <w:szCs w:val="22"/>
        </w:rPr>
        <w:t xml:space="preserve"> foi</w:t>
      </w:r>
      <w:r w:rsidRPr="00A64B81">
        <w:rPr>
          <w:rFonts w:asciiTheme="minorHAnsi" w:hAnsiTheme="minorHAnsi" w:cstheme="minorHAnsi"/>
          <w:i/>
          <w:sz w:val="22"/>
          <w:szCs w:val="22"/>
        </w:rPr>
        <w:t xml:space="preserve"> 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06FBBFB8"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r w:rsidR="00910A4A" w:rsidRPr="00910A4A">
        <w:rPr>
          <w:rFonts w:asciiTheme="minorHAnsi" w:hAnsiTheme="minorHAnsi" w:cstheme="minorHAnsi"/>
          <w:sz w:val="22"/>
          <w:szCs w:val="22"/>
        </w:rPr>
        <w:t>2104086806/RPS</w:t>
      </w:r>
      <w:r w:rsidRPr="00A64B81">
        <w:rPr>
          <w:rFonts w:asciiTheme="minorHAnsi" w:hAnsiTheme="minorHAnsi" w:cstheme="minorHAnsi"/>
          <w:bCs/>
          <w:sz w:val="22"/>
          <w:szCs w:val="22"/>
        </w:rPr>
        <w:t xml:space="preserve">, </w:t>
      </w:r>
      <w:bookmarkStart w:id="15" w:name="_Hlk82626337"/>
      <w:r w:rsidRPr="00A64B81">
        <w:rPr>
          <w:rFonts w:asciiTheme="minorHAnsi" w:hAnsiTheme="minorHAnsi" w:cstheme="minorHAnsi"/>
          <w:bCs/>
          <w:sz w:val="22"/>
          <w:szCs w:val="22"/>
        </w:rPr>
        <w:t>emitida</w:t>
      </w:r>
      <w:bookmarkStart w:id="16"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6"/>
      <w:bookmarkEnd w:id="15"/>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5F3B08" w:rsidRPr="005F3B08">
        <w:rPr>
          <w:rFonts w:asciiTheme="minorHAnsi" w:hAnsiTheme="minorHAnsi" w:cstheme="minorHAnsi"/>
          <w:bCs/>
          <w:sz w:val="22"/>
          <w:szCs w:val="22"/>
          <w:highlight w:val="yellow"/>
        </w:rPr>
        <w:t>[●]</w:t>
      </w:r>
      <w:r w:rsidR="005F3B08" w:rsidRPr="005F3B08">
        <w:rPr>
          <w:rFonts w:asciiTheme="minorHAnsi" w:hAnsiTheme="minorHAnsi" w:cstheme="minorHAnsi"/>
          <w:bCs/>
          <w:sz w:val="22"/>
          <w:szCs w:val="22"/>
        </w:rPr>
        <w:t xml:space="preserve"> de outubro</w:t>
      </w:r>
      <w:r w:rsidR="005F3B08" w:rsidRPr="00A64B81">
        <w:rPr>
          <w:rFonts w:asciiTheme="minorHAnsi" w:hAnsiTheme="minorHAnsi" w:cstheme="minorHAnsi"/>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1"/>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7217" w14:textId="77777777" w:rsidR="006838D9" w:rsidRDefault="006838D9" w:rsidP="006838D9">
    <w:pPr>
      <w:pStyle w:val="Cabealho"/>
      <w:jc w:val="right"/>
      <w:rPr>
        <w:rFonts w:ascii="Calibri" w:hAnsi="Calibri" w:cs="Calibri"/>
        <w:i/>
        <w:sz w:val="22"/>
      </w:rPr>
    </w:pPr>
    <w:r>
      <w:rPr>
        <w:rFonts w:ascii="Calibri" w:hAnsi="Calibri" w:cs="Calibri"/>
        <w:i/>
        <w:sz w:val="22"/>
      </w:rPr>
      <w:t>Minuta KLA Advogados</w:t>
    </w:r>
  </w:p>
  <w:p w14:paraId="09FB8558" w14:textId="77777777" w:rsidR="006838D9" w:rsidRDefault="006838D9" w:rsidP="006838D9">
    <w:pPr>
      <w:pStyle w:val="Cabealho"/>
      <w:jc w:val="right"/>
      <w:rPr>
        <w:sz w:val="22"/>
        <w:szCs w:val="22"/>
      </w:rPr>
    </w:pPr>
    <w:r>
      <w:rPr>
        <w:rFonts w:ascii="Calibri" w:hAnsi="Calibri" w:cs="Calibri"/>
        <w:i/>
        <w:sz w:val="22"/>
      </w:rPr>
      <w:t>07.10.2021</w:t>
    </w:r>
  </w:p>
  <w:p w14:paraId="6F41F4E0" w14:textId="77777777" w:rsidR="006838D9" w:rsidRDefault="006838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C7B35"/>
    <w:rsid w:val="000E0CAC"/>
    <w:rsid w:val="000F3990"/>
    <w:rsid w:val="00114F7A"/>
    <w:rsid w:val="00120DD8"/>
    <w:rsid w:val="00127162"/>
    <w:rsid w:val="0013397A"/>
    <w:rsid w:val="00142405"/>
    <w:rsid w:val="00142D55"/>
    <w:rsid w:val="001462A2"/>
    <w:rsid w:val="0015013F"/>
    <w:rsid w:val="00151E1D"/>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3B08"/>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838D9"/>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C70FF"/>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0A4A"/>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D96"/>
    <w:rsid w:val="00BC0F68"/>
    <w:rsid w:val="00BC353F"/>
    <w:rsid w:val="00BC51E5"/>
    <w:rsid w:val="00BD7927"/>
    <w:rsid w:val="00BD7D80"/>
    <w:rsid w:val="00BF02C5"/>
    <w:rsid w:val="00BF189C"/>
    <w:rsid w:val="00BF2518"/>
    <w:rsid w:val="00BF2A25"/>
    <w:rsid w:val="00BF5616"/>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076A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2.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4.xml><?xml version="1.0" encoding="utf-8"?>
<ds:datastoreItem xmlns:ds="http://schemas.openxmlformats.org/officeDocument/2006/customXml" ds:itemID="{B9B9FDE2-CB6D-4B1A-B579-49955AF70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2299</Words>
  <Characters>12418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KLA Advogados</cp:lastModifiedBy>
  <cp:revision>5</cp:revision>
  <dcterms:created xsi:type="dcterms:W3CDTF">2021-09-29T18:52:00Z</dcterms:created>
  <dcterms:modified xsi:type="dcterms:W3CDTF">2021-10-07T15:06:00Z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1259100261</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ies>
</file>