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6BFC30DB"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CC695F">
        <w:rPr>
          <w:rFonts w:asciiTheme="minorHAnsi" w:hAnsiTheme="minorHAnsi" w:cstheme="minorHAnsi"/>
          <w:b/>
          <w:sz w:val="22"/>
        </w:rPr>
        <w:t>20</w:t>
      </w:r>
      <w:r w:rsidR="00AD3682">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2539E6">
        <w:rPr>
          <w:rFonts w:asciiTheme="minorHAnsi" w:hAnsiTheme="minorHAnsi" w:cstheme="minorHAnsi"/>
          <w:b/>
          <w:sz w:val="22"/>
        </w:rPr>
        <w:t>OUTUBRO</w:t>
      </w:r>
      <w:r w:rsidR="002539E6"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6C0DC7BD"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CC695F">
        <w:rPr>
          <w:rFonts w:asciiTheme="minorHAnsi" w:hAnsiTheme="minorHAnsi" w:cstheme="minorHAnsi"/>
          <w:sz w:val="22"/>
        </w:rPr>
        <w:t>20</w:t>
      </w:r>
      <w:r w:rsidR="00AD3682">
        <w:rPr>
          <w:rFonts w:asciiTheme="minorHAnsi" w:hAnsiTheme="minorHAnsi" w:cstheme="minorHAnsi"/>
          <w:bCs/>
          <w:sz w:val="22"/>
        </w:rPr>
        <w:t xml:space="preserve"> </w:t>
      </w:r>
      <w:r w:rsidR="002539E6">
        <w:rPr>
          <w:rFonts w:asciiTheme="minorHAnsi" w:hAnsiTheme="minorHAnsi" w:cstheme="minorHAnsi"/>
          <w:bCs/>
          <w:sz w:val="22"/>
        </w:rPr>
        <w:t>de outubro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6959BDD"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r w:rsidR="002539E6">
        <w:rPr>
          <w:rFonts w:asciiTheme="minorHAnsi" w:hAnsiTheme="minorHAnsi" w:cstheme="minorHAnsi"/>
          <w:sz w:val="22"/>
        </w:rPr>
        <w:t>, celebrado em 30 de março de 2021, conforme aditado</w:t>
      </w:r>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44A35E8F"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r w:rsidR="002539E6">
        <w:rPr>
          <w:rFonts w:asciiTheme="minorHAnsi" w:hAnsiTheme="minorHAnsi" w:cstheme="minorHAnsi"/>
          <w:sz w:val="22"/>
        </w:rPr>
        <w:t>,</w:t>
      </w:r>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002539E6">
        <w:rPr>
          <w:rFonts w:asciiTheme="minorHAnsi" w:hAnsiTheme="minorHAnsi" w:cstheme="minorHAnsi"/>
          <w:sz w:val="22"/>
        </w:rPr>
        <w:t xml:space="preserve"> e “</w:t>
      </w:r>
      <w:r w:rsidR="002539E6" w:rsidRPr="009C5AD3">
        <w:rPr>
          <w:rFonts w:asciiTheme="minorHAnsi" w:hAnsiTheme="minorHAnsi" w:cstheme="minorHAnsi"/>
          <w:sz w:val="22"/>
          <w:u w:val="single"/>
        </w:rPr>
        <w:t>Antigo Agente Fiduciário</w:t>
      </w:r>
      <w:r w:rsidR="002539E6">
        <w:rPr>
          <w:rFonts w:asciiTheme="minorHAnsi" w:hAnsiTheme="minorHAnsi" w:cstheme="minorHAnsi"/>
          <w:sz w:val="22"/>
          <w:u w:val="single"/>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48B572E6"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xml:space="preserve">: Sr. </w:t>
      </w:r>
      <w:r w:rsidR="000F7AD3">
        <w:rPr>
          <w:rFonts w:asciiTheme="minorHAnsi" w:hAnsiTheme="minorHAnsi" w:cstheme="minorHAnsi"/>
          <w:sz w:val="22"/>
        </w:rPr>
        <w:t>José Paulo Lema Perri</w:t>
      </w:r>
      <w:r w:rsidR="000F7AD3" w:rsidRPr="00A22E08">
        <w:rPr>
          <w:rFonts w:asciiTheme="minorHAnsi" w:hAnsiTheme="minorHAnsi" w:cstheme="minorHAnsi"/>
          <w:sz w:val="22"/>
        </w:rPr>
        <w:t xml:space="preserve">, </w:t>
      </w:r>
      <w:r w:rsidRPr="00A22E08">
        <w:rPr>
          <w:rFonts w:asciiTheme="minorHAnsi" w:hAnsiTheme="minorHAnsi" w:cstheme="minorHAnsi"/>
          <w:sz w:val="22"/>
        </w:rPr>
        <w:t xml:space="preserve">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lastRenderedPageBreak/>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A6F6B17"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r w:rsidR="002539E6">
        <w:rPr>
          <w:rFonts w:asciiTheme="minorHAnsi" w:hAnsiTheme="minorHAnsi" w:cstheme="minorHAnsi"/>
          <w:i/>
          <w:iCs/>
          <w:sz w:val="22"/>
        </w:rPr>
        <w:t>S</w:t>
      </w:r>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D42E6F">
        <w:rPr>
          <w:rFonts w:asciiTheme="minorHAnsi" w:hAnsiTheme="minorHAnsi" w:cstheme="minorHAnsi"/>
          <w:sz w:val="22"/>
        </w:rPr>
        <w:t>, na qualidade de instituição custodiante</w:t>
      </w:r>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19744B12"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D42E6F">
        <w:rPr>
          <w:rFonts w:asciiTheme="minorHAnsi" w:hAnsiTheme="minorHAnsi" w:cstheme="minorHAnsi"/>
          <w:sz w:val="22"/>
        </w:rPr>
        <w:t>, exclusivamente,</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6704A6B6"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lastRenderedPageBreak/>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00411D2F">
        <w:rPr>
          <w:rFonts w:asciiTheme="minorHAnsi" w:hAnsiTheme="minorHAnsi" w:cstheme="minorHAnsi"/>
          <w:sz w:val="22"/>
        </w:rPr>
        <w:t xml:space="preserve">15 (quinze) </w:t>
      </w:r>
      <w:r>
        <w:rPr>
          <w:rFonts w:asciiTheme="minorHAnsi" w:hAnsiTheme="minorHAnsi" w:cstheme="minorHAnsi"/>
          <w:sz w:val="22"/>
        </w:rPr>
        <w:t>dias</w:t>
      </w:r>
      <w:r w:rsidR="00D42E6F">
        <w:rPr>
          <w:rFonts w:asciiTheme="minorHAnsi" w:hAnsiTheme="minorHAnsi" w:cstheme="minorHAnsi"/>
          <w:sz w:val="22"/>
        </w:rPr>
        <w:t xml:space="preserve"> corridos,</w:t>
      </w:r>
      <w:r>
        <w:rPr>
          <w:rFonts w:asciiTheme="minorHAnsi" w:hAnsiTheme="minorHAnsi" w:cstheme="minorHAnsi"/>
          <w:sz w:val="22"/>
        </w:rPr>
        <w:t xml:space="preserve">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xml:space="preserve">”); e (ii)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w:t>
      </w:r>
      <w:r w:rsidR="008A0C39" w:rsidRPr="00B47EDD">
        <w:rPr>
          <w:rFonts w:asciiTheme="minorHAnsi" w:hAnsiTheme="minorHAnsi" w:cstheme="minorHAnsi"/>
          <w:i/>
          <w:iCs/>
          <w:sz w:val="22"/>
        </w:rPr>
        <w:lastRenderedPageBreak/>
        <w:t xml:space="preserve">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bookmarkEnd w:id="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60364556"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411D2F">
        <w:rPr>
          <w:rFonts w:asciiTheme="minorHAnsi" w:hAnsiTheme="minorHAnsi" w:cstheme="minorHAnsi"/>
          <w:sz w:val="22"/>
        </w:rPr>
        <w:t>15 (quinze)</w:t>
      </w:r>
      <w:r w:rsidR="00411D2F" w:rsidRPr="007E3A56">
        <w:rPr>
          <w:rFonts w:asciiTheme="minorHAnsi" w:hAnsiTheme="minorHAnsi" w:cstheme="minorHAnsi"/>
          <w:sz w:val="22"/>
        </w:rPr>
        <w:t xml:space="preserve"> </w:t>
      </w:r>
      <w:r w:rsidR="003E6533" w:rsidRPr="007E3A56">
        <w:rPr>
          <w:rFonts w:asciiTheme="minorHAnsi" w:hAnsiTheme="minorHAnsi" w:cstheme="minorHAnsi"/>
          <w:sz w:val="22"/>
        </w:rPr>
        <w:t>dias</w:t>
      </w:r>
      <w:r w:rsidR="00117D2C">
        <w:rPr>
          <w:rFonts w:asciiTheme="minorHAnsi" w:hAnsiTheme="minorHAnsi" w:cstheme="minorHAnsi"/>
          <w:sz w:val="22"/>
        </w:rPr>
        <w:t xml:space="preserve"> corridos</w:t>
      </w:r>
      <w:r w:rsidR="003E6533" w:rsidRPr="007E3A56">
        <w:rPr>
          <w:rFonts w:asciiTheme="minorHAnsi" w:hAnsiTheme="minorHAnsi" w:cstheme="minorHAnsi"/>
          <w:sz w:val="22"/>
        </w:rPr>
        <w:t xml:space="preserve">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e o relatório de medição de obras elaborados pelo técnico responsável pelos empreendimentos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8A2AFF">
      <w:pPr>
        <w:pStyle w:val="PargrafodaLista"/>
        <w:spacing w:line="276" w:lineRule="auto"/>
        <w:ind w:left="0"/>
        <w:rPr>
          <w:rFonts w:asciiTheme="minorHAnsi" w:hAnsiTheme="minorHAnsi" w:cstheme="minorHAnsi"/>
          <w:sz w:val="22"/>
        </w:rPr>
      </w:pPr>
    </w:p>
    <w:p w14:paraId="28856880" w14:textId="5608B5A0" w:rsidR="00EC2FB8" w:rsidRPr="008A2AFF" w:rsidRDefault="008A2AFF" w:rsidP="008A2AFF">
      <w:pPr>
        <w:pStyle w:val="PargrafodaLista"/>
        <w:numPr>
          <w:ilvl w:val="0"/>
          <w:numId w:val="1"/>
        </w:numPr>
        <w:spacing w:line="276" w:lineRule="auto"/>
        <w:ind w:left="0" w:firstLine="0"/>
        <w:rPr>
          <w:rFonts w:asciiTheme="minorHAnsi" w:hAnsiTheme="minorHAnsi" w:cstheme="minorHAnsi"/>
          <w:sz w:val="22"/>
        </w:rPr>
      </w:pPr>
      <w:r w:rsidRPr="008A2AFF">
        <w:rPr>
          <w:rFonts w:asciiTheme="minorHAnsi" w:hAnsiTheme="minorHAnsi" w:cstheme="minorHAnsi"/>
          <w:sz w:val="22"/>
        </w:rPr>
        <w:t>caso aprovados os itens (i) e (</w:t>
      </w:r>
      <w:proofErr w:type="spellStart"/>
      <w:r w:rsidRPr="008A2AFF">
        <w:rPr>
          <w:rFonts w:asciiTheme="minorHAnsi" w:hAnsiTheme="minorHAnsi" w:cstheme="minorHAnsi"/>
          <w:sz w:val="22"/>
        </w:rPr>
        <w:t>iv</w:t>
      </w:r>
      <w:proofErr w:type="spellEnd"/>
      <w:r w:rsidRPr="008A2AFF">
        <w:rPr>
          <w:rFonts w:asciiTheme="minorHAnsi" w:hAnsiTheme="minorHAnsi" w:cstheme="minorHAnsi"/>
          <w:sz w:val="22"/>
        </w:rPr>
        <w:t xml:space="preserve">) acima, </w:t>
      </w:r>
      <w:r w:rsidR="00CC695F" w:rsidRPr="00CC695F">
        <w:rPr>
          <w:rFonts w:asciiTheme="minorHAnsi" w:hAnsiTheme="minorHAnsi" w:cstheme="minorHAnsi"/>
          <w:sz w:val="22"/>
        </w:rPr>
        <w:t>aprovar que, a partir da Data de Pagamento referente ao mês de novembro de 2021, ou seja, 25 de novembro de 2021, a validação dos preços unitários será feita pelo Novo Agente Fiduciário</w:t>
      </w:r>
      <w:r w:rsidR="00CC695F">
        <w:rPr>
          <w:rFonts w:asciiTheme="minorHAnsi" w:hAnsiTheme="minorHAnsi" w:cstheme="minorHAnsi"/>
          <w:sz w:val="22"/>
        </w:rPr>
        <w:t xml:space="preserve">, sendo certo que </w:t>
      </w:r>
      <w:r w:rsidR="000174D1">
        <w:rPr>
          <w:rFonts w:asciiTheme="minorHAnsi" w:hAnsiTheme="minorHAnsi" w:cstheme="minorHAnsi"/>
          <w:sz w:val="22"/>
        </w:rPr>
        <w:t xml:space="preserve">(a) </w:t>
      </w:r>
      <w:r w:rsidR="00CC695F">
        <w:rPr>
          <w:rFonts w:asciiTheme="minorHAnsi" w:hAnsiTheme="minorHAnsi" w:cstheme="minorHAnsi"/>
          <w:sz w:val="22"/>
        </w:rPr>
        <w:t xml:space="preserve">o valor do Saldo Devedor após o pagamento referente ao mês de outubro é de </w:t>
      </w:r>
      <w:r w:rsidR="00CC695F" w:rsidRPr="000174D1">
        <w:rPr>
          <w:rFonts w:asciiTheme="minorHAnsi" w:hAnsiTheme="minorHAnsi" w:cstheme="minorHAnsi"/>
          <w:sz w:val="22"/>
          <w:highlight w:val="yellow"/>
        </w:rPr>
        <w:t>[</w:t>
      </w:r>
      <w:r w:rsidR="00961260" w:rsidRPr="000174D1">
        <w:rPr>
          <w:rFonts w:asciiTheme="minorHAnsi" w:hAnsiTheme="minorHAnsi" w:cstheme="minorHAnsi"/>
          <w:sz w:val="22"/>
          <w:highlight w:val="yellow"/>
        </w:rPr>
        <w:t>•</w:t>
      </w:r>
      <w:r w:rsidR="000174D1" w:rsidRPr="000174D1">
        <w:rPr>
          <w:rFonts w:asciiTheme="minorHAnsi" w:hAnsiTheme="minorHAnsi" w:cstheme="minorHAnsi"/>
          <w:sz w:val="22"/>
          <w:highlight w:val="yellow"/>
        </w:rPr>
        <w:t>]</w:t>
      </w:r>
      <w:r w:rsidRPr="008A2AFF">
        <w:rPr>
          <w:rFonts w:asciiTheme="minorHAnsi" w:hAnsiTheme="minorHAnsi" w:cstheme="minorHAnsi"/>
          <w:sz w:val="22"/>
        </w:rPr>
        <w:t>;</w:t>
      </w:r>
    </w:p>
    <w:p w14:paraId="0DE23B5B" w14:textId="77777777" w:rsidR="00614D25" w:rsidRPr="00614D25" w:rsidRDefault="00614D25" w:rsidP="008A2AFF">
      <w:pPr>
        <w:pStyle w:val="PargrafodaLista"/>
        <w:spacing w:line="276" w:lineRule="auto"/>
        <w:ind w:left="0"/>
        <w:rPr>
          <w:rFonts w:asciiTheme="minorHAnsi" w:hAnsiTheme="minorHAnsi" w:cstheme="minorHAnsi"/>
          <w:sz w:val="22"/>
        </w:rPr>
      </w:pPr>
    </w:p>
    <w:p w14:paraId="48F8F0D0" w14:textId="2CEFDB6A"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r w:rsidR="00594D72">
        <w:rPr>
          <w:rFonts w:asciiTheme="minorHAnsi" w:hAnsiTheme="minorHAnsi" w:cstheme="minorHAnsi"/>
          <w:sz w:val="22"/>
        </w:rPr>
        <w:t>e tais</w:t>
      </w:r>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6AB7C48F"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594D72">
        <w:rPr>
          <w:rFonts w:asciiTheme="minorHAnsi" w:hAnsiTheme="minorHAnsi" w:cstheme="minorHAnsi"/>
          <w:sz w:val="22"/>
        </w:rPr>
        <w:t xml:space="preserve">mas não se limitando, aos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594D72">
        <w:rPr>
          <w:rFonts w:asciiTheme="minorHAnsi" w:hAnsiTheme="minorHAnsi" w:cstheme="minorHAnsi"/>
          <w:sz w:val="22"/>
        </w:rPr>
        <w:t>, bem como as alterações necessárias para tal substituição junto à B3 (conforme definido no Termo de Securitização)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5E1DEE6A"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além da não disponibilização, pela Devedora, da documentação que a Pavarini</w:t>
      </w:r>
      <w:r w:rsidR="00594D72">
        <w:rPr>
          <w:rFonts w:asciiTheme="minorHAnsi" w:hAnsiTheme="minorHAnsi" w:cstheme="minorHAnsi"/>
          <w:sz w:val="22"/>
        </w:rPr>
        <w:t>, exclusivamente,</w:t>
      </w:r>
      <w:r>
        <w:rPr>
          <w:rFonts w:asciiTheme="minorHAnsi" w:hAnsiTheme="minorHAnsi" w:cstheme="minorHAnsi"/>
          <w:sz w:val="22"/>
        </w:rPr>
        <w:t xml:space="preserve"> julga ser necessária para verificação da destinação dos recursos</w:t>
      </w:r>
      <w:r w:rsidR="009A2A70">
        <w:rPr>
          <w:rFonts w:asciiTheme="minorHAnsi" w:hAnsiTheme="minorHAnsi" w:cstheme="minorHAnsi"/>
          <w:sz w:val="22"/>
        </w:rPr>
        <w:t xml:space="preserve">, sendo certo que </w:t>
      </w:r>
      <w:r w:rsidR="009A2A70" w:rsidRPr="000174D1">
        <w:rPr>
          <w:rFonts w:asciiTheme="minorHAnsi" w:hAnsiTheme="minorHAnsi" w:cstheme="minorHAnsi"/>
          <w:sz w:val="22"/>
        </w:rPr>
        <w:t>os pagamentos previstos n</w:t>
      </w:r>
      <w:r w:rsidR="009A2A70">
        <w:rPr>
          <w:rFonts w:asciiTheme="minorHAnsi" w:hAnsiTheme="minorHAnsi" w:cstheme="minorHAnsi"/>
          <w:sz w:val="22"/>
        </w:rPr>
        <w:t>os Documentos da Operação</w:t>
      </w:r>
      <w:r w:rsidR="009A2A70">
        <w:rPr>
          <w:rFonts w:asciiTheme="minorHAnsi" w:hAnsiTheme="minorHAnsi" w:cstheme="minorHAnsi"/>
          <w:sz w:val="22"/>
        </w:rPr>
        <w:t>,</w:t>
      </w:r>
      <w:r w:rsidR="009A2A70" w:rsidRPr="000174D1">
        <w:rPr>
          <w:rFonts w:asciiTheme="minorHAnsi" w:hAnsiTheme="minorHAnsi" w:cstheme="minorHAnsi"/>
          <w:sz w:val="22"/>
        </w:rPr>
        <w:t xml:space="preserve"> desde a </w:t>
      </w:r>
      <w:r w:rsidR="009A2A70">
        <w:rPr>
          <w:rFonts w:asciiTheme="minorHAnsi" w:hAnsiTheme="minorHAnsi" w:cstheme="minorHAnsi"/>
          <w:sz w:val="22"/>
        </w:rPr>
        <w:t>D</w:t>
      </w:r>
      <w:r w:rsidR="009A2A70" w:rsidRPr="000174D1">
        <w:rPr>
          <w:rFonts w:asciiTheme="minorHAnsi" w:hAnsiTheme="minorHAnsi" w:cstheme="minorHAnsi"/>
          <w:sz w:val="22"/>
        </w:rPr>
        <w:t xml:space="preserve">ata de </w:t>
      </w:r>
      <w:r w:rsidR="009A2A70">
        <w:rPr>
          <w:rFonts w:asciiTheme="minorHAnsi" w:hAnsiTheme="minorHAnsi" w:cstheme="minorHAnsi"/>
          <w:sz w:val="22"/>
        </w:rPr>
        <w:t>E</w:t>
      </w:r>
      <w:r w:rsidR="009A2A70" w:rsidRPr="000174D1">
        <w:rPr>
          <w:rFonts w:asciiTheme="minorHAnsi" w:hAnsiTheme="minorHAnsi" w:cstheme="minorHAnsi"/>
          <w:sz w:val="22"/>
        </w:rPr>
        <w:t>missão até a presente data, foram realizados nas forma</w:t>
      </w:r>
      <w:bookmarkStart w:id="9" w:name="_GoBack"/>
      <w:bookmarkEnd w:id="9"/>
      <w:r w:rsidR="009A2A70" w:rsidRPr="000174D1">
        <w:rPr>
          <w:rFonts w:asciiTheme="minorHAnsi" w:hAnsiTheme="minorHAnsi" w:cstheme="minorHAnsi"/>
          <w:sz w:val="22"/>
        </w:rPr>
        <w:t xml:space="preserve">s previstas nos </w:t>
      </w:r>
      <w:r w:rsidR="009A2A70">
        <w:rPr>
          <w:rFonts w:asciiTheme="minorHAnsi" w:hAnsiTheme="minorHAnsi" w:cstheme="minorHAnsi"/>
          <w:sz w:val="22"/>
        </w:rPr>
        <w:t>D</w:t>
      </w:r>
      <w:r w:rsidR="009A2A70" w:rsidRPr="000174D1">
        <w:rPr>
          <w:rFonts w:asciiTheme="minorHAnsi" w:hAnsiTheme="minorHAnsi" w:cstheme="minorHAnsi"/>
          <w:sz w:val="22"/>
        </w:rPr>
        <w:t xml:space="preserve">ocumentos da </w:t>
      </w:r>
      <w:r w:rsidR="009A2A70">
        <w:rPr>
          <w:rFonts w:asciiTheme="minorHAnsi" w:hAnsiTheme="minorHAnsi" w:cstheme="minorHAnsi"/>
          <w:sz w:val="22"/>
        </w:rPr>
        <w:t>Operação</w:t>
      </w:r>
      <w:r w:rsidR="009A2A70" w:rsidRPr="000174D1">
        <w:rPr>
          <w:rFonts w:asciiTheme="minorHAnsi" w:hAnsiTheme="minorHAnsi" w:cstheme="minorHAnsi"/>
          <w:sz w:val="22"/>
        </w:rPr>
        <w:t>, de forma que estão adimplentes</w:t>
      </w:r>
      <w:r>
        <w:rPr>
          <w:rFonts w:asciiTheme="minorHAnsi" w:hAnsiTheme="minorHAnsi" w:cstheme="minorHAnsi"/>
          <w:sz w:val="22"/>
        </w:rPr>
        <w:t xml:space="preserve">.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10A35C0C"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00CC695F">
        <w:rPr>
          <w:rFonts w:asciiTheme="minorHAnsi" w:hAnsiTheme="minorHAnsi" w:cstheme="minorHAnsi"/>
          <w:bCs/>
          <w:sz w:val="22"/>
        </w:rPr>
        <w:t>20</w:t>
      </w:r>
      <w:r w:rsidR="00594D72" w:rsidRPr="00594D72">
        <w:rPr>
          <w:rFonts w:asciiTheme="minorHAnsi" w:hAnsiTheme="minorHAnsi" w:cstheme="minorHAnsi"/>
          <w:bCs/>
          <w:sz w:val="22"/>
        </w:rPr>
        <w:t xml:space="preserve"> de outubro</w:t>
      </w:r>
      <w:r w:rsidR="00594D72">
        <w:rPr>
          <w:rFonts w:asciiTheme="minorHAnsi" w:hAnsiTheme="minorHAnsi" w:cstheme="minorHAnsi"/>
          <w:bCs/>
          <w:sz w:val="22"/>
        </w:rPr>
        <w:t xml:space="preserve"> </w:t>
      </w:r>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38A4AEA5" w:rsidR="0045664C" w:rsidRPr="00632214" w:rsidRDefault="000F7AD3" w:rsidP="0045664C">
      <w:pPr>
        <w:spacing w:line="240" w:lineRule="auto"/>
        <w:jc w:val="center"/>
        <w:rPr>
          <w:rFonts w:asciiTheme="minorHAnsi" w:hAnsiTheme="minorHAnsi" w:cstheme="minorHAnsi"/>
          <w:sz w:val="22"/>
        </w:rPr>
      </w:pPr>
      <w:r w:rsidRPr="000F7AD3">
        <w:rPr>
          <w:rFonts w:asciiTheme="minorHAnsi" w:hAnsiTheme="minorHAnsi" w:cstheme="minorHAnsi"/>
          <w:b/>
          <w:bCs/>
          <w:sz w:val="22"/>
        </w:rPr>
        <w:t>José Paulo Lema Perri</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32B4F15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r w:rsidR="00480577">
        <w:rPr>
          <w:rFonts w:asciiTheme="minorHAnsi" w:hAnsiTheme="minorHAnsi" w:cstheme="minorHAnsi"/>
          <w:iCs/>
          <w:sz w:val="22"/>
        </w:rPr>
        <w:t xml:space="preserve"> 224.435.378-89</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Tatiana Schumacker Rosa Cequinel</w:t>
            </w:r>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9"/>
          <w:pgSz w:w="11906" w:h="16838"/>
          <w:pgMar w:top="1985" w:right="1701" w:bottom="1417" w:left="1701" w:header="426" w:footer="708" w:gutter="0"/>
          <w:cols w:space="708"/>
          <w:docGrid w:linePitch="360"/>
        </w:sectPr>
      </w:pPr>
    </w:p>
    <w:p w14:paraId="7B615845" w14:textId="3938E3B0" w:rsidR="00BE7AAC" w:rsidRPr="00A22E08" w:rsidRDefault="00BE7AAC" w:rsidP="00BE7AAC">
      <w:pPr>
        <w:spacing w:line="276" w:lineRule="auto"/>
        <w:rPr>
          <w:rFonts w:asciiTheme="minorHAnsi" w:hAnsiTheme="minorHAnsi" w:cstheme="minorHAnsi"/>
          <w:i/>
          <w:sz w:val="22"/>
        </w:rPr>
      </w:pPr>
      <w:bookmarkStart w:id="10" w:name="_DV_M401"/>
      <w:bookmarkStart w:id="11" w:name="_DV_M402"/>
      <w:bookmarkStart w:id="12" w:name="_DV_M403"/>
      <w:bookmarkEnd w:id="10"/>
      <w:bookmarkEnd w:id="11"/>
      <w:bookmarkEnd w:id="12"/>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D7538" w:rsidRPr="007D7538">
        <w:rPr>
          <w:rFonts w:asciiTheme="minorHAnsi" w:hAnsiTheme="minorHAnsi" w:cstheme="minorHAnsi"/>
          <w:bCs/>
          <w:i/>
          <w:iCs/>
          <w:sz w:val="22"/>
          <w:highlight w:val="yellow"/>
        </w:rPr>
        <w:t>[•]</w:t>
      </w:r>
      <w:r w:rsidR="007D7538" w:rsidRPr="007D7538">
        <w:rPr>
          <w:rFonts w:asciiTheme="minorHAnsi" w:hAnsiTheme="minorHAnsi" w:cstheme="minorHAnsi"/>
          <w:bCs/>
          <w:i/>
          <w:iCs/>
          <w:sz w:val="22"/>
        </w:rPr>
        <w:t xml:space="preserve"> de outubro</w:t>
      </w:r>
      <w:r w:rsidR="007D7538">
        <w:rPr>
          <w:rFonts w:asciiTheme="minorHAnsi" w:hAnsiTheme="minorHAnsi" w:cstheme="minorHAnsi"/>
          <w:b/>
          <w:sz w:val="22"/>
        </w:rPr>
        <w:t xml:space="preserve"> </w:t>
      </w:r>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30E82CC9" w14:textId="77777777" w:rsidTr="002B0F2D">
        <w:tc>
          <w:tcPr>
            <w:tcW w:w="8504" w:type="dxa"/>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38575BC"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p>
        </w:tc>
      </w:tr>
      <w:tr w:rsidR="002B0F2D" w:rsidRPr="00A22E08" w14:paraId="4B03D188" w14:textId="77777777" w:rsidTr="008F05F1">
        <w:trPr>
          <w:trHeight w:val="610"/>
        </w:trPr>
        <w:tc>
          <w:tcPr>
            <w:tcW w:w="8504" w:type="dxa"/>
          </w:tcPr>
          <w:p w14:paraId="22AA3C29" w14:textId="77777777" w:rsidR="002B0F2D" w:rsidRPr="00A22E08" w:rsidRDefault="002B0F2D"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 Jo</w:t>
            </w:r>
            <w:r>
              <w:rPr>
                <w:rFonts w:asciiTheme="minorHAnsi" w:hAnsiTheme="minorHAnsi" w:cstheme="minorHAnsi"/>
                <w:sz w:val="22"/>
              </w:rPr>
              <w:t>sé</w:t>
            </w:r>
            <w:r w:rsidRPr="00A22E08">
              <w:rPr>
                <w:rFonts w:asciiTheme="minorHAnsi" w:hAnsiTheme="minorHAnsi" w:cstheme="minorHAnsi"/>
                <w:sz w:val="22"/>
              </w:rPr>
              <w:t xml:space="preserve"> Paulo Lema Perri</w:t>
            </w:r>
          </w:p>
          <w:p w14:paraId="2829147D" w14:textId="5172A85F" w:rsidR="002B0F2D" w:rsidRPr="00A22E08" w:rsidRDefault="002B0F2D" w:rsidP="00E70A9C">
            <w:pPr>
              <w:pStyle w:val="NormalWeb"/>
              <w:spacing w:before="0" w:beforeAutospacing="0" w:after="0" w:afterAutospacing="0" w:line="300" w:lineRule="exact"/>
              <w:ind w:right="36"/>
              <w:jc w:val="center"/>
              <w:rPr>
                <w:rFonts w:asciiTheme="minorHAnsi" w:hAnsiTheme="minorHAnsi" w:cstheme="minorHAnsi"/>
                <w:lang w:val="pt-BR"/>
              </w:rPr>
            </w:pPr>
            <w:r w:rsidRPr="008A2AFF">
              <w:rPr>
                <w:rFonts w:asciiTheme="minorHAnsi" w:hAnsiTheme="minorHAnsi" w:cstheme="minorHAnsi"/>
                <w:lang w:val="pt-BR"/>
              </w:rPr>
              <w:t>Cargo: Diretor</w:t>
            </w: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7F368FFD" w14:textId="77777777" w:rsidTr="002B0F2D">
        <w:tc>
          <w:tcPr>
            <w:tcW w:w="8504" w:type="dxa"/>
            <w:tcBorders>
              <w:top w:val="single" w:sz="4" w:space="0" w:color="auto"/>
            </w:tcBorders>
          </w:tcPr>
          <w:p w14:paraId="083084B0" w14:textId="23F755FD" w:rsidR="00BE7AAC" w:rsidRDefault="00545010" w:rsidP="001C6A70">
            <w:pPr>
              <w:spacing w:line="300" w:lineRule="exact"/>
              <w:jc w:val="center"/>
              <w:rPr>
                <w:rFonts w:asciiTheme="minorHAnsi" w:hAnsiTheme="minorHAnsi" w:cstheme="minorHAnsi"/>
                <w:b/>
                <w:sz w:val="22"/>
              </w:rPr>
            </w:pPr>
            <w:r>
              <w:rPr>
                <w:rFonts w:asciiTheme="minorHAnsi" w:hAnsiTheme="minorHAnsi" w:cstheme="minorHAnsi"/>
                <w:b/>
                <w:sz w:val="22"/>
              </w:rPr>
              <w:t xml:space="preserve">Fator </w:t>
            </w:r>
            <w:proofErr w:type="spellStart"/>
            <w:r>
              <w:rPr>
                <w:rFonts w:asciiTheme="minorHAnsi" w:hAnsiTheme="minorHAnsi" w:cstheme="minorHAnsi"/>
                <w:b/>
                <w:sz w:val="22"/>
              </w:rPr>
              <w:t>Verita</w:t>
            </w:r>
            <w:proofErr w:type="spellEnd"/>
            <w:r>
              <w:rPr>
                <w:rFonts w:asciiTheme="minorHAnsi" w:hAnsiTheme="minorHAnsi" w:cstheme="minorHAnsi"/>
                <w:b/>
                <w:sz w:val="22"/>
              </w:rPr>
              <w:t xml:space="preserve"> Fundo de Investimento Imobiliário – FII</w:t>
            </w:r>
          </w:p>
          <w:p w14:paraId="4FF7CD33" w14:textId="56293AEB" w:rsidR="00545010" w:rsidRPr="00A22E08" w:rsidRDefault="00545010" w:rsidP="001C6A70">
            <w:pPr>
              <w:spacing w:line="300" w:lineRule="exact"/>
              <w:jc w:val="center"/>
              <w:rPr>
                <w:rFonts w:asciiTheme="minorHAnsi" w:hAnsiTheme="minorHAnsi" w:cstheme="minorHAnsi"/>
                <w:b/>
                <w:sz w:val="22"/>
              </w:rPr>
            </w:pPr>
            <w:r w:rsidRPr="009C5AD3">
              <w:rPr>
                <w:rFonts w:asciiTheme="minorHAnsi" w:hAnsiTheme="minorHAnsi" w:cstheme="minorHAnsi"/>
                <w:bCs/>
                <w:i/>
                <w:iCs/>
                <w:sz w:val="22"/>
              </w:rPr>
              <w:t>Representado por seu</w:t>
            </w:r>
            <w:r>
              <w:rPr>
                <w:rFonts w:asciiTheme="minorHAnsi" w:hAnsiTheme="minorHAnsi" w:cstheme="minorHAnsi"/>
                <w:bCs/>
                <w:i/>
                <w:iCs/>
                <w:sz w:val="22"/>
              </w:rPr>
              <w:t xml:space="preserve"> gestor FAR – Fator Administração de Recursos Ltda.</w:t>
            </w:r>
          </w:p>
          <w:p w14:paraId="485EFDAC" w14:textId="17DC5EDC"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p>
        </w:tc>
      </w:tr>
      <w:tr w:rsidR="002B0F2D" w:rsidRPr="00A22E08" w14:paraId="363C079D" w14:textId="77777777" w:rsidTr="000B3CE2">
        <w:trPr>
          <w:trHeight w:val="610"/>
        </w:trPr>
        <w:tc>
          <w:tcPr>
            <w:tcW w:w="8504" w:type="dxa"/>
          </w:tcPr>
          <w:p w14:paraId="675B061F" w14:textId="77777777" w:rsidR="002B0F2D" w:rsidRPr="00A22E08" w:rsidRDefault="002B0F2D"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 xml:space="preserve">Nome: </w:t>
            </w:r>
            <w:r>
              <w:rPr>
                <w:rFonts w:asciiTheme="minorHAnsi" w:hAnsiTheme="minorHAnsi" w:cstheme="minorHAnsi"/>
                <w:sz w:val="22"/>
              </w:rPr>
              <w:t>Nathan David de Castro</w:t>
            </w:r>
          </w:p>
          <w:p w14:paraId="452EFA10" w14:textId="2A06D3D7" w:rsidR="002B0F2D" w:rsidRPr="00A22E08" w:rsidRDefault="002B0F2D" w:rsidP="00E70A9C">
            <w:pPr>
              <w:spacing w:line="300" w:lineRule="exact"/>
              <w:ind w:right="469"/>
              <w:jc w:val="center"/>
              <w:rPr>
                <w:rFonts w:asciiTheme="minorHAnsi" w:hAnsiTheme="minorHAnsi" w:cstheme="minorHAnsi"/>
              </w:rPr>
            </w:pPr>
            <w:r w:rsidRPr="00A22E08">
              <w:rPr>
                <w:rFonts w:asciiTheme="minorHAnsi" w:hAnsiTheme="minorHAnsi" w:cstheme="minorHAnsi"/>
                <w:sz w:val="22"/>
              </w:rPr>
              <w:t xml:space="preserve">Cargo: </w:t>
            </w:r>
            <w:r>
              <w:rPr>
                <w:rFonts w:asciiTheme="minorHAnsi" w:hAnsiTheme="minorHAnsi" w:cstheme="minorHAnsi"/>
                <w:sz w:val="22"/>
              </w:rPr>
              <w:t>Procurador</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0D723321"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005C691A" w:rsidRPr="007D7538">
        <w:rPr>
          <w:rFonts w:asciiTheme="minorHAnsi" w:hAnsiTheme="minorHAnsi" w:cstheme="minorHAnsi"/>
          <w:bCs/>
          <w:i/>
          <w:iCs/>
          <w:sz w:val="22"/>
          <w:highlight w:val="yellow"/>
        </w:rPr>
        <w:t>[•]</w:t>
      </w:r>
      <w:r w:rsidR="005C691A" w:rsidRPr="007D7538">
        <w:rPr>
          <w:rFonts w:asciiTheme="minorHAnsi" w:hAnsiTheme="minorHAnsi" w:cstheme="minorHAnsi"/>
          <w:bCs/>
          <w:i/>
          <w:iCs/>
          <w:sz w:val="22"/>
        </w:rPr>
        <w:t xml:space="preserve"> de outubro</w:t>
      </w:r>
      <w:r w:rsidR="005C691A">
        <w:rPr>
          <w:rFonts w:asciiTheme="minorHAnsi" w:hAnsiTheme="minorHAnsi" w:cstheme="minorHAnsi"/>
          <w:b/>
          <w:sz w:val="22"/>
        </w:rPr>
        <w:t xml:space="preserve"> </w:t>
      </w:r>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0"/>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C870" w14:textId="5E3AFC3D" w:rsidR="0045664C"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741D701A" w14:textId="77777777" w:rsidR="0085450B" w:rsidRPr="001146BE" w:rsidRDefault="0085450B">
    <w:pPr>
      <w:pStyle w:val="Cabealho"/>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A209" w14:textId="414A7166"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105143B" w:rsidR="004B7D25" w:rsidRPr="001146BE" w:rsidRDefault="008A2AFF" w:rsidP="001E2472">
    <w:pPr>
      <w:pStyle w:val="Cabealho"/>
      <w:jc w:val="right"/>
      <w:rPr>
        <w:rFonts w:ascii="Calibri" w:hAnsi="Calibri" w:cs="Calibri"/>
        <w:i/>
        <w:sz w:val="22"/>
      </w:rPr>
    </w:pPr>
    <w:r>
      <w:rPr>
        <w:rFonts w:ascii="Calibri" w:hAnsi="Calibri" w:cs="Calibri"/>
        <w:i/>
        <w:sz w:val="22"/>
      </w:rPr>
      <w:t>15</w:t>
    </w:r>
    <w:r w:rsidR="004B7D25" w:rsidRPr="001146BE">
      <w:rPr>
        <w:rFonts w:ascii="Calibri" w:hAnsi="Calibri" w:cs="Calibri"/>
        <w:i/>
        <w:sz w:val="22"/>
      </w:rPr>
      <w:t>.</w:t>
    </w:r>
    <w:r w:rsidR="0085450B">
      <w:rPr>
        <w:rFonts w:ascii="Calibri" w:hAnsi="Calibri" w:cs="Calibri"/>
        <w:i/>
        <w:sz w:val="22"/>
      </w:rPr>
      <w:t>10</w:t>
    </w:r>
    <w:r w:rsidR="004B7D25" w:rsidRPr="001146BE">
      <w:rPr>
        <w:rFonts w:ascii="Calibri" w:hAnsi="Calibri" w:cs="Calibri"/>
        <w:i/>
        <w:sz w:val="22"/>
      </w:rPr>
      <w:t>.2021</w:t>
    </w:r>
  </w:p>
  <w:p w14:paraId="69F31054" w14:textId="76EF1F25"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188E"/>
    <w:rsid w:val="00014E78"/>
    <w:rsid w:val="000174D1"/>
    <w:rsid w:val="0003409E"/>
    <w:rsid w:val="00051805"/>
    <w:rsid w:val="00064C2B"/>
    <w:rsid w:val="0009391F"/>
    <w:rsid w:val="000B3A42"/>
    <w:rsid w:val="000D67F9"/>
    <w:rsid w:val="000D6E58"/>
    <w:rsid w:val="000F7AD3"/>
    <w:rsid w:val="00106DD8"/>
    <w:rsid w:val="001146BE"/>
    <w:rsid w:val="00117D2C"/>
    <w:rsid w:val="001253EF"/>
    <w:rsid w:val="00126C9F"/>
    <w:rsid w:val="001325BD"/>
    <w:rsid w:val="00141CF4"/>
    <w:rsid w:val="00151AF7"/>
    <w:rsid w:val="00151F1A"/>
    <w:rsid w:val="001A1399"/>
    <w:rsid w:val="001A612C"/>
    <w:rsid w:val="001D7B47"/>
    <w:rsid w:val="001E2472"/>
    <w:rsid w:val="001F7FF9"/>
    <w:rsid w:val="002049B4"/>
    <w:rsid w:val="002154BF"/>
    <w:rsid w:val="0024035F"/>
    <w:rsid w:val="002539E6"/>
    <w:rsid w:val="00257671"/>
    <w:rsid w:val="00280F19"/>
    <w:rsid w:val="00282D6D"/>
    <w:rsid w:val="00283E62"/>
    <w:rsid w:val="00291EA1"/>
    <w:rsid w:val="002A0F46"/>
    <w:rsid w:val="002B0F2D"/>
    <w:rsid w:val="002B2B79"/>
    <w:rsid w:val="002B5886"/>
    <w:rsid w:val="002C0988"/>
    <w:rsid w:val="002C6E88"/>
    <w:rsid w:val="002D005A"/>
    <w:rsid w:val="00300807"/>
    <w:rsid w:val="00314F81"/>
    <w:rsid w:val="00332B78"/>
    <w:rsid w:val="00332FCD"/>
    <w:rsid w:val="00334C77"/>
    <w:rsid w:val="0035184E"/>
    <w:rsid w:val="00353004"/>
    <w:rsid w:val="00354795"/>
    <w:rsid w:val="00357FA2"/>
    <w:rsid w:val="00366874"/>
    <w:rsid w:val="003767C0"/>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1D2F"/>
    <w:rsid w:val="00412ADE"/>
    <w:rsid w:val="00441C32"/>
    <w:rsid w:val="00447A00"/>
    <w:rsid w:val="004507A5"/>
    <w:rsid w:val="0045664C"/>
    <w:rsid w:val="0046620F"/>
    <w:rsid w:val="00477847"/>
    <w:rsid w:val="00477E9E"/>
    <w:rsid w:val="00480577"/>
    <w:rsid w:val="00484096"/>
    <w:rsid w:val="00492615"/>
    <w:rsid w:val="004B7D25"/>
    <w:rsid w:val="004C2285"/>
    <w:rsid w:val="004E38C2"/>
    <w:rsid w:val="004E3EFF"/>
    <w:rsid w:val="004E6EAD"/>
    <w:rsid w:val="004E6FA1"/>
    <w:rsid w:val="004F02AF"/>
    <w:rsid w:val="004F4424"/>
    <w:rsid w:val="0051141B"/>
    <w:rsid w:val="00531823"/>
    <w:rsid w:val="00545010"/>
    <w:rsid w:val="005462FA"/>
    <w:rsid w:val="00567303"/>
    <w:rsid w:val="005702A3"/>
    <w:rsid w:val="00572E68"/>
    <w:rsid w:val="0058441E"/>
    <w:rsid w:val="00584F87"/>
    <w:rsid w:val="00594D72"/>
    <w:rsid w:val="005A3AFE"/>
    <w:rsid w:val="005A7B58"/>
    <w:rsid w:val="005B1CC0"/>
    <w:rsid w:val="005C49C2"/>
    <w:rsid w:val="005C59B8"/>
    <w:rsid w:val="005C691A"/>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A3E37"/>
    <w:rsid w:val="006B336D"/>
    <w:rsid w:val="006C0831"/>
    <w:rsid w:val="006C4F34"/>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D7538"/>
    <w:rsid w:val="007E3A56"/>
    <w:rsid w:val="0080577E"/>
    <w:rsid w:val="00814DCE"/>
    <w:rsid w:val="00815E5D"/>
    <w:rsid w:val="008264A3"/>
    <w:rsid w:val="00837FB7"/>
    <w:rsid w:val="00842702"/>
    <w:rsid w:val="00854507"/>
    <w:rsid w:val="0085450B"/>
    <w:rsid w:val="00854959"/>
    <w:rsid w:val="0086356C"/>
    <w:rsid w:val="00876B99"/>
    <w:rsid w:val="00894FEC"/>
    <w:rsid w:val="008963E9"/>
    <w:rsid w:val="008A0C39"/>
    <w:rsid w:val="008A148E"/>
    <w:rsid w:val="008A2AFF"/>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61260"/>
    <w:rsid w:val="00975D1B"/>
    <w:rsid w:val="009763A6"/>
    <w:rsid w:val="009A2A70"/>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D3682"/>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2AB4"/>
    <w:rsid w:val="00BF4FDD"/>
    <w:rsid w:val="00BF7123"/>
    <w:rsid w:val="00C03DE3"/>
    <w:rsid w:val="00C06ED9"/>
    <w:rsid w:val="00C2707E"/>
    <w:rsid w:val="00C35038"/>
    <w:rsid w:val="00C62A97"/>
    <w:rsid w:val="00C93734"/>
    <w:rsid w:val="00CC3B4C"/>
    <w:rsid w:val="00CC695F"/>
    <w:rsid w:val="00CF06DD"/>
    <w:rsid w:val="00D06856"/>
    <w:rsid w:val="00D15BF6"/>
    <w:rsid w:val="00D42E6F"/>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70A9C"/>
    <w:rsid w:val="00E713B8"/>
    <w:rsid w:val="00E728AC"/>
    <w:rsid w:val="00E92B98"/>
    <w:rsid w:val="00E958AB"/>
    <w:rsid w:val="00EC2FB8"/>
    <w:rsid w:val="00ED01D9"/>
    <w:rsid w:val="00ED7B9C"/>
    <w:rsid w:val="00EE088E"/>
    <w:rsid w:val="00EF080E"/>
    <w:rsid w:val="00EF1E95"/>
    <w:rsid w:val="00F107D4"/>
    <w:rsid w:val="00F10BAC"/>
    <w:rsid w:val="00F13B4D"/>
    <w:rsid w:val="00F3211F"/>
    <w:rsid w:val="00F5078C"/>
    <w:rsid w:val="00F72F6D"/>
    <w:rsid w:val="00F815E1"/>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3651">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11695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 K L A _ S P ! 8 2 3 5 7 9 9 . 2 2 < / d o c u m e n t i d >  
     < s e n d e r i d > R S T U B E R < / s e n d e r i d >  
     < s e n d e r e m a i l > R S T U B E R @ K L A L A W . C O M . B R < / s e n d e r e m a i l >  
     < l a s t m o d i f i e d > 2 0 2 1 - 1 0 - 1 5 T 0 0 : 0 8 : 0 0 . 0 0 0 0 0 0 0 - 0 3 : 0 0 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628CF-3773-4EB1-8B75-A71576BF39F0}">
  <ds:schemaRefs>
    <ds:schemaRef ds:uri="http://www.imanage.com/work/xmlschema"/>
  </ds:schemaRefs>
</ds:datastoreItem>
</file>

<file path=customXml/itemProps2.xml><?xml version="1.0" encoding="utf-8"?>
<ds:datastoreItem xmlns:ds="http://schemas.openxmlformats.org/officeDocument/2006/customXml" ds:itemID="{EC472B49-05DB-49D2-B161-3D4684A2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2492</Words>
  <Characters>14156</Characters>
  <Application>Microsoft Office Word</Application>
  <DocSecurity>4</DocSecurity>
  <Lines>277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TozziniFreire Advogados</cp:lastModifiedBy>
  <cp:revision>2</cp:revision>
  <dcterms:created xsi:type="dcterms:W3CDTF">2021-10-19T21:03:00Z</dcterms:created>
  <dcterms:modified xsi:type="dcterms:W3CDTF">2021-10-19T21:03:00Z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