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1" w:name="Tabela_CCB"/>
      <w:bookmarkEnd w:id="1"/>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2"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2"/>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proofErr w:type="spellStart"/>
      <w:r w:rsidR="00200473">
        <w:rPr>
          <w:rFonts w:asciiTheme="minorHAnsi" w:hAnsiTheme="minorHAnsi" w:cstheme="minorHAnsi"/>
        </w:rPr>
        <w:t>Isec</w:t>
      </w:r>
      <w:proofErr w:type="spellEnd"/>
      <w:r w:rsidR="00200473">
        <w:rPr>
          <w:rFonts w:asciiTheme="minorHAnsi" w:hAnsiTheme="minorHAnsi" w:cstheme="minorHAnsi"/>
        </w:rPr>
        <w:t xml:space="preserve">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3"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3"/>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r w:rsidR="006924D6" w:rsidRPr="00223283">
        <w:rPr>
          <w:rFonts w:asciiTheme="minorHAnsi" w:hAnsiTheme="minorHAnsi" w:cstheme="minorHAnsi"/>
        </w:rPr>
        <w:t>213ª, 214ª, 215ª e 216ª</w:t>
      </w:r>
      <w:r w:rsidR="006924D6" w:rsidRPr="004E0ADF">
        <w:rPr>
          <w:rFonts w:ascii="Calibri" w:hAnsi="Calibri" w:cs="Calibri"/>
          <w: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xml:space="preserve">, </w:t>
      </w:r>
      <w:r w:rsidRPr="009203B5">
        <w:rPr>
          <w:rFonts w:asciiTheme="minorHAnsi" w:hAnsiTheme="minorHAnsi" w:cstheme="minorHAnsi"/>
        </w:rPr>
        <w:lastRenderedPageBreak/>
        <w:t>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4"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das proprietárias dos imóveis objeto dos Empreendimentos</w:t>
      </w:r>
      <w:r w:rsidR="00200473">
        <w:rPr>
          <w:rFonts w:asciiTheme="minorHAnsi" w:hAnsiTheme="minorHAnsi" w:cstheme="minorHAnsi"/>
        </w:rPr>
        <w:t xml:space="preserve"> 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Pr>
          <w:rFonts w:asciiTheme="minorHAnsi" w:hAnsiTheme="minorHAnsi" w:cstheme="minorHAnsi"/>
        </w:rPr>
        <w:t>fornecimento do Relatório SCR/BACEN atualizado da 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4"/>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63A02742"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24º (vigésimo quarto) mês, </w:t>
      </w:r>
      <w:r w:rsidR="00E345D1">
        <w:rPr>
          <w:rFonts w:asciiTheme="minorHAnsi" w:hAnsiTheme="minorHAnsi" w:cstheme="minorHAnsi"/>
        </w:rPr>
        <w:t>respeitado um limite máximo de 2 (d</w:t>
      </w:r>
      <w:r w:rsidR="0083628F">
        <w:rPr>
          <w:rFonts w:asciiTheme="minorHAnsi" w:hAnsiTheme="minorHAnsi" w:cstheme="minorHAnsi"/>
        </w:rPr>
        <w:t>uas</w:t>
      </w:r>
      <w:r w:rsidR="00E345D1">
        <w:rPr>
          <w:rFonts w:asciiTheme="minorHAnsi" w:hAnsiTheme="minorHAnsi" w:cstheme="minorHAnsi"/>
        </w:rPr>
        <w:t xml:space="preserve">) </w:t>
      </w:r>
      <w:r w:rsidR="0083628F">
        <w:rPr>
          <w:rFonts w:asciiTheme="minorHAnsi" w:hAnsiTheme="minorHAnsi" w:cstheme="minorHAnsi"/>
        </w:rPr>
        <w:t xml:space="preserve">Amortizações </w:t>
      </w:r>
      <w:r>
        <w:rPr>
          <w:rFonts w:asciiTheme="minorHAnsi" w:hAnsiTheme="minorHAnsi" w:cstheme="minorHAnsi"/>
        </w:rPr>
        <w:t>Antecipadas Facultativas a cada 12 (doze)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correspondente a, no máximo, R$ 1.250.000,00 (um milhão, duzentos e cinquenta mil</w:t>
      </w:r>
      <w:r w:rsidR="009F7A23">
        <w:rPr>
          <w:rFonts w:asciiTheme="minorHAnsi" w:hAnsiTheme="minorHAnsi" w:cstheme="minorHAnsi"/>
        </w:rPr>
        <w:t xml:space="preserve"> reais)</w:t>
      </w:r>
      <w:r w:rsidR="00B94091" w:rsidRPr="00552AD7">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r w:rsidR="006C329F" w:rsidRPr="006C329F">
        <w:rPr>
          <w:rFonts w:asciiTheme="minorHAnsi" w:hAnsiTheme="minorHAnsi" w:cstheme="minorHAnsi"/>
          <w:highlight w:val="yellow"/>
        </w:rPr>
        <w:t xml:space="preserve">Nota Embraed: Não concordamos, temos um grande fluxo de </w:t>
      </w:r>
      <w:proofErr w:type="spellStart"/>
      <w:r w:rsidR="006C329F" w:rsidRPr="006C329F">
        <w:rPr>
          <w:rFonts w:asciiTheme="minorHAnsi" w:hAnsiTheme="minorHAnsi" w:cstheme="minorHAnsi"/>
          <w:highlight w:val="yellow"/>
        </w:rPr>
        <w:t>pré</w:t>
      </w:r>
      <w:proofErr w:type="spellEnd"/>
      <w:r w:rsidR="006C329F" w:rsidRPr="006C329F">
        <w:rPr>
          <w:rFonts w:asciiTheme="minorHAnsi" w:hAnsiTheme="minorHAnsi" w:cstheme="minorHAnsi"/>
          <w:highlight w:val="yellow"/>
        </w:rPr>
        <w:t xml:space="preserve"> pagamentos em nossa carteira, não podemos aguardar até o 24º mês para realizarmos qualquer amortização antecipada. Sugestão: a cada 3 meses</w:t>
      </w:r>
      <w:r w:rsidR="006C329F">
        <w:t>]</w:t>
      </w:r>
      <w:r w:rsidR="001D4405">
        <w:t xml:space="preserve"> </w:t>
      </w:r>
      <w:r w:rsidR="001D4405">
        <w:rPr>
          <w:rFonts w:asciiTheme="minorHAnsi" w:hAnsiTheme="minorHAnsi" w:cstheme="minorHAnsi"/>
        </w:rPr>
        <w:t>[</w:t>
      </w:r>
      <w:r w:rsidR="001D4405" w:rsidRPr="00FF3AF3">
        <w:rPr>
          <w:rFonts w:asciiTheme="minorHAnsi" w:hAnsiTheme="minorHAnsi" w:cstheme="minorHAnsi"/>
          <w:highlight w:val="yellow"/>
        </w:rPr>
        <w:t xml:space="preserve">Nota KLA: </w:t>
      </w:r>
      <w:r w:rsidR="00FF3AF3" w:rsidRPr="00FF3AF3">
        <w:rPr>
          <w:rFonts w:asciiTheme="minorHAnsi" w:hAnsiTheme="minorHAnsi" w:cstheme="minorHAnsi"/>
          <w:highlight w:val="yellow"/>
        </w:rPr>
        <w:t xml:space="preserve">Aguardando definição para </w:t>
      </w:r>
      <w:r w:rsidR="00935597">
        <w:rPr>
          <w:rFonts w:asciiTheme="minorHAnsi" w:hAnsiTheme="minorHAnsi" w:cstheme="minorHAnsi"/>
          <w:highlight w:val="yellow"/>
        </w:rPr>
        <w:t xml:space="preserve">ajuste da redação. Cláusula deverá ser refletida e compatibilizada com </w:t>
      </w:r>
      <w:r w:rsidR="00972005" w:rsidRPr="00FF3AF3">
        <w:rPr>
          <w:rFonts w:asciiTheme="minorHAnsi" w:hAnsiTheme="minorHAnsi" w:cstheme="minorHAnsi"/>
          <w:highlight w:val="yellow"/>
        </w:rPr>
        <w:t>CF de recebíveis</w:t>
      </w:r>
      <w:r w:rsidR="00972005">
        <w:rPr>
          <w:rFonts w:asciiTheme="minorHAnsi" w:hAnsiTheme="minorHAnsi" w:cstheme="minorHAnsi"/>
        </w:rPr>
        <w:t>]</w:t>
      </w:r>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120EF2A2"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r w:rsidR="00306B84">
        <w:rPr>
          <w:rFonts w:asciiTheme="minorHAnsi" w:hAnsiTheme="minorHAnsi" w:cstheme="minorHAnsi"/>
        </w:rPr>
        <w:t xml:space="preserve"> </w:t>
      </w:r>
      <w:r w:rsidR="00972005" w:rsidRPr="00972005">
        <w:rPr>
          <w:rFonts w:asciiTheme="minorHAnsi" w:hAnsiTheme="minorHAnsi" w:cstheme="minorHAnsi"/>
        </w:rPr>
        <w:t>[</w:t>
      </w:r>
      <w:r w:rsidR="00972005" w:rsidRPr="00FF3AF3">
        <w:rPr>
          <w:rFonts w:asciiTheme="minorHAnsi" w:hAnsiTheme="minorHAnsi" w:cstheme="minorHAnsi"/>
          <w:highlight w:val="yellow"/>
        </w:rPr>
        <w:t xml:space="preserve">Nota KLA: modelagem </w:t>
      </w:r>
      <w:r w:rsidR="00935597">
        <w:rPr>
          <w:rFonts w:asciiTheme="minorHAnsi" w:hAnsiTheme="minorHAnsi" w:cstheme="minorHAnsi"/>
          <w:highlight w:val="yellow"/>
        </w:rPr>
        <w:t xml:space="preserve">a ser enviada </w:t>
      </w:r>
      <w:r w:rsidR="00972005" w:rsidRPr="00FF3AF3">
        <w:rPr>
          <w:rFonts w:asciiTheme="minorHAnsi" w:hAnsiTheme="minorHAnsi" w:cstheme="minorHAnsi"/>
          <w:highlight w:val="yellow"/>
        </w:rPr>
        <w:t>pela QAM</w:t>
      </w:r>
      <w:r w:rsidR="00972005" w:rsidRPr="00972005">
        <w:rPr>
          <w:rFonts w:asciiTheme="minorHAnsi" w:hAnsiTheme="minorHAnsi" w:cstheme="minorHAnsi"/>
        </w:rPr>
        <w:t>]</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xml:space="preserve">.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w:t>
      </w:r>
      <w:r w:rsidR="00DC5FEC" w:rsidRPr="009203B5">
        <w:rPr>
          <w:rFonts w:asciiTheme="minorHAnsi" w:hAnsiTheme="minorHAnsi" w:cstheme="minorHAnsi"/>
        </w:rPr>
        <w:lastRenderedPageBreak/>
        <w:t>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5"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5"/>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lastRenderedPageBreak/>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Mensalmente, a partir da primeira parcela de juros remuneratórios, inclusive, caso seja verificada a variação positiva do IPCA/IBGE nas respectivas Datas de Aniversário,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r>
        <w:rPr>
          <w:rFonts w:asciiTheme="minorHAnsi" w:hAnsiTheme="minorHAnsi" w:cstheme="minorHAnsi"/>
        </w:rPr>
        <w:t>AE = SD (C - 1)</w:t>
      </w:r>
    </w:p>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AE = Valor Unitário da Amortização Extraordinária Obrigatório;</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Pr>
          <w:rFonts w:asciiTheme="minorHAnsi" w:hAnsiTheme="minorHAnsi" w:cstheme="minorHAnsi"/>
        </w:rPr>
        <w:t xml:space="preserve">; e </w:t>
      </w:r>
    </w:p>
    <w:p w14:paraId="0A2551F2" w14:textId="77777777" w:rsidR="00AD7308" w:rsidRDefault="00AD7308" w:rsidP="00AD7308">
      <w:pPr>
        <w:spacing w:line="312" w:lineRule="auto"/>
        <w:ind w:right="-176"/>
        <w:jc w:val="both"/>
        <w:rPr>
          <w:rFonts w:asciiTheme="minorHAnsi" w:hAnsiTheme="minorHAnsi" w:cstheme="minorHAnsi"/>
        </w:rPr>
      </w:pPr>
    </w:p>
    <w:p w14:paraId="54C578EB" w14:textId="77777777" w:rsidR="00AD7308" w:rsidRPr="007467D9" w:rsidRDefault="00AD7308" w:rsidP="00AD7308">
      <w:pPr>
        <w:spacing w:line="312" w:lineRule="auto"/>
        <w:ind w:right="-176"/>
        <w:jc w:val="both"/>
        <w:rPr>
          <w:rFonts w:asciiTheme="minorHAnsi" w:hAnsiTheme="minorHAnsi" w:cstheme="minorHAnsi"/>
        </w:rPr>
      </w:pPr>
      <w:r>
        <w:rPr>
          <w:rFonts w:asciiTheme="minorHAnsi" w:hAnsiTheme="minorHAnsi" w:cstheme="minorHAnsi"/>
        </w:rPr>
        <w:t>C = Fator de variação acumulada do IPCA/IBGE, calculado com 8 (oito) casas decimais, sem arredondamento, conforme fórmula prevista no Termo de Securitização.</w:t>
      </w:r>
    </w:p>
    <w:p w14:paraId="01E7896F" w14:textId="77777777" w:rsidR="00AD7308" w:rsidRDefault="00AD7308" w:rsidP="000D42D9">
      <w:pPr>
        <w:shd w:val="clear" w:color="auto" w:fill="FFFFFF"/>
        <w:spacing w:line="312" w:lineRule="auto"/>
        <w:jc w:val="both"/>
        <w:rPr>
          <w:rFonts w:asciiTheme="minorHAnsi" w:hAnsiTheme="minorHAnsi" w:cstheme="minorHAnsi"/>
        </w:rPr>
      </w:pPr>
    </w:p>
    <w:p w14:paraId="3A830926" w14:textId="3C640385"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w:t>
      </w:r>
      <w:r w:rsidR="00AD7308">
        <w:rPr>
          <w:rFonts w:asciiTheme="minorHAnsi" w:hAnsiTheme="minorHAnsi" w:cstheme="minorHAnsi"/>
        </w:rPr>
        <w:t>6</w:t>
      </w:r>
      <w:r w:rsidRPr="009203B5">
        <w:rPr>
          <w:rFonts w:asciiTheme="minorHAnsi" w:hAnsiTheme="minorHAnsi" w:cstheme="minorHAnsi"/>
        </w:rPr>
        <w:t>.</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758EAFBF"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9987950" w:rsidR="00F74948" w:rsidRPr="009203B5" w:rsidRDefault="00F74948" w:rsidP="000D42D9">
      <w:pPr>
        <w:shd w:val="clear" w:color="auto" w:fill="FFFFFF"/>
        <w:spacing w:line="312" w:lineRule="auto"/>
        <w:jc w:val="both"/>
        <w:rPr>
          <w:rFonts w:asciiTheme="minorHAnsi" w:hAnsiTheme="minorHAnsi" w:cstheme="minorHAnsi"/>
          <w:b/>
          <w:bCs/>
          <w:i/>
          <w:iCs/>
          <w:color w:val="222222"/>
        </w:rPr>
      </w:pPr>
      <w:r w:rsidRPr="009203B5">
        <w:rPr>
          <w:rFonts w:asciiTheme="minorHAnsi" w:hAnsiTheme="minorHAnsi" w:cstheme="minorHAnsi"/>
          <w:color w:val="222222"/>
        </w:rPr>
        <w:lastRenderedPageBreak/>
        <w:t>AMi = Valor unitário da i-ésima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3499532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3C60FB00"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TAi = Taxa de Amortização i-ésima,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w:t>
      </w:r>
      <w:r w:rsidRPr="009203B5">
        <w:rPr>
          <w:rFonts w:asciiTheme="minorHAnsi" w:hAnsiTheme="minorHAnsi" w:cstheme="minorHAnsi"/>
        </w:rPr>
        <w:lastRenderedPageBreak/>
        <w:t>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6"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4951AB07"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4FD3375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r w:rsidR="00EF12F1" w:rsidRPr="00EF12F1">
        <w:rPr>
          <w:rFonts w:asciiTheme="minorHAnsi" w:hAnsiTheme="minorHAnsi" w:cstheme="minorHAnsi"/>
        </w:rPr>
        <w:t>[</w:t>
      </w:r>
      <w:r w:rsidR="00FF3AF3" w:rsidRPr="00FF3AF3">
        <w:rPr>
          <w:rFonts w:asciiTheme="minorHAnsi" w:hAnsiTheme="minorHAnsi" w:cstheme="minorHAnsi"/>
          <w:highlight w:val="yellow"/>
        </w:rPr>
        <w:t>Nota KLA: aguardando retorno da QAM quanto ao threshold</w:t>
      </w:r>
      <w:r w:rsidR="00FF3AF3">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w:t>
      </w:r>
      <w:r w:rsidR="00274162" w:rsidRPr="00274162">
        <w:rPr>
          <w:rFonts w:asciiTheme="minorHAnsi" w:hAnsiTheme="minorHAnsi" w:cstheme="minorHAnsi"/>
        </w:rPr>
        <w:lastRenderedPageBreak/>
        <w:t xml:space="preserve">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xml:space="preserve">”) </w:t>
      </w:r>
      <w:r w:rsidRPr="002C5365">
        <w:rPr>
          <w:rFonts w:asciiTheme="minorHAnsi" w:hAnsiTheme="minorHAnsi" w:cstheme="minorHAnsi"/>
        </w:rPr>
        <w:lastRenderedPageBreak/>
        <w:t>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58E8329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w:t>
      </w:r>
      <w:r w:rsidRPr="002C5365">
        <w:rPr>
          <w:rFonts w:asciiTheme="minorHAnsi" w:hAnsiTheme="minorHAnsi" w:cstheme="minorHAnsi"/>
        </w:rPr>
        <w:lastRenderedPageBreak/>
        <w:t>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6EDC482A"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r w:rsidR="00990681">
        <w:rPr>
          <w:rFonts w:asciiTheme="minorHAnsi" w:hAnsiTheme="minorHAnsi" w:cstheme="minorHAnsi"/>
        </w:rPr>
        <w:t>[</w:t>
      </w:r>
      <w:r w:rsidRPr="00917F00">
        <w:rPr>
          <w:rFonts w:asciiTheme="minorHAnsi" w:hAnsiTheme="minorHAnsi" w:cstheme="minorHAnsi"/>
          <w:highlight w:val="yellow"/>
        </w:rPr>
        <w:t>60% (sessenta por cento)</w:t>
      </w:r>
      <w:r w:rsidR="00990681">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sidR="00162353" w:rsidRPr="002C5365">
        <w:rPr>
          <w:rFonts w:asciiTheme="minorHAnsi" w:hAnsiTheme="minorHAnsi" w:cstheme="minorHAnsi"/>
        </w:rPr>
        <w:t xml:space="preserve"> </w:t>
      </w:r>
      <w:r w:rsidR="00917F00">
        <w:rPr>
          <w:rFonts w:asciiTheme="minorHAnsi" w:hAnsiTheme="minorHAnsi" w:cstheme="minorHAnsi"/>
        </w:rPr>
        <w:t>[</w:t>
      </w:r>
      <w:r w:rsidR="00917F00" w:rsidRPr="00990681">
        <w:rPr>
          <w:rFonts w:asciiTheme="minorHAnsi" w:hAnsiTheme="minorHAnsi" w:cstheme="minorHAnsi"/>
          <w:highlight w:val="yellow"/>
        </w:rPr>
        <w:t xml:space="preserve">Nota KLA: </w:t>
      </w:r>
      <w:r w:rsidR="00990681" w:rsidRPr="00990681">
        <w:rPr>
          <w:rFonts w:asciiTheme="minorHAnsi" w:hAnsiTheme="minorHAnsi" w:cstheme="minorHAnsi"/>
          <w:highlight w:val="yellow"/>
        </w:rPr>
        <w:t>QAM</w:t>
      </w:r>
      <w:r w:rsidR="00917F00" w:rsidRPr="00990681">
        <w:rPr>
          <w:rFonts w:asciiTheme="minorHAnsi" w:hAnsiTheme="minorHAnsi" w:cstheme="minorHAnsi"/>
          <w:highlight w:val="yellow"/>
        </w:rPr>
        <w:t xml:space="preserve"> irá confirmar o percentual</w:t>
      </w:r>
      <w:r w:rsidR="00990681">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houver distribuição e/ou pagamento pela Emitente, de dividendos, juros sobre o capital próprio ou quaisquer outras distribuições de lucros aos acionistas da Emitente, exceto pelos </w:t>
      </w:r>
      <w:r w:rsidRPr="002C5365">
        <w:rPr>
          <w:rFonts w:asciiTheme="minorHAnsi" w:hAnsiTheme="minorHAnsi" w:cstheme="minorHAnsi"/>
        </w:rPr>
        <w:lastRenderedPageBreak/>
        <w:t>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5474987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1CEAF261"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98402B">
        <w:rPr>
          <w:rFonts w:asciiTheme="minorHAnsi" w:hAnsiTheme="minorHAnsi" w:cstheme="minorHAnsi"/>
        </w:rPr>
        <w:t>[</w:t>
      </w:r>
      <w:r w:rsidR="00306B84" w:rsidRPr="0098402B">
        <w:rPr>
          <w:rFonts w:asciiTheme="minorHAnsi" w:hAnsiTheme="minorHAnsi" w:cstheme="minorHAnsi"/>
          <w:highlight w:val="yellow"/>
        </w:rPr>
        <w:t>05 (cinco) Dias Úteis</w:t>
      </w:r>
      <w:r w:rsidR="0098402B">
        <w:rPr>
          <w:rFonts w:asciiTheme="minorHAnsi" w:hAnsiTheme="minorHAnsi" w:cstheme="minorHAnsi"/>
        </w:rPr>
        <w:t>]</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Pr>
          <w:rFonts w:asciiTheme="minorHAnsi" w:hAnsiTheme="minorHAnsi" w:cstheme="minorHAnsi"/>
          <w:highlight w:val="yellow"/>
        </w:rPr>
        <w:t>aguardando</w:t>
      </w:r>
      <w:r w:rsidR="00D7432F" w:rsidRPr="0098402B">
        <w:rPr>
          <w:rFonts w:asciiTheme="minorHAnsi" w:hAnsiTheme="minorHAnsi" w:cstheme="minorHAnsi"/>
          <w:highlight w:val="yellow"/>
        </w:rPr>
        <w:t xml:space="preserve"> confirmação</w:t>
      </w:r>
      <w:r w:rsidR="0098402B">
        <w:rPr>
          <w:rFonts w:asciiTheme="minorHAnsi" w:hAnsiTheme="minorHAnsi" w:cstheme="minorHAnsi"/>
          <w:highlight w:val="yellow"/>
        </w:rPr>
        <w:t xml:space="preserve"> para inclusão do</w:t>
      </w:r>
      <w:r w:rsidR="00D7432F" w:rsidRPr="0098402B">
        <w:rPr>
          <w:rFonts w:asciiTheme="minorHAnsi" w:hAnsiTheme="minorHAnsi" w:cstheme="minorHAnsi"/>
          <w:highlight w:val="yellow"/>
        </w:rPr>
        <w:t xml:space="preserve"> prazo de 5 dias</w:t>
      </w:r>
      <w:r w:rsidR="00D7432F">
        <w:rPr>
          <w:rFonts w:asciiTheme="minorHAnsi" w:hAnsiTheme="minorHAnsi" w:cstheme="minorHAnsi"/>
        </w:rPr>
        <w:t>]</w:t>
      </w:r>
    </w:p>
    <w:bookmarkEnd w:id="6"/>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lastRenderedPageBreak/>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w:t>
      </w:r>
      <w:r w:rsidRPr="009E7E14">
        <w:rPr>
          <w:rFonts w:asciiTheme="minorHAnsi" w:hAnsiTheme="minorHAnsi" w:cstheme="minorHAnsi"/>
        </w:rPr>
        <w:lastRenderedPageBreak/>
        <w:t xml:space="preserve">(dez)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 xml:space="preserve">em prejuízo das disposições anteriores, a Emitente deverá prestar declaração, com periodicidade anual e na forma do modelo disposto no Anexo V da presente Cédula, </w:t>
      </w:r>
      <w:r w:rsidRPr="00605386">
        <w:rPr>
          <w:rFonts w:asciiTheme="minorHAnsi" w:hAnsiTheme="minorHAnsi" w:cstheme="minorHAnsi"/>
        </w:rPr>
        <w:lastRenderedPageBreak/>
        <w:t>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w:t>
      </w:r>
      <w:r w:rsidRPr="00435032">
        <w:rPr>
          <w:rFonts w:asciiTheme="minorHAnsi" w:hAnsiTheme="minorHAnsi"/>
        </w:rPr>
        <w:lastRenderedPageBreak/>
        <w:t>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7"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7"/>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8"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8"/>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48BBCA41" w14:textId="77777777" w:rsidR="00435032" w:rsidRDefault="00435032" w:rsidP="00CD1C36">
      <w:pPr>
        <w:spacing w:line="312" w:lineRule="auto"/>
        <w:jc w:val="both"/>
        <w:rPr>
          <w:rFonts w:asciiTheme="minorHAnsi" w:hAnsiTheme="minorHAnsi" w:cstheme="minorHAnsi"/>
          <w:spacing w:val="-3"/>
        </w:rPr>
      </w:pP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xml:space="preserve">, inclusive acerca da destinação de </w:t>
      </w:r>
      <w:r w:rsidR="0017673D" w:rsidRPr="00FF2BC0">
        <w:rPr>
          <w:rFonts w:asciiTheme="minorHAnsi" w:hAnsiTheme="minorHAnsi" w:cstheme="minorHAnsi"/>
        </w:rPr>
        <w:lastRenderedPageBreak/>
        <w:t>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697F721D"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w:t>
      </w:r>
      <w:r w:rsidR="0026140C" w:rsidRPr="008E5105">
        <w:rPr>
          <w:rFonts w:asciiTheme="minorHAnsi" w:hAnsiTheme="minorHAnsi" w:cstheme="minorHAnsi"/>
          <w:color w:val="000000"/>
        </w:rPr>
        <w:lastRenderedPageBreak/>
        <w:t xml:space="preserve">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w:t>
      </w:r>
      <w:r w:rsidRPr="009203B5">
        <w:rPr>
          <w:rFonts w:asciiTheme="minorHAnsi" w:hAnsiTheme="minorHAnsi" w:cstheme="minorHAnsi"/>
          <w:szCs w:val="24"/>
        </w:rPr>
        <w:lastRenderedPageBreak/>
        <w:t>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9" w:name="_DV_M76"/>
      <w:bookmarkStart w:id="10" w:name="_DV_M149"/>
      <w:bookmarkStart w:id="11" w:name="_DV_M150"/>
      <w:bookmarkStart w:id="12" w:name="_DV_M151"/>
      <w:bookmarkStart w:id="13" w:name="_DV_M152"/>
      <w:bookmarkStart w:id="14" w:name="_DV_M154"/>
      <w:bookmarkStart w:id="15" w:name="_DV_M194"/>
      <w:bookmarkStart w:id="16" w:name="_DV_M195"/>
      <w:bookmarkStart w:id="17" w:name="_DV_M196"/>
      <w:bookmarkStart w:id="18" w:name="_DV_M197"/>
      <w:bookmarkStart w:id="19" w:name="_DV_M198"/>
      <w:bookmarkStart w:id="20" w:name="_DV_M199"/>
      <w:bookmarkStart w:id="21" w:name="_DV_M200"/>
      <w:bookmarkStart w:id="22" w:name="_DV_M201"/>
      <w:bookmarkStart w:id="23" w:name="_DV_M202"/>
      <w:bookmarkStart w:id="24" w:name="_DV_M2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heme="minorHAnsi" w:eastAsia="Century Gothic,Arial" w:hAnsiTheme="minorHAnsi" w:cstheme="minorHAnsi"/>
          <w:u w:val="single"/>
        </w:rPr>
        <w:t>11.3</w:t>
      </w:r>
      <w:r>
        <w:rPr>
          <w:rFonts w:asciiTheme="minorHAnsi" w:eastAsia="Century Gothic,Arial" w:hAnsiTheme="minorHAnsi" w:cstheme="minorHAnsi"/>
          <w:u w:val="single"/>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w:t>
      </w:r>
      <w:r w:rsidR="009F6421" w:rsidRPr="009203B5">
        <w:rPr>
          <w:rFonts w:asciiTheme="minorHAnsi" w:hAnsiTheme="minorHAnsi" w:cstheme="minorHAnsi"/>
        </w:rPr>
        <w:lastRenderedPageBreak/>
        <w:t>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25"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4" w:history="1">
        <w:r w:rsidR="009122B0" w:rsidRPr="003469FD">
          <w:rPr>
            <w:rStyle w:val="Hyperlink"/>
            <w:rFonts w:asciiTheme="minorHAnsi" w:hAnsiTheme="minorHAnsi" w:cstheme="minorHAnsi"/>
            <w:lang w:eastAsia="pt-BR"/>
          </w:rPr>
          <w:t>oscar@embraed.com.br</w:t>
        </w:r>
      </w:hyperlink>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r w:rsidR="00CB2699">
        <w:rPr>
          <w:rFonts w:asciiTheme="minorHAnsi" w:hAnsiTheme="minorHAnsi" w:cstheme="minorHAnsi"/>
        </w:rPr>
        <w:t xml:space="preserve"> </w:t>
      </w:r>
    </w:p>
    <w:bookmarkEnd w:id="25"/>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26"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lastRenderedPageBreak/>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26"/>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.5</w:t>
      </w:r>
      <w:bookmarkStart w:id="27" w:name="_GoBack"/>
      <w:bookmarkEnd w:id="27"/>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2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28"/>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29"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29"/>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0"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30"/>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1"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31"/>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2"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32"/>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33" w:name="_Hlk65002881"/>
      <w:r w:rsidRPr="009203B5">
        <w:rPr>
          <w:rFonts w:asciiTheme="minorHAnsi" w:hAnsiTheme="minorHAnsi" w:cstheme="minorHAnsi"/>
          <w:szCs w:val="24"/>
        </w:rPr>
        <w:t>de acordo com os seus termos</w:t>
      </w:r>
      <w:bookmarkEnd w:id="33"/>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34"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34"/>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5"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35"/>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6" w:name="_Hlk65003159"/>
      <w:r w:rsidRPr="009203B5">
        <w:rPr>
          <w:rFonts w:asciiTheme="minorHAnsi" w:hAnsiTheme="minorHAnsi" w:cstheme="minorHAnsi"/>
          <w:szCs w:val="24"/>
        </w:rPr>
        <w:lastRenderedPageBreak/>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36"/>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7"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37"/>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8"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38"/>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39" w:name="_Hlk65003478"/>
      <w:r w:rsidR="00084858" w:rsidRPr="009203B5">
        <w:rPr>
          <w:rFonts w:asciiTheme="minorHAnsi" w:hAnsiTheme="minorHAnsi" w:cstheme="minorHAnsi"/>
        </w:rPr>
        <w:t>A presente Cédula somente poderá ser alterada mediante aditivo próprio devidamente assinado pelas Partes</w:t>
      </w:r>
      <w:bookmarkEnd w:id="39"/>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40"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40"/>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a contar da data de integralização e as demais a serem pagas </w:t>
      </w:r>
      <w:r w:rsidR="0017673D">
        <w:rPr>
          <w:rFonts w:asciiTheme="minorHAnsi" w:hAnsiTheme="minorHAnsi" w:cstheme="minorHAnsi"/>
        </w:rPr>
        <w:t>no dia 15 (quinze) do mesmo mês de emissão da primeira fatura nos</w:t>
      </w:r>
      <w:r w:rsidRPr="009203B5">
        <w:rPr>
          <w:rFonts w:asciiTheme="minorHAnsi" w:hAnsiTheme="minorHAnsi" w:cstheme="minorHAnsi"/>
        </w:rPr>
        <w:t xml:space="preserve"> anos subsequentes até o resgate total dos CRI.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BC0E73" w:rsidRDefault="00BC0E73">
      <w:r>
        <w:separator/>
      </w:r>
    </w:p>
    <w:p w14:paraId="4C58538D" w14:textId="77777777" w:rsidR="00BC0E73" w:rsidRDefault="00BC0E73"/>
    <w:p w14:paraId="738A33BE" w14:textId="77777777" w:rsidR="00BC0E73" w:rsidRDefault="00BC0E73"/>
  </w:endnote>
  <w:endnote w:type="continuationSeparator" w:id="0">
    <w:p w14:paraId="6B48B9C8" w14:textId="77777777" w:rsidR="00BC0E73" w:rsidRDefault="00BC0E73">
      <w:r>
        <w:continuationSeparator/>
      </w:r>
    </w:p>
    <w:p w14:paraId="600C1581" w14:textId="77777777" w:rsidR="00BC0E73" w:rsidRDefault="00BC0E73"/>
    <w:p w14:paraId="4AA1ECC6" w14:textId="77777777" w:rsidR="00BC0E73" w:rsidRDefault="00BC0E73"/>
  </w:endnote>
  <w:endnote w:type="continuationNotice" w:id="1">
    <w:p w14:paraId="033D02C9" w14:textId="77777777" w:rsidR="00BC0E73" w:rsidRDefault="00BC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BC0E73" w:rsidRDefault="00BC0E73" w:rsidP="00994218">
    <w:pPr>
      <w:pStyle w:val="Rodap"/>
      <w:ind w:right="360"/>
      <w:jc w:val="both"/>
      <w:rPr>
        <w:rFonts w:ascii="Trebuchet MS" w:hAnsi="Trebuchet MS" w:cstheme="minorHAnsi"/>
        <w:sz w:val="18"/>
        <w:szCs w:val="20"/>
      </w:rPr>
    </w:pPr>
  </w:p>
  <w:p w14:paraId="1EE9AB0A" w14:textId="7E65937B" w:rsidR="00BC0E73" w:rsidRPr="00912AFE" w:rsidRDefault="00BC0E73"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BC0E73" w:rsidRPr="00912AFE" w:rsidRDefault="00BC0E73" w:rsidP="008738D4">
    <w:pPr>
      <w:pStyle w:val="Rodap"/>
      <w:ind w:right="360"/>
      <w:jc w:val="right"/>
      <w:rPr>
        <w:sz w:val="20"/>
        <w:szCs w:val="20"/>
      </w:rPr>
    </w:pPr>
  </w:p>
  <w:p w14:paraId="6881CDD7" w14:textId="4DA56B27" w:rsidR="00BC0E73" w:rsidRPr="00741FE4" w:rsidRDefault="00F333D9"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BC0E73" w:rsidRPr="00912AFE">
          <w:rPr>
            <w:bCs/>
            <w:sz w:val="20"/>
            <w:szCs w:val="20"/>
          </w:rPr>
          <w:fldChar w:fldCharType="begin"/>
        </w:r>
        <w:r w:rsidR="00BC0E73" w:rsidRPr="00912AFE">
          <w:rPr>
            <w:bCs/>
            <w:sz w:val="20"/>
            <w:szCs w:val="20"/>
          </w:rPr>
          <w:instrText>PAGE</w:instrText>
        </w:r>
        <w:r w:rsidR="00BC0E73" w:rsidRPr="00912AFE">
          <w:rPr>
            <w:bCs/>
            <w:sz w:val="20"/>
            <w:szCs w:val="20"/>
          </w:rPr>
          <w:fldChar w:fldCharType="separate"/>
        </w:r>
        <w:r w:rsidR="00BC0E73" w:rsidRPr="00912AFE">
          <w:rPr>
            <w:bCs/>
            <w:noProof/>
            <w:sz w:val="20"/>
            <w:szCs w:val="20"/>
          </w:rPr>
          <w:t>19</w:t>
        </w:r>
        <w:r w:rsidR="00BC0E73" w:rsidRPr="00912AFE">
          <w:rPr>
            <w:bCs/>
            <w:sz w:val="20"/>
            <w:szCs w:val="20"/>
          </w:rPr>
          <w:fldChar w:fldCharType="end"/>
        </w:r>
        <w:r w:rsidR="00BC0E73" w:rsidRPr="00912AFE">
          <w:rPr>
            <w:sz w:val="20"/>
            <w:szCs w:val="20"/>
          </w:rPr>
          <w:t xml:space="preserve"> / </w:t>
        </w:r>
        <w:r w:rsidR="00BC0E73" w:rsidRPr="00912AFE">
          <w:rPr>
            <w:bCs/>
            <w:sz w:val="20"/>
            <w:szCs w:val="20"/>
          </w:rPr>
          <w:fldChar w:fldCharType="begin"/>
        </w:r>
        <w:r w:rsidR="00BC0E73" w:rsidRPr="00912AFE">
          <w:rPr>
            <w:bCs/>
            <w:sz w:val="20"/>
            <w:szCs w:val="20"/>
          </w:rPr>
          <w:instrText>NUMPAGES</w:instrText>
        </w:r>
        <w:r w:rsidR="00BC0E73" w:rsidRPr="00912AFE">
          <w:rPr>
            <w:bCs/>
            <w:sz w:val="20"/>
            <w:szCs w:val="20"/>
          </w:rPr>
          <w:fldChar w:fldCharType="separate"/>
        </w:r>
        <w:r w:rsidR="00BC0E73" w:rsidRPr="00912AFE">
          <w:rPr>
            <w:bCs/>
            <w:noProof/>
            <w:sz w:val="20"/>
            <w:szCs w:val="20"/>
          </w:rPr>
          <w:t>55</w:t>
        </w:r>
        <w:r w:rsidR="00BC0E73"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BC0E73" w:rsidRDefault="00BC0E73">
      <w:r>
        <w:separator/>
      </w:r>
    </w:p>
    <w:p w14:paraId="676C00AD" w14:textId="77777777" w:rsidR="00BC0E73" w:rsidRDefault="00BC0E73"/>
    <w:p w14:paraId="3562ECD3" w14:textId="77777777" w:rsidR="00BC0E73" w:rsidRDefault="00BC0E73"/>
  </w:footnote>
  <w:footnote w:type="continuationSeparator" w:id="0">
    <w:p w14:paraId="75338C1D" w14:textId="77777777" w:rsidR="00BC0E73" w:rsidRDefault="00BC0E73">
      <w:r>
        <w:continuationSeparator/>
      </w:r>
    </w:p>
    <w:p w14:paraId="55931CFC" w14:textId="77777777" w:rsidR="00BC0E73" w:rsidRDefault="00BC0E73"/>
    <w:p w14:paraId="07CBD17B" w14:textId="77777777" w:rsidR="00BC0E73" w:rsidRDefault="00BC0E73"/>
  </w:footnote>
  <w:footnote w:type="continuationNotice" w:id="1">
    <w:p w14:paraId="1E156ECC" w14:textId="77777777" w:rsidR="00BC0E73" w:rsidRDefault="00BC0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BC0E73" w:rsidRDefault="00F333D9">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BC0E73" w:rsidRDefault="00BC0E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BC0E73" w:rsidRPr="008824C0" w:rsidRDefault="00BC0E73"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054907A4" w:rsidR="00BC0E73" w:rsidRPr="008824C0" w:rsidRDefault="00BC0E73" w:rsidP="00457211">
    <w:pPr>
      <w:tabs>
        <w:tab w:val="center" w:pos="4252"/>
        <w:tab w:val="right" w:pos="8504"/>
      </w:tabs>
      <w:jc w:val="right"/>
      <w:rPr>
        <w:rFonts w:asciiTheme="minorHAnsi" w:hAnsiTheme="minorHAnsi"/>
        <w:i/>
        <w:lang w:eastAsia="pt-BR"/>
      </w:rPr>
    </w:pPr>
    <w:r>
      <w:rPr>
        <w:rFonts w:asciiTheme="minorHAnsi" w:hAnsiTheme="minorHAnsi"/>
        <w:i/>
        <w:lang w:eastAsia="pt-BR"/>
      </w:rPr>
      <w:t>09.03</w:t>
    </w:r>
    <w:r w:rsidRPr="008824C0">
      <w:rPr>
        <w:rFonts w:asciiTheme="minorHAnsi" w:hAnsiTheme="minorHAnsi"/>
        <w:i/>
        <w:lang w:eastAsia="pt-BR"/>
      </w:rPr>
      <w:t>.2021</w:t>
    </w:r>
  </w:p>
  <w:p w14:paraId="2E455E26" w14:textId="5C6D0FBD" w:rsidR="00BC0E73" w:rsidRPr="009203B5" w:rsidRDefault="00BC0E73"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BC0E73" w:rsidRDefault="00F333D9">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scar@embraed.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43B14-DFDD-4620-9440-17994AF9FBA1}">
  <ds:schemaRefs>
    <ds:schemaRef ds:uri="http://schemas.openxmlformats.org/officeDocument/2006/bibliography"/>
  </ds:schemaRefs>
</ds:datastoreItem>
</file>

<file path=customXml/itemProps4.xml><?xml version="1.0" encoding="utf-8"?>
<ds:datastoreItem xmlns:ds="http://schemas.openxmlformats.org/officeDocument/2006/customXml" ds:itemID="{85813855-E64D-41DB-B9CE-925C9AD0AA94}">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1F0C1757-C3A6-4423-A18B-24B045AB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48</Pages>
  <Words>14151</Words>
  <Characters>80003</Characters>
  <Application>Microsoft Office Word</Application>
  <DocSecurity>0</DocSecurity>
  <Lines>666</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93967</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7</cp:revision>
  <cp:lastPrinted>2018-06-23T02:44:00Z</cp:lastPrinted>
  <dcterms:created xsi:type="dcterms:W3CDTF">2021-03-09T21:23:00Z</dcterms:created>
  <dcterms:modified xsi:type="dcterms:W3CDTF">2021-03-09T22:41:00Z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1548956793</vt:i4>
  </property>
  <property fmtid="{D5CDD505-2E9C-101B-9397-08002B2CF9AE}" pid="8" name="_NewReviewCycle">
    <vt:lpwstr/>
  </property>
  <property fmtid="{D5CDD505-2E9C-101B-9397-08002B2CF9AE}" pid="9" name="_EmailSubject">
    <vt:lpwstr>CRI Embraed | Minutas CCB e CF Recebíveis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1422917422</vt:i4>
  </property>
</Properties>
</file>