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265769CC"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r w:rsidR="00DA20E8">
              <w:rPr>
                <w:rFonts w:asciiTheme="minorHAnsi" w:hAnsiTheme="minorHAnsi" w:cstheme="minorHAnsi"/>
              </w:rPr>
              <w:t>[</w:t>
            </w:r>
            <w:r w:rsidR="00DA20E8" w:rsidRPr="00DA20E8">
              <w:rPr>
                <w:rFonts w:asciiTheme="minorHAnsi" w:hAnsiTheme="minorHAnsi" w:cstheme="minorHAnsi"/>
                <w:highlight w:val="yellow"/>
              </w:rPr>
              <w:t>Nota ISEC: Ok para o prazo</w:t>
            </w:r>
            <w:r w:rsidR="00DA20E8">
              <w:rPr>
                <w:rFonts w:asciiTheme="minorHAnsi" w:hAnsiTheme="minorHAnsi" w:cstheme="minorHAnsi"/>
              </w:rPr>
              <w:t>]</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73974855"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r w:rsidR="00CB7893">
              <w:rPr>
                <w:rFonts w:asciiTheme="minorHAnsi" w:hAnsiTheme="minorHAnsi" w:cstheme="minorHAnsi"/>
              </w:rPr>
              <w:t>[</w:t>
            </w:r>
            <w:r w:rsidR="00CB7893" w:rsidRPr="00CB7893">
              <w:rPr>
                <w:rFonts w:asciiTheme="minorHAnsi" w:hAnsiTheme="minorHAnsi" w:cstheme="minorHAnsi"/>
                <w:highlight w:val="yellow"/>
              </w:rPr>
              <w:t>Nota QAM: 360 x 6 anos</w:t>
            </w:r>
            <w:r w:rsidR="00CB7893">
              <w:rPr>
                <w:rFonts w:asciiTheme="minorHAnsi" w:hAnsiTheme="minorHAnsi" w:cstheme="minorHAnsi"/>
              </w:rPr>
              <w:t>]</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sidR="00DA20E8">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546620AC"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D66EBC" w:rsidRPr="009C2D59">
        <w:rPr>
          <w:rFonts w:ascii="Calibri" w:hAnsi="Calibri" w:cs="Calibri"/>
          <w:sz w:val="22"/>
          <w:szCs w:val="22"/>
          <w:highlight w:val="yellow"/>
        </w:rPr>
        <w:t>[•]</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r w:rsidR="00AE5245">
        <w:rPr>
          <w:rFonts w:asciiTheme="minorHAnsi" w:hAnsiTheme="minorHAnsi" w:cstheme="minorHAnsi"/>
        </w:rPr>
        <w:t xml:space="preserve"> </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1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w:t>
      </w:r>
      <w:r w:rsidR="00381C90" w:rsidRPr="009203B5">
        <w:rPr>
          <w:rFonts w:asciiTheme="minorHAnsi" w:hAnsiTheme="minorHAnsi" w:cstheme="minorHAnsi"/>
        </w:rPr>
        <w:lastRenderedPageBreak/>
        <w:t xml:space="preserve">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3" w:name="_Hlk66699624"/>
      <w:r>
        <w:rPr>
          <w:rFonts w:asciiTheme="minorHAnsi" w:hAnsiTheme="minorHAnsi" w:cstheme="minorHAnsi"/>
        </w:rPr>
        <w:t xml:space="preserve">fornecimento do Relatório SCR/BACEN atualizado da </w:t>
      </w:r>
      <w:bookmarkEnd w:id="1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4"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4"/>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5"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5"/>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6"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6"/>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22ABFE1B"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r w:rsidR="00CB7893">
        <w:rPr>
          <w:rFonts w:asciiTheme="minorHAnsi" w:hAnsiTheme="minorHAnsi" w:cstheme="minorHAnsi"/>
        </w:rPr>
        <w:t>[</w:t>
      </w:r>
      <w:r w:rsidR="00CB7893" w:rsidRPr="00CB7893">
        <w:rPr>
          <w:rFonts w:asciiTheme="minorHAnsi" w:hAnsiTheme="minorHAnsi" w:cstheme="minorHAnsi"/>
          <w:highlight w:val="yellow"/>
        </w:rPr>
        <w:t>Nota QAM: Foi acordado que a cada 1 ano poderá ser realizado o pré-pagamento a um montante de, no máximo, 20%. Favor ajustar</w:t>
      </w:r>
      <w:r w:rsidR="00CB7893">
        <w:rPr>
          <w:rFonts w:asciiTheme="minorHAnsi" w:hAnsiTheme="minorHAnsi" w:cstheme="minorHAnsi"/>
        </w:rPr>
        <w:t>]</w:t>
      </w:r>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64241C59" w:rsidR="00B46CF0" w:rsidRDefault="00DA20E8" w:rsidP="00B46CF0">
      <w:pPr>
        <w:spacing w:line="312" w:lineRule="auto"/>
        <w:ind w:right="-176"/>
        <w:jc w:val="both"/>
        <w:rPr>
          <w:rFonts w:asciiTheme="minorHAnsi" w:hAnsiTheme="minorHAnsi" w:cstheme="minorHAnsi"/>
        </w:rPr>
      </w:pPr>
      <w:r>
        <w:rPr>
          <w:rFonts w:asciiTheme="minorHAnsi" w:hAnsiTheme="minorHAnsi" w:cstheme="minorHAnsi"/>
        </w:rPr>
        <w:t>[</w:t>
      </w:r>
      <w:r w:rsidRPr="00DA20E8">
        <w:rPr>
          <w:rFonts w:asciiTheme="minorHAnsi" w:hAnsiTheme="minorHAnsi" w:cstheme="minorHAnsi"/>
          <w:highlight w:val="yellow"/>
        </w:rPr>
        <w:t>Nota ISEC: prever que a Amex deverá ser realizada em uma Data de Pagamento</w:t>
      </w:r>
      <w:r>
        <w:rPr>
          <w:rFonts w:asciiTheme="minorHAnsi" w:hAnsiTheme="minorHAnsi" w:cstheme="minorHAnsi"/>
        </w:rPr>
        <w:t>]</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7"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17"/>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7DF37F01" w:rsidR="009D74F1" w:rsidRPr="009203B5" w:rsidRDefault="00071A19" w:rsidP="000D42D9">
      <w:pPr>
        <w:tabs>
          <w:tab w:val="left" w:pos="993"/>
          <w:tab w:val="left" w:pos="1276"/>
        </w:tabs>
        <w:spacing w:line="312" w:lineRule="auto"/>
        <w:ind w:left="567"/>
        <w:jc w:val="both"/>
        <w:rPr>
          <w:rFonts w:asciiTheme="minorHAnsi" w:hAnsiTheme="minorHAnsi" w:cstheme="minorHAnsi"/>
        </w:rPr>
      </w:pPr>
      <w:r>
        <w:rPr>
          <w:rFonts w:asciiTheme="minorHAnsi" w:hAnsiTheme="minorHAnsi" w:cstheme="minorHAnsi"/>
        </w:rPr>
        <w:t>[</w:t>
      </w:r>
      <w:r w:rsidRPr="00071A19">
        <w:rPr>
          <w:rFonts w:asciiTheme="minorHAnsi" w:hAnsiTheme="minorHAnsi" w:cstheme="minorHAnsi"/>
          <w:highlight w:val="yellow"/>
        </w:rPr>
        <w:t>Nota Isec: Excluímos porque, como estamos usando o IPCA do segundo mês anterior, teremos aplicação direta da hipótese prevista abaixo</w:t>
      </w:r>
      <w:r>
        <w:rPr>
          <w:rFonts w:asciiTheme="minorHAnsi" w:hAnsiTheme="minorHAnsi" w:cstheme="minorHAnsi"/>
        </w:rPr>
        <w:t>]</w:t>
      </w:r>
      <w:r w:rsidR="00CB7893">
        <w:rPr>
          <w:rFonts w:asciiTheme="minorHAnsi" w:hAnsiTheme="minorHAnsi" w:cstheme="minorHAnsi"/>
        </w:rPr>
        <w:t xml:space="preserve"> [</w:t>
      </w:r>
      <w:r w:rsidR="00CB7893" w:rsidRPr="00CB7893">
        <w:rPr>
          <w:rFonts w:asciiTheme="minorHAnsi" w:hAnsiTheme="minorHAnsi" w:cstheme="minorHAnsi"/>
          <w:highlight w:val="yellow"/>
        </w:rPr>
        <w:t>Nota QAM: Isec, favor esclarecer a exclusão das cláusulas, tendo em vista que na versão final de nossa última Operação não houve essa modificação e a dinâmica foi a mesma</w:t>
      </w:r>
      <w:r w:rsidR="00CB7893">
        <w:rPr>
          <w:rFonts w:asciiTheme="minorHAnsi" w:hAnsiTheme="minorHAnsi" w:cstheme="minorHAnsi"/>
        </w:rPr>
        <w:t>]</w:t>
      </w:r>
      <w:r w:rsidR="00DA20E8">
        <w:rPr>
          <w:rFonts w:asciiTheme="minorHAnsi" w:hAnsiTheme="minorHAnsi" w:cstheme="minorHAnsi"/>
        </w:rPr>
        <w:t xml:space="preserve"> [</w:t>
      </w:r>
      <w:r w:rsidR="00DA20E8" w:rsidRPr="00DA20E8">
        <w:rPr>
          <w:rFonts w:asciiTheme="minorHAnsi" w:hAnsiTheme="minorHAnsi" w:cstheme="minorHAnsi"/>
          <w:highlight w:val="yellow"/>
        </w:rPr>
        <w:t xml:space="preserve">Nota ISEC: O IPCA é divulgado no 8º DU do mês. Então, em 25 de maio, usaremos o IPCA de março, divulgado no início de abril. Com isso, teremos a </w:t>
      </w:r>
      <w:r w:rsidR="00DA20E8" w:rsidRPr="00DA20E8">
        <w:rPr>
          <w:rFonts w:asciiTheme="minorHAnsi" w:hAnsiTheme="minorHAnsi" w:cstheme="minorHAnsi"/>
          <w:highlight w:val="yellow"/>
        </w:rPr>
        <w:lastRenderedPageBreak/>
        <w:t>hipótese abaixo (ausência do índice por mais de 10 dias) antes que o trecho excluído seja aplicável</w:t>
      </w:r>
      <w:r w:rsidR="00DA20E8">
        <w:rPr>
          <w:rFonts w:asciiTheme="minorHAnsi" w:hAnsiTheme="minorHAnsi" w:cstheme="minorHAnsi"/>
        </w:rPr>
        <w:t>]</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3BD89050"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18"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8"/>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lastRenderedPageBreak/>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19"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19"/>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0"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0"/>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1" w:name="_Hlk66712753"/>
      <w:r>
        <w:rPr>
          <w:rFonts w:asciiTheme="minorHAnsi" w:hAnsiTheme="minorHAnsi" w:cstheme="minorHAnsi"/>
        </w:rPr>
        <w:t>AE = SD (C - 1)</w:t>
      </w:r>
    </w:p>
    <w:bookmarkEnd w:id="21"/>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2" w:name="_Hlk66712769"/>
      <w:r>
        <w:rPr>
          <w:rFonts w:asciiTheme="minorHAnsi" w:hAnsiTheme="minorHAnsi" w:cstheme="minorHAnsi"/>
        </w:rPr>
        <w:t>AE = Valor Unitário da Amortização Extraordinária Obrigatório</w:t>
      </w:r>
      <w:bookmarkEnd w:id="22"/>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3"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3"/>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4" w:name="_Hlk66712791"/>
      <w:r w:rsidRPr="00E06EC1">
        <w:rPr>
          <w:rFonts w:asciiTheme="minorHAnsi" w:hAnsiTheme="minorHAnsi" w:cstheme="minorHAnsi"/>
        </w:rPr>
        <w:t>C = Fator de variação acumulada do IPCA/IBGE, calculado com 8 (oito) casas decimais, sem arredondamento</w:t>
      </w:r>
      <w:bookmarkEnd w:id="24"/>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5"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5"/>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6" w:name="_Hlk66712846"/>
      <w:bookmarkStart w:id="27" w:name="_Hlk66713265"/>
      <m:oMath>
        <m:r>
          <m:rPr>
            <m:sty m:val="p"/>
          </m:rPr>
          <w:rPr>
            <w:rFonts w:ascii="Cambria Math" w:hAnsi="Cambria Math" w:cstheme="minorHAnsi"/>
          </w:rPr>
          <m:t>AMi=SDa x Tai</m:t>
        </m:r>
      </m:oMath>
      <w:bookmarkEnd w:id="26"/>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28" w:name="_Hlk66712865"/>
      <w:r w:rsidRPr="00E06EC1">
        <w:rPr>
          <w:rFonts w:asciiTheme="minorHAnsi" w:hAnsiTheme="minorHAnsi" w:cstheme="minorHAnsi"/>
        </w:rPr>
        <w:lastRenderedPageBreak/>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 xml:space="preserve">SDa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28"/>
      <w:r w:rsidRPr="00E06EC1">
        <w:rPr>
          <w:rFonts w:asciiTheme="minorHAnsi" w:hAnsiTheme="minorHAnsi" w:cstheme="minorHAnsi"/>
        </w:rPr>
        <w:t>.</w:t>
      </w:r>
    </w:p>
    <w:bookmarkEnd w:id="27"/>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w:t>
      </w:r>
      <w:r w:rsidRPr="009203B5">
        <w:rPr>
          <w:rFonts w:asciiTheme="minorHAnsi" w:hAnsiTheme="minorHAnsi" w:cstheme="minorHAnsi"/>
        </w:rPr>
        <w:lastRenderedPageBreak/>
        <w:t>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29"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Experian)</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w:t>
      </w:r>
      <w:r w:rsidR="00274162" w:rsidRPr="00274162">
        <w:rPr>
          <w:rFonts w:asciiTheme="minorHAnsi" w:hAnsiTheme="minorHAnsi" w:cstheme="minorHAnsi"/>
        </w:rPr>
        <w:lastRenderedPageBreak/>
        <w:t xml:space="preserve">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r w:rsidR="00274162" w:rsidRPr="00274162">
        <w:rPr>
          <w:rFonts w:asciiTheme="minorHAnsi" w:hAnsiTheme="minorHAnsi" w:cstheme="minorHAnsi"/>
          <w:i/>
          <w:iCs/>
        </w:rPr>
        <w:t>Foreign Corrupt Practices Act</w:t>
      </w:r>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UK Bribery Act</w:t>
      </w:r>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auto-falência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78D683B"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r w:rsidR="00CB7893">
        <w:rPr>
          <w:rFonts w:asciiTheme="minorHAnsi" w:hAnsiTheme="minorHAnsi" w:cstheme="minorHAnsi"/>
        </w:rPr>
        <w:t>[</w:t>
      </w:r>
      <w:r w:rsidR="00CB7893" w:rsidRPr="00CB7893">
        <w:rPr>
          <w:rFonts w:asciiTheme="minorHAnsi" w:hAnsiTheme="minorHAnsi" w:cstheme="minorHAnsi"/>
          <w:highlight w:val="yellow"/>
        </w:rPr>
        <w:t>Nota QAM: Embraed favor confirmar se já temos o PL Ajustado</w:t>
      </w:r>
      <w:r w:rsidR="00CB7893">
        <w:rPr>
          <w:rFonts w:asciiTheme="minorHAnsi" w:hAnsiTheme="minorHAnsi" w:cstheme="minorHAnsi"/>
        </w:rPr>
        <w:t>]</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w:t>
      </w:r>
      <w:r w:rsidRPr="002C5365">
        <w:rPr>
          <w:rFonts w:asciiTheme="minorHAnsi" w:hAnsiTheme="minorHAnsi" w:cstheme="minorHAnsi"/>
        </w:rPr>
        <w:lastRenderedPageBreak/>
        <w:t>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w:t>
      </w:r>
      <w:r w:rsidRPr="002C5365">
        <w:rPr>
          <w:rFonts w:asciiTheme="minorHAnsi" w:hAnsiTheme="minorHAnsi" w:cstheme="minorHAnsi"/>
        </w:rPr>
        <w:lastRenderedPageBreak/>
        <w:t>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740D689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Recebimento, pelo Credor, de montante inferior ao equivalente a pelo menos </w:t>
      </w:r>
      <w:r w:rsidR="00EC5096">
        <w:rPr>
          <w:rFonts w:asciiTheme="minorHAnsi" w:hAnsiTheme="minorHAnsi" w:cstheme="minorHAnsi"/>
        </w:rPr>
        <w:t>100% (cem por cento)</w:t>
      </w:r>
      <w:r w:rsidRPr="002C5365">
        <w:rPr>
          <w:rFonts w:asciiTheme="minorHAnsi" w:hAnsiTheme="minorHAnsi" w:cstheme="minorHAnsi"/>
        </w:rPr>
        <w:t xml:space="preserve"> do previsto para recebimento em decorrência da garantia de cessão fiduciária constituídas em favor do Credor, </w:t>
      </w:r>
      <w:r w:rsidR="0032468D">
        <w:rPr>
          <w:rFonts w:asciiTheme="minorHAnsi" w:hAnsiTheme="minorHAnsi" w:cstheme="minorHAnsi"/>
        </w:rPr>
        <w:t xml:space="preserve">apuradas mensalmente pelo agente de medição, nos termos do Contrato de </w:t>
      </w:r>
      <w:r w:rsidR="002818DB">
        <w:rPr>
          <w:rFonts w:asciiTheme="minorHAnsi" w:hAnsiTheme="minorHAnsi" w:cstheme="minorHAnsi"/>
        </w:rPr>
        <w:t xml:space="preserve">Cessão Fiduciária de Recebíveis, </w:t>
      </w:r>
      <w:r w:rsidRPr="002C5365">
        <w:rPr>
          <w:rFonts w:asciiTheme="minorHAnsi" w:hAnsiTheme="minorHAnsi" w:cstheme="minorHAnsi"/>
        </w:rPr>
        <w:t>não sanado no prazo de até 5 (cinco) dias contados da verificação, pelo Credor, do referido descasamento;</w:t>
      </w:r>
      <w:r w:rsidR="00162353" w:rsidRPr="002C5365">
        <w:rPr>
          <w:rFonts w:asciiTheme="minorHAnsi" w:hAnsiTheme="minorHAnsi" w:cstheme="minorHAnsi"/>
        </w:rPr>
        <w:t xml:space="preserve"> </w:t>
      </w:r>
      <w:r w:rsidR="00071A19">
        <w:rPr>
          <w:rFonts w:asciiTheme="minorHAnsi" w:hAnsiTheme="minorHAnsi" w:cstheme="minorHAnsi"/>
        </w:rPr>
        <w:t>[</w:t>
      </w:r>
      <w:r w:rsidR="00071A19" w:rsidRPr="00071A19">
        <w:rPr>
          <w:rFonts w:asciiTheme="minorHAnsi" w:hAnsiTheme="minorHAnsi" w:cstheme="minorHAnsi"/>
          <w:highlight w:val="yellow"/>
        </w:rPr>
        <w:t>Nota ISEC: esclarecer como será apurado</w:t>
      </w:r>
      <w:r w:rsidR="00071A19">
        <w:rPr>
          <w:rFonts w:asciiTheme="minorHAnsi" w:hAnsiTheme="minorHAnsi" w:cstheme="minorHAnsi"/>
        </w:rPr>
        <w:t>]</w:t>
      </w:r>
      <w:r w:rsidR="00AE5245">
        <w:rPr>
          <w:rFonts w:asciiTheme="minorHAnsi" w:hAnsiTheme="minorHAnsi" w:cstheme="minorHAnsi"/>
        </w:rPr>
        <w:t xml:space="preserve"> </w:t>
      </w:r>
      <w:r w:rsidR="00AE5245" w:rsidRPr="00AE5245">
        <w:rPr>
          <w:rFonts w:asciiTheme="minorHAnsi" w:hAnsiTheme="minorHAnsi" w:cstheme="minorHAnsi"/>
        </w:rPr>
        <w:t>[</w:t>
      </w:r>
      <w:r w:rsidR="00AE5245" w:rsidRPr="00AE5245">
        <w:rPr>
          <w:rFonts w:asciiTheme="minorHAnsi" w:hAnsiTheme="minorHAnsi" w:cstheme="minorHAnsi"/>
          <w:highlight w:val="yellow"/>
        </w:rPr>
        <w:t>Nota Embraed: Qual a razão da alteração de 60% para 100%? Se tivermos uma inadimplência não sanada em um prazo de 5 dias será declarado o vencimento antecipado? Novidade relevante</w:t>
      </w:r>
      <w:r w:rsidR="00AE5245" w:rsidRPr="00AE5245">
        <w:rPr>
          <w:rFonts w:asciiTheme="minorHAnsi" w:hAnsiTheme="minorHAnsi" w:cstheme="minorHAnsi"/>
        </w:rPr>
        <w:t>]</w:t>
      </w:r>
      <w:r w:rsidR="00CB7893">
        <w:rPr>
          <w:rFonts w:asciiTheme="minorHAnsi" w:hAnsiTheme="minorHAnsi" w:cstheme="minorHAnsi"/>
        </w:rPr>
        <w:t xml:space="preserve"> [</w:t>
      </w:r>
      <w:r w:rsidR="00CB7893" w:rsidRPr="00CB7893">
        <w:rPr>
          <w:rFonts w:asciiTheme="minorHAnsi" w:hAnsiTheme="minorHAnsi" w:cstheme="minorHAnsi"/>
          <w:highlight w:val="yellow"/>
        </w:rPr>
        <w:t>Nota QAM: deixar claro que se trata de receber apenas 100% dos 120% em garantia. Ou seja, abaixo do Indicie Mínimo de Cobertura. Na forma escrita está parecendo que se trata da integralidade dos 120%]</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qualquer dos Avalistas deixarem de pagar qualquer tributo, encargo ou taxa devido sobre qualquer um dos bens móveis e/ou imóveis cedidos e/ou alienados </w:t>
      </w:r>
      <w:r w:rsidRPr="002C5365">
        <w:rPr>
          <w:rFonts w:asciiTheme="minorHAnsi" w:hAnsiTheme="minorHAnsi" w:cstheme="minorHAnsi"/>
        </w:rPr>
        <w:lastRenderedPageBreak/>
        <w:t>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Caso haja apontamento ou restrição cadastral no relatório SCR/Sisbacen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29"/>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w:t>
      </w:r>
      <w:r w:rsidR="00DF56DE" w:rsidRPr="009203B5">
        <w:rPr>
          <w:rFonts w:asciiTheme="minorHAnsi" w:hAnsiTheme="minorHAnsi" w:cstheme="minorHAnsi"/>
        </w:rPr>
        <w:lastRenderedPageBreak/>
        <w:t>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xml:space="preserve">, à </w:t>
      </w:r>
      <w:r w:rsidR="00162353">
        <w:rPr>
          <w:rFonts w:asciiTheme="minorHAnsi" w:hAnsiTheme="minorHAnsi" w:cstheme="minorHAnsi"/>
        </w:rPr>
        <w:lastRenderedPageBreak/>
        <w:t>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lastRenderedPageBreak/>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0"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0"/>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1"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1"/>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w:t>
      </w:r>
      <w:r w:rsidRPr="00435032">
        <w:rPr>
          <w:rFonts w:asciiTheme="minorHAnsi" w:hAnsiTheme="minorHAnsi"/>
        </w:rPr>
        <w:lastRenderedPageBreak/>
        <w:t xml:space="preserve">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 xml:space="preserve">I à presente Cédula; ou (ii) seja descaracterizada, pelas autoridades competentes, </w:t>
      </w:r>
      <w:r w:rsidR="009E7E14" w:rsidRPr="009E7E14">
        <w:rPr>
          <w:rFonts w:asciiTheme="minorHAnsi" w:hAnsiTheme="minorHAnsi" w:cstheme="minorHAnsi"/>
          <w:color w:val="000000"/>
        </w:rPr>
        <w:lastRenderedPageBreak/>
        <w:t>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w:t>
      </w:r>
      <w:r w:rsidR="001A02F0" w:rsidRPr="009203B5">
        <w:rPr>
          <w:rFonts w:asciiTheme="minorHAnsi" w:hAnsiTheme="minorHAnsi" w:cstheme="minorHAnsi"/>
          <w:szCs w:val="24"/>
        </w:rPr>
        <w:lastRenderedPageBreak/>
        <w:t>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2" w:name="_Hlk66701094"/>
      <w:r w:rsidR="001A02F0" w:rsidRPr="009203B5">
        <w:rPr>
          <w:rFonts w:asciiTheme="minorHAnsi" w:hAnsiTheme="minorHAnsi" w:cstheme="minorHAnsi"/>
          <w:szCs w:val="24"/>
        </w:rPr>
        <w:t>com recursos do Patrimônio Separado</w:t>
      </w:r>
      <w:bookmarkEnd w:id="32"/>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3" w:name="_DV_M76"/>
      <w:bookmarkStart w:id="34" w:name="_DV_M149"/>
      <w:bookmarkStart w:id="35" w:name="_DV_M150"/>
      <w:bookmarkStart w:id="36" w:name="_DV_M151"/>
      <w:bookmarkStart w:id="37" w:name="_DV_M152"/>
      <w:bookmarkStart w:id="38" w:name="_DV_M154"/>
      <w:bookmarkStart w:id="39" w:name="_DV_M194"/>
      <w:bookmarkStart w:id="40" w:name="_DV_M195"/>
      <w:bookmarkStart w:id="41" w:name="_DV_M196"/>
      <w:bookmarkStart w:id="42" w:name="_DV_M197"/>
      <w:bookmarkStart w:id="43" w:name="_DV_M198"/>
      <w:bookmarkStart w:id="44" w:name="_DV_M199"/>
      <w:bookmarkStart w:id="45" w:name="_DV_M200"/>
      <w:bookmarkStart w:id="46" w:name="_DV_M201"/>
      <w:bookmarkStart w:id="47" w:name="_DV_M202"/>
      <w:bookmarkStart w:id="48" w:name="_DV_M20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Marcelo Buosi</w:t>
      </w:r>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4"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49" w:name="_Hlk66701755"/>
      <w:bookmarkStart w:id="50" w:name="_Hlk5397004"/>
      <w:r w:rsidRPr="009203B5">
        <w:rPr>
          <w:rFonts w:asciiTheme="minorHAnsi" w:hAnsiTheme="minorHAnsi" w:cstheme="minorHAnsi"/>
          <w:b/>
        </w:rPr>
        <w:t>RTDR PARTICIPAÇÕES S.A.</w:t>
      </w:r>
      <w:bookmarkEnd w:id="49"/>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1"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1"/>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2" w:name="_Hlk66701806"/>
      <w:r w:rsidRPr="009203B5">
        <w:rPr>
          <w:rFonts w:asciiTheme="minorHAnsi" w:hAnsiTheme="minorHAnsi" w:cstheme="minorHAnsi"/>
        </w:rPr>
        <w:t xml:space="preserve">(47) 3367-0009 </w:t>
      </w:r>
      <w:bookmarkEnd w:id="52"/>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3"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5" w:history="1">
        <w:r w:rsidRPr="009203B5">
          <w:rPr>
            <w:rFonts w:asciiTheme="minorHAnsi" w:hAnsiTheme="minorHAnsi" w:cstheme="minorHAnsi"/>
          </w:rPr>
          <w:t>ismael@embraed.com.br</w:t>
        </w:r>
      </w:hyperlink>
      <w:bookmarkEnd w:id="53"/>
      <w:r w:rsidR="00CB2699">
        <w:rPr>
          <w:rFonts w:asciiTheme="minorHAnsi" w:hAnsiTheme="minorHAnsi" w:cstheme="minorHAnsi"/>
        </w:rPr>
        <w:t xml:space="preserve"> </w:t>
      </w:r>
    </w:p>
    <w:bookmarkEnd w:id="50"/>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4"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lastRenderedPageBreak/>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4"/>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8"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9"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5"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5"/>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lastRenderedPageBreak/>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6"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56"/>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7"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57"/>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8"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58"/>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59"/>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0" w:name="_Hlk65002881"/>
      <w:r w:rsidRPr="009203B5">
        <w:rPr>
          <w:rFonts w:asciiTheme="minorHAnsi" w:hAnsiTheme="minorHAnsi" w:cstheme="minorHAnsi"/>
          <w:szCs w:val="24"/>
        </w:rPr>
        <w:t>de acordo com os seus termos</w:t>
      </w:r>
      <w:bookmarkEnd w:id="60"/>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1"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1"/>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2"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2"/>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3"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3"/>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4"/>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5"/>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6" w:name="_Hlk65003478"/>
      <w:r w:rsidR="00084858" w:rsidRPr="009203B5">
        <w:rPr>
          <w:rFonts w:asciiTheme="minorHAnsi" w:hAnsiTheme="minorHAnsi" w:cstheme="minorHAnsi"/>
        </w:rPr>
        <w:t>A presente Cédula somente poderá ser alterada mediante aditivo próprio devidamente assinado pelas Partes</w:t>
      </w:r>
      <w:bookmarkEnd w:id="66"/>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67"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7"/>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w:t>
      </w:r>
      <w:r w:rsidR="00084858" w:rsidRPr="009203B5">
        <w:rPr>
          <w:rFonts w:asciiTheme="minorHAnsi" w:hAnsiTheme="minorHAnsi" w:cstheme="minorHAnsi"/>
        </w:rPr>
        <w:lastRenderedPageBreak/>
        <w:t>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68"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68"/>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1CF84658"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r w:rsidR="00EC5096" w:rsidRPr="00EC5096">
        <w:rPr>
          <w:rFonts w:asciiTheme="minorHAnsi" w:hAnsiTheme="minorHAnsi" w:cstheme="minorHAnsi"/>
          <w:highlight w:val="yellow"/>
        </w:rPr>
        <w:t>Nota QI Tech: especificar a remuneração da QI SCD</w:t>
      </w:r>
      <w:r w:rsidR="00EC5096" w:rsidRPr="00EC5096">
        <w:rPr>
          <w:rFonts w:asciiTheme="minorHAnsi" w:hAnsiTheme="minorHAnsi" w:cstheme="minorHAnsi"/>
        </w:rPr>
        <w:t>]</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w:t>
      </w:r>
      <w:r w:rsidRPr="009203B5">
        <w:rPr>
          <w:rFonts w:asciiTheme="minorHAnsi" w:hAnsiTheme="minorHAnsi" w:cstheme="minorHAnsi"/>
        </w:rPr>
        <w:lastRenderedPageBreak/>
        <w:t xml:space="preserve">5º (quinto) Dia Útil </w:t>
      </w:r>
      <w:bookmarkStart w:id="69"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69"/>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0" w:name="_Hlk66717781"/>
      <w:r w:rsidRPr="009203B5">
        <w:rPr>
          <w:rFonts w:asciiTheme="minorHAnsi" w:hAnsiTheme="minorHAnsi" w:cstheme="minorHAnsi"/>
        </w:rPr>
        <w:t>até o resgate total dos CRI</w:t>
      </w:r>
      <w:bookmarkEnd w:id="70"/>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w:t>
      </w:r>
      <w:r w:rsidRPr="009203B5">
        <w:rPr>
          <w:rFonts w:asciiTheme="minorHAnsi" w:hAnsiTheme="minorHAnsi" w:cstheme="minorHAnsi"/>
        </w:rPr>
        <w:lastRenderedPageBreak/>
        <w:t xml:space="preserve">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1"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1"/>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2"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2"/>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3"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73"/>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74"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74"/>
      <w:r w:rsidRPr="00CB6D03">
        <w:rPr>
          <w:rFonts w:asciiTheme="minorHAnsi" w:hAnsiTheme="minorHAnsi" w:cstheme="minorHAnsi"/>
        </w:rPr>
        <w:t>; e</w:t>
      </w:r>
      <w:bookmarkStart w:id="75"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bookmarkStart w:id="76" w:name="_GoBack"/>
      <w:bookmarkEnd w:id="76"/>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75"/>
      <w:r w:rsidRPr="00CB6D03">
        <w:rPr>
          <w:rFonts w:asciiTheme="minorHAnsi" w:hAnsiTheme="minorHAnsi" w:cstheme="minorHAnsi"/>
        </w:rPr>
        <w:t>; e</w:t>
      </w:r>
      <w:bookmarkStart w:id="77"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77"/>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SPavarini: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C03182" w:rsidRDefault="00C03182">
      <w:r>
        <w:separator/>
      </w:r>
    </w:p>
    <w:p w14:paraId="4C58538D" w14:textId="77777777" w:rsidR="00C03182" w:rsidRDefault="00C03182"/>
    <w:p w14:paraId="738A33BE" w14:textId="77777777" w:rsidR="00C03182" w:rsidRDefault="00C03182"/>
  </w:endnote>
  <w:endnote w:type="continuationSeparator" w:id="0">
    <w:p w14:paraId="6B48B9C8" w14:textId="77777777" w:rsidR="00C03182" w:rsidRDefault="00C03182">
      <w:r>
        <w:continuationSeparator/>
      </w:r>
    </w:p>
    <w:p w14:paraId="600C1581" w14:textId="77777777" w:rsidR="00C03182" w:rsidRDefault="00C03182"/>
    <w:p w14:paraId="4AA1ECC6" w14:textId="77777777" w:rsidR="00C03182" w:rsidRDefault="00C03182"/>
  </w:endnote>
  <w:endnote w:type="continuationNotice" w:id="1">
    <w:p w14:paraId="033D02C9" w14:textId="77777777" w:rsidR="00C03182" w:rsidRDefault="00C03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C03182" w:rsidRDefault="00C03182" w:rsidP="00994218">
    <w:pPr>
      <w:pStyle w:val="Rodap"/>
      <w:ind w:right="360"/>
      <w:jc w:val="both"/>
      <w:rPr>
        <w:rFonts w:ascii="Trebuchet MS" w:hAnsi="Trebuchet MS" w:cstheme="minorHAnsi"/>
        <w:sz w:val="18"/>
        <w:szCs w:val="20"/>
      </w:rPr>
    </w:pPr>
  </w:p>
  <w:p w14:paraId="1EE9AB0A" w14:textId="7E65937B" w:rsidR="00C03182" w:rsidRPr="00912AFE" w:rsidRDefault="00C03182"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C03182" w:rsidRPr="00912AFE" w:rsidRDefault="00C03182" w:rsidP="008738D4">
    <w:pPr>
      <w:pStyle w:val="Rodap"/>
      <w:ind w:right="360"/>
      <w:jc w:val="right"/>
      <w:rPr>
        <w:sz w:val="20"/>
        <w:szCs w:val="20"/>
      </w:rPr>
    </w:pPr>
  </w:p>
  <w:p w14:paraId="6881CDD7" w14:textId="4DA56B27" w:rsidR="00C03182" w:rsidRPr="00741FE4" w:rsidRDefault="00CB6D03"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C03182" w:rsidRPr="00912AFE">
          <w:rPr>
            <w:bCs/>
            <w:sz w:val="20"/>
            <w:szCs w:val="20"/>
          </w:rPr>
          <w:fldChar w:fldCharType="begin"/>
        </w:r>
        <w:r w:rsidR="00C03182" w:rsidRPr="00912AFE">
          <w:rPr>
            <w:bCs/>
            <w:sz w:val="20"/>
            <w:szCs w:val="20"/>
          </w:rPr>
          <w:instrText>PAGE</w:instrText>
        </w:r>
        <w:r w:rsidR="00C03182" w:rsidRPr="00912AFE">
          <w:rPr>
            <w:bCs/>
            <w:sz w:val="20"/>
            <w:szCs w:val="20"/>
          </w:rPr>
          <w:fldChar w:fldCharType="separate"/>
        </w:r>
        <w:r w:rsidR="00C03182" w:rsidRPr="00912AFE">
          <w:rPr>
            <w:bCs/>
            <w:noProof/>
            <w:sz w:val="20"/>
            <w:szCs w:val="20"/>
          </w:rPr>
          <w:t>19</w:t>
        </w:r>
        <w:r w:rsidR="00C03182" w:rsidRPr="00912AFE">
          <w:rPr>
            <w:bCs/>
            <w:sz w:val="20"/>
            <w:szCs w:val="20"/>
          </w:rPr>
          <w:fldChar w:fldCharType="end"/>
        </w:r>
        <w:r w:rsidR="00C03182" w:rsidRPr="00912AFE">
          <w:rPr>
            <w:sz w:val="20"/>
            <w:szCs w:val="20"/>
          </w:rPr>
          <w:t xml:space="preserve"> / </w:t>
        </w:r>
        <w:r w:rsidR="00C03182" w:rsidRPr="00912AFE">
          <w:rPr>
            <w:bCs/>
            <w:sz w:val="20"/>
            <w:szCs w:val="20"/>
          </w:rPr>
          <w:fldChar w:fldCharType="begin"/>
        </w:r>
        <w:r w:rsidR="00C03182" w:rsidRPr="00912AFE">
          <w:rPr>
            <w:bCs/>
            <w:sz w:val="20"/>
            <w:szCs w:val="20"/>
          </w:rPr>
          <w:instrText>NUMPAGES</w:instrText>
        </w:r>
        <w:r w:rsidR="00C03182" w:rsidRPr="00912AFE">
          <w:rPr>
            <w:bCs/>
            <w:sz w:val="20"/>
            <w:szCs w:val="20"/>
          </w:rPr>
          <w:fldChar w:fldCharType="separate"/>
        </w:r>
        <w:r w:rsidR="00C03182" w:rsidRPr="00912AFE">
          <w:rPr>
            <w:bCs/>
            <w:noProof/>
            <w:sz w:val="20"/>
            <w:szCs w:val="20"/>
          </w:rPr>
          <w:t>55</w:t>
        </w:r>
        <w:r w:rsidR="00C03182"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C03182" w:rsidRDefault="00C03182">
      <w:r>
        <w:separator/>
      </w:r>
    </w:p>
    <w:p w14:paraId="676C00AD" w14:textId="77777777" w:rsidR="00C03182" w:rsidRDefault="00C03182"/>
    <w:p w14:paraId="3562ECD3" w14:textId="77777777" w:rsidR="00C03182" w:rsidRDefault="00C03182"/>
  </w:footnote>
  <w:footnote w:type="continuationSeparator" w:id="0">
    <w:p w14:paraId="75338C1D" w14:textId="77777777" w:rsidR="00C03182" w:rsidRDefault="00C03182">
      <w:r>
        <w:continuationSeparator/>
      </w:r>
    </w:p>
    <w:p w14:paraId="55931CFC" w14:textId="77777777" w:rsidR="00C03182" w:rsidRDefault="00C03182"/>
    <w:p w14:paraId="07CBD17B" w14:textId="77777777" w:rsidR="00C03182" w:rsidRDefault="00C03182"/>
  </w:footnote>
  <w:footnote w:type="continuationNotice" w:id="1">
    <w:p w14:paraId="1E156ECC" w14:textId="77777777" w:rsidR="00C03182" w:rsidRDefault="00C03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C03182" w:rsidRDefault="00CB6D03">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C03182" w:rsidRDefault="00C03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77777777" w:rsidR="00C03182" w:rsidRPr="008824C0" w:rsidRDefault="00C03182"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714D212B" w:rsidR="00C03182" w:rsidRPr="008824C0" w:rsidRDefault="00BF0BC4" w:rsidP="00457211">
    <w:pPr>
      <w:tabs>
        <w:tab w:val="center" w:pos="4252"/>
        <w:tab w:val="right" w:pos="8504"/>
      </w:tabs>
      <w:jc w:val="right"/>
      <w:rPr>
        <w:rFonts w:asciiTheme="minorHAnsi" w:hAnsiTheme="minorHAnsi"/>
        <w:i/>
        <w:lang w:eastAsia="pt-BR"/>
      </w:rPr>
    </w:pPr>
    <w:r>
      <w:rPr>
        <w:rFonts w:asciiTheme="minorHAnsi" w:hAnsiTheme="minorHAnsi"/>
        <w:i/>
        <w:lang w:eastAsia="pt-BR"/>
      </w:rPr>
      <w:t>22</w:t>
    </w:r>
    <w:r w:rsidR="00C03182">
      <w:rPr>
        <w:rFonts w:asciiTheme="minorHAnsi" w:hAnsiTheme="minorHAnsi"/>
        <w:i/>
        <w:lang w:eastAsia="pt-BR"/>
      </w:rPr>
      <w:t>.03</w:t>
    </w:r>
    <w:r w:rsidR="00C03182" w:rsidRPr="008824C0">
      <w:rPr>
        <w:rFonts w:asciiTheme="minorHAnsi" w:hAnsiTheme="minorHAnsi"/>
        <w:i/>
        <w:lang w:eastAsia="pt-BR"/>
      </w:rPr>
      <w:t>.2021</w:t>
    </w:r>
  </w:p>
  <w:p w14:paraId="2E455E26" w14:textId="5C6D0FBD" w:rsidR="00C03182" w:rsidRPr="009203B5" w:rsidRDefault="00C03182"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C03182" w:rsidRDefault="00CB6D03">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revisionView w:markup="0"/>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292"/>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67"/>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gestao@isecbrasil.com.b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tatiana@embraed.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iego@embraed.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oscar@embraed.com.br"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yperlink" Target="mailto:juridico@isecbrasil.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peracao@qitech.com.br" TargetMode="External" Id="rId14" /><Relationship Type="http://schemas.openxmlformats.org/officeDocument/2006/relationships/footer" Target="footer1.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402B8-7158-489B-889A-27C289EF7384}">
  <ds:schemaRefs>
    <ds:schemaRef ds:uri="http://schemas.openxmlformats.org/officeDocument/2006/bibliography"/>
  </ds:schemaRefs>
</ds:datastoreItem>
</file>

<file path=customXml/itemProps4.xml><?xml version="1.0" encoding="utf-8"?>
<ds:datastoreItem xmlns:ds="http://schemas.openxmlformats.org/officeDocument/2006/customXml" ds:itemID="{07E4D394-31AC-42AD-8EB6-0A3B4BF01E43}">
  <ds:schemaRefs>
    <ds:schemaRef ds:uri="http://schemas.openxmlformats.org/officeDocument/2006/bibliography"/>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78603BFA-503A-48EB-8F97-1C2CD52D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14852</Words>
  <Characters>80205</Characters>
  <Application>Microsoft Office Word</Application>
  <DocSecurity>0</DocSecurity>
  <Lines>668</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94868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8</cp:revision>
  <cp:lastPrinted>2018-06-23T02:44:00Z</cp:lastPrinted>
  <dcterms:created xsi:type="dcterms:W3CDTF">2021-03-22T00:18:00Z</dcterms:created>
  <dcterms:modified xsi:type="dcterms:W3CDTF">2021-03-22T15:29:00Z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152160434</vt:i4>
  </property>
  <property fmtid="{D5CDD505-2E9C-101B-9397-08002B2CF9AE}" pid="8" name="_NewReviewCycle">
    <vt:lpwstr/>
  </property>
  <property fmtid="{D5CDD505-2E9C-101B-9397-08002B2CF9AE}" pid="9" name="_EmailSubject">
    <vt:lpwstr>CRI EMBRAED QAM | Minutas da Operação [GED-KLA_SP.FID64925]</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155790485</vt:i4>
  </property>
</Properties>
</file>