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33FCB290"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 xml:space="preserve">integram a Oferta Restrita descrita acima os seguintes documentos: (i) a CCB; (ii) o Contrato de Cessão; (iii) a Escritura de Emissão de CCI; (iv) o Termo de Securitização; (v) a Cessão Fiduciária de Recebíveis; (vi) o Contrato de Distribuição; (vii) os boletins de subscrição dos CRI; </w:t>
      </w:r>
      <w:r w:rsidR="00C91FA4">
        <w:rPr>
          <w:rFonts w:asciiTheme="minorHAnsi" w:hAnsiTheme="minorHAnsi" w:cstheme="minorHAnsi"/>
          <w:sz w:val="24"/>
          <w:szCs w:val="24"/>
        </w:rPr>
        <w:t xml:space="preserve">(viii) o Contrato de Monitoramento e Espelhamento; </w:t>
      </w:r>
      <w:r w:rsidRPr="009D67F3">
        <w:rPr>
          <w:rFonts w:asciiTheme="minorHAnsi" w:hAnsiTheme="minorHAnsi" w:cstheme="minorHAnsi"/>
          <w:sz w:val="24"/>
          <w:szCs w:val="24"/>
        </w:rPr>
        <w:t>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41B4A219"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w:t>
      </w:r>
      <w:r w:rsidR="000F25BE" w:rsidRPr="006B7D7F">
        <w:rPr>
          <w:rFonts w:asciiTheme="minorHAnsi" w:hAnsiTheme="minorHAnsi" w:cs="Calibri"/>
          <w:sz w:val="24"/>
          <w:szCs w:val="24"/>
          <w:highlight w:val="yellow"/>
        </w:rPr>
        <w:t xml:space="preserve"> </w:t>
      </w:r>
      <w:r w:rsidR="006B7D7F" w:rsidRPr="006B7D7F">
        <w:rPr>
          <w:rFonts w:asciiTheme="minorHAnsi" w:hAnsiTheme="minorHAnsi" w:cs="Calibri"/>
          <w:sz w:val="24"/>
          <w:szCs w:val="24"/>
          <w:highlight w:val="yellow"/>
        </w:rPr>
        <w:t>QAM: 6</w:t>
      </w:r>
      <w:r w:rsidR="006B7D7F">
        <w:rPr>
          <w:rFonts w:asciiTheme="minorHAnsi" w:hAnsiTheme="minorHAnsi" w:cs="Calibri"/>
          <w:sz w:val="24"/>
          <w:szCs w:val="24"/>
          <w:highlight w:val="yellow"/>
        </w:rPr>
        <w:t xml:space="preserve"> </w:t>
      </w:r>
      <w:r w:rsidR="006B7D7F" w:rsidRPr="006B7D7F">
        <w:rPr>
          <w:rFonts w:asciiTheme="minorHAnsi" w:hAnsiTheme="minorHAnsi" w:cs="Calibri"/>
          <w:sz w:val="24"/>
          <w:szCs w:val="24"/>
          <w:highlight w:val="yellow"/>
        </w:rPr>
        <w:t>x 360 a partir de 26.03.21. Fluxo a ser disponibilizado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49BB7AB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w:t>
      </w:r>
      <w:r w:rsidR="00C91FA4">
        <w:rPr>
          <w:rFonts w:asciiTheme="minorHAnsi" w:hAnsiTheme="minorHAnsi" w:cs="Arial"/>
          <w:bCs/>
          <w:sz w:val="24"/>
          <w:szCs w:val="24"/>
        </w:rPr>
        <w:t>252 (duzentos e cinquenta e dois</w:t>
      </w:r>
      <w:r w:rsidR="005C5DF2" w:rsidRPr="009D67F3">
        <w:rPr>
          <w:rFonts w:asciiTheme="minorHAnsi" w:hAnsiTheme="minorHAnsi" w:cs="Arial"/>
          <w:bCs/>
          <w:sz w:val="24"/>
          <w:szCs w:val="24"/>
        </w:rPr>
        <w:t>)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2AE588E9"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r w:rsidR="00855366">
        <w:rPr>
          <w:rFonts w:asciiTheme="minorHAnsi" w:hAnsiTheme="minorHAnsi" w:cs="Arial"/>
          <w:i/>
          <w:sz w:val="24"/>
          <w:szCs w:val="24"/>
        </w:rPr>
        <w:t>Empresa</w:t>
      </w:r>
      <w:r w:rsidR="00855366" w:rsidRPr="009D67F3">
        <w:rPr>
          <w:rFonts w:asciiTheme="minorHAnsi" w:hAnsiTheme="minorHAnsi" w:cs="Arial"/>
          <w:i/>
          <w:sz w:val="24"/>
          <w:szCs w:val="24"/>
        </w:rPr>
        <w:t xml:space="preserve"> </w:t>
      </w:r>
      <w:r w:rsidRPr="009D67F3">
        <w:rPr>
          <w:rFonts w:asciiTheme="minorHAnsi" w:hAnsiTheme="minorHAnsi" w:cs="Arial"/>
          <w:i/>
          <w:sz w:val="24"/>
          <w:szCs w:val="24"/>
        </w:rPr>
        <w:t xml:space="preserve">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xml:space="preserve">. Aproveitamos para informar que o presente boleto já se encontra nesse </w:t>
      </w:r>
      <w:r w:rsidRPr="009D67F3">
        <w:rPr>
          <w:rFonts w:asciiTheme="minorHAnsi" w:hAnsiTheme="minorHAnsi" w:cs="Trebuchet MS"/>
          <w:i/>
          <w:sz w:val="24"/>
          <w:szCs w:val="24"/>
        </w:rPr>
        <w:lastRenderedPageBreak/>
        <w:t>modelo 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7C162B">
        <w:rPr>
          <w:rFonts w:asciiTheme="minorHAnsi" w:hAnsiTheme="minorHAnsi" w:cs="Trebuchet MS"/>
          <w:sz w:val="24"/>
          <w:szCs w:val="24"/>
          <w:highlight w:val="yellow"/>
        </w:rPr>
        <w:t xml:space="preserve">[Nota KLA: </w:t>
      </w:r>
      <w:r w:rsidR="001D7D8A" w:rsidRPr="007C162B">
        <w:rPr>
          <w:rFonts w:asciiTheme="minorHAnsi" w:hAnsiTheme="minorHAnsi" w:cs="Trebuchet MS"/>
          <w:sz w:val="24"/>
          <w:szCs w:val="24"/>
          <w:highlight w:val="yellow"/>
        </w:rPr>
        <w:t xml:space="preserve">(i) </w:t>
      </w:r>
      <w:r w:rsidR="00B35A0A" w:rsidRPr="007C162B">
        <w:rPr>
          <w:rFonts w:asciiTheme="minorHAnsi" w:hAnsiTheme="minorHAnsi" w:cs="Trebuchet MS"/>
          <w:sz w:val="24"/>
          <w:szCs w:val="24"/>
          <w:highlight w:val="yellow"/>
        </w:rPr>
        <w:t xml:space="preserve">conforme entendimentos do último call, a conta seria em nome da Securitizadora. </w:t>
      </w:r>
      <w:r w:rsidR="001D7D8A" w:rsidRPr="007C162B">
        <w:rPr>
          <w:rFonts w:asciiTheme="minorHAnsi" w:hAnsiTheme="minorHAnsi" w:cs="Trebuchet MS"/>
          <w:sz w:val="24"/>
          <w:szCs w:val="24"/>
          <w:highlight w:val="yellow"/>
        </w:rPr>
        <w:t>(ii) conforme informado pela companhia, todos os contratos já foram celebrados]</w:t>
      </w:r>
      <w:r w:rsidR="00C91FA4">
        <w:rPr>
          <w:rFonts w:asciiTheme="minorHAnsi" w:hAnsiTheme="minorHAnsi" w:cs="Trebuchet MS"/>
          <w:sz w:val="24"/>
          <w:szCs w:val="24"/>
        </w:rPr>
        <w:t xml:space="preserve"> [</w:t>
      </w:r>
      <w:r w:rsidR="00C91FA4" w:rsidRPr="00C91FA4">
        <w:rPr>
          <w:rFonts w:asciiTheme="minorHAnsi" w:hAnsiTheme="minorHAnsi" w:cs="Trebuchet MS"/>
          <w:sz w:val="24"/>
          <w:szCs w:val="24"/>
          <w:highlight w:val="yellow"/>
        </w:rPr>
        <w:t>Nota ISEC: Falamos de a conta ser aberta pela ISEC, mas ela fica em nome da fiduciante</w:t>
      </w:r>
      <w:r w:rsidR="00C91FA4">
        <w:rPr>
          <w:rFonts w:asciiTheme="minorHAnsi" w:hAnsiTheme="minorHAnsi" w:cs="Trebuchet MS"/>
          <w:sz w:val="24"/>
          <w:szCs w:val="24"/>
        </w:rPr>
        <w:t>]</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1A3751DF"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r w:rsidR="00C91FA4">
        <w:rPr>
          <w:rFonts w:asciiTheme="minorHAnsi" w:hAnsiTheme="minorHAnsi" w:cs="Arial"/>
          <w:sz w:val="24"/>
          <w:szCs w:val="24"/>
        </w:rPr>
        <w:t>[</w:t>
      </w:r>
      <w:r w:rsidR="00C91FA4" w:rsidRPr="00C91FA4">
        <w:rPr>
          <w:rFonts w:asciiTheme="minorHAnsi" w:hAnsiTheme="minorHAnsi" w:cs="Arial"/>
          <w:sz w:val="24"/>
          <w:szCs w:val="24"/>
          <w:highlight w:val="yellow"/>
        </w:rPr>
        <w:t>Nota ISEC: Fazer a conformidade com o contrato de conta vinculada. Entendo que a ideia seja fazer transferência automática, a menos que esteja em curso um EVA</w:t>
      </w:r>
      <w:r w:rsidR="00C91FA4">
        <w:rPr>
          <w:rFonts w:asciiTheme="minorHAnsi" w:hAnsiTheme="minorHAnsi" w:cs="Arial"/>
          <w:sz w:val="24"/>
          <w:szCs w:val="24"/>
        </w:rPr>
        <w:t>]</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87949C5"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 xml:space="preserve">A partir da data da celebração deste Contrato, as Fiduciantes se obrigam a, por si ou por terceiros por elas contratados para realizar tal função, encaminhar à CERTIFICADORA DE CRÉDITOS IMOBILIÁRIOS E PARTICIPAÇÕES S.A., sociedade por ações </w:t>
      </w:r>
      <w:r w:rsidRPr="009D67F3">
        <w:rPr>
          <w:rFonts w:asciiTheme="minorHAnsi" w:hAnsiTheme="minorHAnsi" w:cs="Calibri"/>
          <w:sz w:val="24"/>
          <w:szCs w:val="24"/>
        </w:rPr>
        <w:lastRenderedPageBreak/>
        <w:t>com sede na cidade de São Paulo, Estado de São Paulo, na Rua Fidêncio Ramos, nº 213, cj. 42, Vila Olímpia, CEP 04551-010 e escritório, na mesma cidade, na Avenida</w:t>
      </w:r>
      <w:r w:rsidR="00C91FA4">
        <w:rPr>
          <w:rFonts w:asciiTheme="minorHAnsi" w:hAnsiTheme="minorHAnsi" w:cs="Calibri"/>
          <w:sz w:val="24"/>
          <w:szCs w:val="24"/>
        </w:rPr>
        <w:t xml:space="preserve"> Presidente</w:t>
      </w:r>
      <w:r w:rsidRPr="009D67F3">
        <w:rPr>
          <w:rFonts w:asciiTheme="minorHAnsi" w:hAnsiTheme="minorHAnsi" w:cs="Calibri"/>
          <w:sz w:val="24"/>
          <w:szCs w:val="24"/>
        </w:rPr>
        <w:t xml:space="preserve">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com 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w:t>
      </w:r>
      <w:proofErr w:type="spellStart"/>
      <w:r w:rsidRPr="009D67F3">
        <w:rPr>
          <w:rFonts w:asciiTheme="minorHAnsi" w:hAnsiTheme="minorHAnsi" w:cs="Calibri"/>
          <w:sz w:val="24"/>
          <w:szCs w:val="24"/>
        </w:rPr>
        <w:t>distratos</w:t>
      </w:r>
      <w:proofErr w:type="spellEnd"/>
      <w:r w:rsidRPr="009D67F3">
        <w:rPr>
          <w:rFonts w:asciiTheme="minorHAnsi" w:hAnsiTheme="minorHAnsi" w:cs="Calibri"/>
          <w:sz w:val="24"/>
          <w:szCs w:val="24"/>
        </w:rPr>
        <w:t xml:space="preserve"> e, até o dia 10 (dez) de cada mês: a) os 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5A5410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w:t>
      </w:r>
      <w:r w:rsidRPr="002A606C">
        <w:rPr>
          <w:rFonts w:asciiTheme="minorHAnsi" w:hAnsiTheme="minorHAnsi" w:cs="Calibri"/>
          <w:sz w:val="24"/>
          <w:szCs w:val="24"/>
        </w:rPr>
        <w:t xml:space="preserve">até o </w:t>
      </w:r>
      <w:r w:rsidRPr="00081E1A">
        <w:rPr>
          <w:rFonts w:asciiTheme="minorHAnsi" w:hAnsiTheme="minorHAnsi" w:cs="Calibri"/>
          <w:sz w:val="24"/>
          <w:szCs w:val="24"/>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F106F3" w:rsidRPr="00081E1A">
        <w:rPr>
          <w:rFonts w:asciiTheme="minorHAnsi" w:hAnsiTheme="minorHAnsi" w:cs="Calibri"/>
          <w:sz w:val="24"/>
          <w:szCs w:val="24"/>
          <w:highlight w:val="yellow"/>
        </w:rPr>
        <w:t>[</w:t>
      </w:r>
      <w:r w:rsidR="00C91FA4" w:rsidRPr="00081E1A">
        <w:rPr>
          <w:rFonts w:asciiTheme="minorHAnsi" w:hAnsiTheme="minorHAnsi" w:cs="Calibri"/>
          <w:sz w:val="24"/>
          <w:szCs w:val="24"/>
          <w:highlight w:val="yellow"/>
        </w:rPr>
        <w:t>, condicionada à apresentação pelas Fiduciantes dos relatórios previstos no Anexo I do Contrato de Monitoramento e Espelhamento, nos prazos ali contidos</w:t>
      </w:r>
      <w:r w:rsidR="00F106F3" w:rsidRPr="00081E1A">
        <w:rPr>
          <w:rFonts w:asciiTheme="minorHAnsi" w:hAnsiTheme="minorHAnsi" w:cs="Calibri"/>
          <w:sz w:val="24"/>
          <w:szCs w:val="24"/>
          <w:highlight w:val="yellow"/>
        </w:rPr>
        <w:t>]</w:t>
      </w:r>
      <w:r w:rsidRPr="009D67F3">
        <w:rPr>
          <w:rFonts w:asciiTheme="minorHAnsi" w:hAnsiTheme="minorHAnsi" w:cs="Calibri"/>
          <w:sz w:val="24"/>
          <w:szCs w:val="24"/>
        </w:rPr>
        <w:t>;</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Certificadora: ISEC gentileza informar a necessidade de envio deste relatório.]</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ISEC: A princípio, entendo não ser necessário, desde que, por meio dos itens enviados, a SEC consiga checar a razão de garantia da 3.9]</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4964BBA1"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w:t>
      </w:r>
      <w:r w:rsidR="00C91FA4">
        <w:rPr>
          <w:rFonts w:asciiTheme="minorHAnsi" w:hAnsiTheme="minorHAnsi" w:cs="Calibri"/>
          <w:sz w:val="24"/>
          <w:szCs w:val="24"/>
        </w:rPr>
        <w:t xml:space="preserve"> mensais</w:t>
      </w:r>
      <w:r w:rsidRPr="009D67F3">
        <w:rPr>
          <w:rFonts w:asciiTheme="minorHAnsi" w:hAnsiTheme="minorHAnsi" w:cs="Calibri"/>
          <w:sz w:val="24"/>
          <w:szCs w:val="24"/>
        </w:rPr>
        <w:t xml:space="preserve"> contendo informações a respeito do acompanhamento dos Recebíveis</w:t>
      </w:r>
      <w:r w:rsidR="00C91FA4">
        <w:rPr>
          <w:rFonts w:asciiTheme="minorHAnsi" w:hAnsiTheme="minorHAnsi" w:cs="Calibri"/>
          <w:sz w:val="24"/>
          <w:szCs w:val="24"/>
        </w:rPr>
        <w:t xml:space="preserve"> até o dia 20 (vinte) de cada mês imediatamente subsequente ao mês objeto da apuração</w:t>
      </w:r>
      <w:r w:rsidRPr="009D67F3">
        <w:rPr>
          <w:rFonts w:asciiTheme="minorHAnsi" w:hAnsiTheme="minorHAnsi" w:cs="Calibri"/>
          <w:sz w:val="24"/>
          <w:szCs w:val="24"/>
        </w:rPr>
        <w:t>;</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(e)</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10400C6"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8"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9"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teis a respeito de qualquer importância recebida em razão dos Re</w:t>
      </w:r>
      <w:bookmarkStart w:id="4" w:name="_GoBack"/>
      <w:bookmarkEnd w:id="4"/>
      <w:r w:rsidR="00DD0C31" w:rsidRPr="009D67F3">
        <w:rPr>
          <w:rFonts w:asciiTheme="minorHAnsi" w:hAnsiTheme="minorHAnsi" w:cs="Arial"/>
          <w:sz w:val="24"/>
          <w:szCs w:val="24"/>
        </w:rPr>
        <w:t xml:space="preserv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2A606C">
        <w:rPr>
          <w:rFonts w:asciiTheme="minorHAnsi" w:hAnsiTheme="minorHAnsi" w:cs="Arial"/>
          <w:sz w:val="24"/>
          <w:szCs w:val="24"/>
        </w:rPr>
        <w:t xml:space="preserve">, sendo certo que, </w:t>
      </w:r>
      <w:r w:rsidR="00273203">
        <w:rPr>
          <w:rFonts w:asciiTheme="minorHAnsi" w:hAnsiTheme="minorHAnsi" w:cs="Arial"/>
          <w:sz w:val="24"/>
          <w:szCs w:val="24"/>
        </w:rPr>
        <w:t xml:space="preserve">exclusivamente </w:t>
      </w:r>
      <w:r w:rsidR="002A606C">
        <w:rPr>
          <w:rFonts w:asciiTheme="minorHAnsi" w:hAnsiTheme="minorHAnsi" w:cs="Arial"/>
          <w:sz w:val="24"/>
          <w:szCs w:val="24"/>
        </w:rPr>
        <w:t xml:space="preserve">no primeiro mês de contrato, </w:t>
      </w:r>
      <w:r w:rsidR="00273203">
        <w:rPr>
          <w:rFonts w:asciiTheme="minorHAnsi" w:hAnsiTheme="minorHAnsi" w:cs="Arial"/>
          <w:sz w:val="24"/>
          <w:szCs w:val="24"/>
        </w:rPr>
        <w:t xml:space="preserve">os prazos de 2 (dois) Dias Úteis acima serão correspondentes a </w:t>
      </w:r>
      <w:r w:rsidR="00273203" w:rsidRPr="00081E1A">
        <w:rPr>
          <w:rFonts w:asciiTheme="minorHAnsi" w:hAnsiTheme="minorHAnsi" w:cs="Arial"/>
          <w:sz w:val="24"/>
          <w:szCs w:val="24"/>
          <w:highlight w:val="yellow"/>
        </w:rPr>
        <w:t>[5 (cinco)]</w:t>
      </w:r>
      <w:r w:rsidR="00273203">
        <w:rPr>
          <w:rFonts w:asciiTheme="minorHAnsi" w:hAnsiTheme="minorHAnsi" w:cs="Arial"/>
          <w:sz w:val="24"/>
          <w:szCs w:val="24"/>
        </w:rPr>
        <w:t xml:space="preserve"> Dias Úteis</w:t>
      </w:r>
      <w:r w:rsidR="00DD0C31" w:rsidRPr="009D67F3">
        <w:rPr>
          <w:rFonts w:asciiTheme="minorHAnsi" w:hAnsiTheme="minorHAnsi" w:cs="Arial"/>
          <w:sz w:val="24"/>
          <w:szCs w:val="24"/>
        </w:rPr>
        <w:t>.</w:t>
      </w:r>
      <w:r w:rsidR="00961E42" w:rsidRPr="009D67F3">
        <w:rPr>
          <w:rFonts w:asciiTheme="minorHAnsi" w:hAnsiTheme="minorHAnsi" w:cs="Arial"/>
          <w:sz w:val="24"/>
          <w:szCs w:val="24"/>
        </w:rPr>
        <w:t xml:space="preserve"> </w:t>
      </w:r>
      <w:r w:rsidR="00C91FA4">
        <w:rPr>
          <w:rFonts w:asciiTheme="minorHAnsi" w:hAnsiTheme="minorHAnsi" w:cs="Arial"/>
          <w:sz w:val="24"/>
          <w:szCs w:val="24"/>
        </w:rPr>
        <w:t>[</w:t>
      </w:r>
      <w:r w:rsidR="00C91FA4" w:rsidRPr="00C91FA4">
        <w:rPr>
          <w:rFonts w:asciiTheme="minorHAnsi" w:hAnsiTheme="minorHAnsi" w:cs="Arial"/>
          <w:sz w:val="24"/>
          <w:szCs w:val="24"/>
          <w:highlight w:val="yellow"/>
        </w:rPr>
        <w:t>Nota ISEC: Ajustar para deixar mais elástico no primeiro mês</w:t>
      </w:r>
      <w:r w:rsidR="00C91FA4">
        <w:rPr>
          <w:rFonts w:asciiTheme="minorHAnsi" w:hAnsiTheme="minorHAnsi" w:cs="Arial"/>
          <w:sz w:val="24"/>
          <w:szCs w:val="24"/>
        </w:rPr>
        <w:t>]</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5"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6" w:name="_Hlk47990118"/>
      <w:r w:rsidR="0070304F" w:rsidRPr="009D67F3">
        <w:rPr>
          <w:rFonts w:asciiTheme="minorHAnsi" w:hAnsiTheme="minorHAnsi"/>
          <w:sz w:val="24"/>
          <w:szCs w:val="24"/>
        </w:rPr>
        <w:t xml:space="preserve">e/ou </w:t>
      </w:r>
      <w:bookmarkEnd w:id="6"/>
      <w:r w:rsidR="0070304F" w:rsidRPr="009D67F3">
        <w:rPr>
          <w:rFonts w:asciiTheme="minorHAnsi" w:hAnsiTheme="minorHAnsi"/>
          <w:sz w:val="24"/>
          <w:szCs w:val="24"/>
        </w:rPr>
        <w:t>(iii) amortização antecipada parcial ou resgate antecipado total das Obrigações Garantidas</w:t>
      </w:r>
      <w:bookmarkEnd w:id="5"/>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3DCE232"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xml:space="preserve">"),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w:t>
      </w:r>
      <w:r w:rsidR="0070304F" w:rsidRPr="009D67F3">
        <w:rPr>
          <w:rFonts w:asciiTheme="minorHAnsi" w:hAnsiTheme="minorHAnsi" w:cs="Helv"/>
          <w:color w:val="000000"/>
          <w:sz w:val="24"/>
          <w:szCs w:val="24"/>
        </w:rPr>
        <w:lastRenderedPageBreak/>
        <w:t>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r w:rsidR="006B7D7F">
        <w:rPr>
          <w:rFonts w:asciiTheme="minorHAnsi" w:hAnsiTheme="minorHAnsi" w:cs="Helv"/>
          <w:color w:val="000000"/>
          <w:sz w:val="24"/>
          <w:szCs w:val="24"/>
        </w:rPr>
        <w:t xml:space="preserve"> [</w:t>
      </w:r>
      <w:r w:rsidR="006B7D7F" w:rsidRPr="006B7D7F">
        <w:rPr>
          <w:rFonts w:asciiTheme="minorHAnsi" w:hAnsiTheme="minorHAnsi" w:cs="Helv"/>
          <w:color w:val="000000"/>
          <w:sz w:val="24"/>
          <w:szCs w:val="24"/>
          <w:highlight w:val="yellow"/>
        </w:rPr>
        <w:t>Nota QAM: Os créditos antecipados serão devolvidos, uma vez que não queremos a amortização antecipada</w:t>
      </w:r>
      <w:r w:rsidR="006B7D7F">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32A5A855"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C91FA4">
        <w:rPr>
          <w:rFonts w:asciiTheme="minorHAnsi" w:hAnsiTheme="minorHAnsi" w:cs="Helv"/>
          <w:color w:val="000000"/>
          <w:sz w:val="24"/>
          <w:szCs w:val="24"/>
        </w:rPr>
        <w:t xml:space="preserve"> </w:t>
      </w:r>
      <w:r w:rsidR="00C91FA4" w:rsidRPr="00E360E6">
        <w:rPr>
          <w:rFonts w:asciiTheme="minorHAnsi" w:hAnsiTheme="minorHAnsi" w:cs="Helv"/>
          <w:color w:val="000000"/>
          <w:sz w:val="24"/>
          <w:szCs w:val="24"/>
        </w:rPr>
        <w:t>e ao e-mail: conciliacao@certificadora.imb.br (Servicer)</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459E5D1C"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C91FA4">
        <w:rPr>
          <w:rFonts w:asciiTheme="minorHAnsi" w:hAnsiTheme="minorHAnsi"/>
          <w:sz w:val="24"/>
          <w:szCs w:val="24"/>
        </w:rPr>
        <w:t>e observada a ordem de prioridade de pagamentos prevista no Termo de Securitização</w:t>
      </w:r>
      <w:r w:rsidR="00C91FA4">
        <w:rPr>
          <w:rFonts w:asciiTheme="minorHAnsi" w:hAnsiTheme="minorHAnsi" w:cs="Trebuchet MS"/>
          <w:sz w:val="24"/>
          <w:szCs w:val="24"/>
        </w:rPr>
        <w:t xml:space="preserve">,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7"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8" w:name="_Hlk46953704"/>
      <w:bookmarkEnd w:id="7"/>
      <w:r w:rsidR="001111DA" w:rsidRPr="009D67F3">
        <w:rPr>
          <w:rFonts w:asciiTheme="minorHAnsi" w:hAnsiTheme="minorHAnsi" w:cs="Arial"/>
          <w:sz w:val="24"/>
          <w:szCs w:val="24"/>
        </w:rPr>
        <w:t xml:space="preserve">, sendo </w:t>
      </w:r>
      <w:bookmarkStart w:id="9"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9"/>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8"/>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deverá contar, a todo tempo, com pelo menos 30% (trinta por cento) de Recebíveis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 xml:space="preserve">o Índice </w:t>
      </w:r>
      <w:r w:rsidRPr="009D67F3">
        <w:rPr>
          <w:rFonts w:asciiTheme="minorHAnsi" w:hAnsiTheme="minorHAnsi" w:cs="Calibri"/>
          <w:sz w:val="24"/>
          <w:szCs w:val="24"/>
        </w:rPr>
        <w:lastRenderedPageBreak/>
        <w:t>de Cobertura</w:t>
      </w:r>
      <w:r w:rsidR="007F5775" w:rsidRPr="009D67F3">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78800E46"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w:t>
      </w:r>
      <w:proofErr w:type="spellStart"/>
      <w:r w:rsidRPr="00D04DEA">
        <w:rPr>
          <w:rFonts w:asciiTheme="minorHAnsi" w:hAnsiTheme="minorHAnsi" w:cs="Calibri"/>
          <w:sz w:val="24"/>
          <w:szCs w:val="24"/>
          <w:highlight w:val="yellow"/>
        </w:rPr>
        <w:t>Experian</w:t>
      </w:r>
      <w:proofErr w:type="spellEnd"/>
      <w:r w:rsidRPr="00D04DEA">
        <w:rPr>
          <w:rFonts w:asciiTheme="minorHAnsi" w:hAnsiTheme="minorHAnsi" w:cs="Calibri"/>
          <w:sz w:val="24"/>
          <w:szCs w:val="24"/>
          <w:highlight w:val="yellow"/>
        </w:rPr>
        <w:t xml:space="preserve">)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r w:rsidR="00D04DEA" w:rsidRPr="00D04DEA">
        <w:rPr>
          <w:rFonts w:asciiTheme="minorHAnsi" w:hAnsiTheme="minorHAnsi" w:cs="Calibri"/>
          <w:sz w:val="24"/>
          <w:szCs w:val="24"/>
          <w:highlight w:val="yellow"/>
        </w:rPr>
        <w:t>Nota Isec: Esses pontos serão verificados pelo Servicer?</w:t>
      </w:r>
      <w:r w:rsidR="00D04DEA">
        <w:rPr>
          <w:rFonts w:asciiTheme="minorHAnsi" w:hAnsiTheme="minorHAnsi" w:cs="Calibri"/>
          <w:sz w:val="24"/>
          <w:szCs w:val="24"/>
        </w:rPr>
        <w:t>]</w:t>
      </w:r>
      <w:r w:rsidR="006B7D7F">
        <w:rPr>
          <w:rFonts w:asciiTheme="minorHAnsi" w:hAnsiTheme="minorHAnsi" w:cs="Calibri"/>
          <w:sz w:val="24"/>
          <w:szCs w:val="24"/>
        </w:rPr>
        <w:t>[</w:t>
      </w:r>
      <w:r w:rsidR="006B7D7F" w:rsidRPr="006B7D7F">
        <w:rPr>
          <w:rFonts w:asciiTheme="minorHAnsi" w:hAnsiTheme="minorHAnsi" w:cs="Calibri"/>
          <w:sz w:val="24"/>
          <w:szCs w:val="24"/>
          <w:highlight w:val="yellow"/>
        </w:rPr>
        <w:t>Nota QAM: Confirmando – O Servicer quem vai indicar quais mutuários estão inadimplentes por mais de 60 dias? E para os casos com fluxo irregular? Todo esse controle é do Services? Não temos que prever esse escopo do Services em algum lugar?</w:t>
      </w:r>
      <w:r w:rsidR="006B7D7F">
        <w:rPr>
          <w:rFonts w:asciiTheme="minorHAnsi" w:hAnsiTheme="minorHAnsi" w:cs="Calibri"/>
          <w:sz w:val="24"/>
          <w:szCs w:val="24"/>
        </w:rPr>
        <w:t>]</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Certificadora: Esta verificação não é realizada no âmbito do serviço de espelhamento.]</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ISEC: esclarecer como será feita a verificação. Apenas para entendimento: a Certificadora não encaminhará as informações em amarelo, mas as demais sim, correto?]</w:t>
      </w:r>
    </w:p>
    <w:p w14:paraId="4013E00B" w14:textId="3A3AF2CA"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r w:rsidR="004D3481">
        <w:rPr>
          <w:rFonts w:asciiTheme="minorHAnsi" w:hAnsiTheme="minorHAnsi" w:cs="Calibri"/>
          <w:sz w:val="24"/>
          <w:szCs w:val="24"/>
        </w:rPr>
        <w:t xml:space="preserve"> </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31A2C93C"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w:t>
      </w:r>
      <w:r w:rsidR="00C91FA4">
        <w:rPr>
          <w:rFonts w:asciiTheme="minorHAnsi" w:hAnsiTheme="minorHAnsi" w:cs="Calibri"/>
          <w:sz w:val="24"/>
          <w:szCs w:val="24"/>
        </w:rPr>
        <w:t xml:space="preserve"> e ao Servicer, para fins de acompanhamento</w:t>
      </w:r>
      <w:r w:rsidRPr="009D67F3">
        <w:rPr>
          <w:rFonts w:asciiTheme="minorHAnsi" w:hAnsiTheme="minorHAnsi" w:cs="Calibri"/>
          <w:sz w:val="24"/>
          <w:szCs w:val="24"/>
        </w:rPr>
        <w:t>,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p>
    <w:p w14:paraId="3CAEB14A" w14:textId="42806B75"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lastRenderedPageBreak/>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r w:rsidR="00C91FA4" w:rsidRPr="00C91FA4">
        <w:rPr>
          <w:rFonts w:asciiTheme="minorHAnsi" w:hAnsiTheme="minorHAnsi" w:cs="Arial"/>
          <w:sz w:val="24"/>
          <w:szCs w:val="24"/>
          <w:highlight w:val="yellow"/>
        </w:rPr>
        <w:t>[Nota Certificadora: O Servicer deverá receber cópia</w:t>
      </w:r>
      <w:r w:rsidR="00C91FA4">
        <w:rPr>
          <w:rFonts w:asciiTheme="minorHAnsi" w:hAnsiTheme="minorHAnsi" w:cs="Arial"/>
          <w:sz w:val="24"/>
          <w:szCs w:val="24"/>
          <w:highlight w:val="yellow"/>
        </w:rPr>
        <w:t xml:space="preserve"> </w:t>
      </w:r>
      <w:r w:rsidR="00C91FA4" w:rsidRPr="00C91FA4">
        <w:rPr>
          <w:rFonts w:asciiTheme="minorHAnsi" w:hAnsiTheme="minorHAnsi" w:cs="Arial"/>
          <w:sz w:val="24"/>
          <w:szCs w:val="24"/>
          <w:highlight w:val="yellow"/>
        </w:rPr>
        <w:t>dos aditamentos para fins de espelhamento.]</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4D0EC2DC"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(g)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A5657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(d)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2A2A765A" w:rsidR="00241B77"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6B7D7F">
        <w:rPr>
          <w:rFonts w:asciiTheme="minorHAnsi" w:hAnsiTheme="minorHAnsi" w:cs="Calibri"/>
          <w:sz w:val="24"/>
          <w:szCs w:val="24"/>
        </w:rPr>
        <w:t>[</w:t>
      </w:r>
      <w:r w:rsidR="006B7D7F" w:rsidRPr="006B7D7F">
        <w:rPr>
          <w:rFonts w:asciiTheme="minorHAnsi" w:hAnsiTheme="minorHAnsi" w:cs="Calibri"/>
          <w:sz w:val="24"/>
          <w:szCs w:val="24"/>
          <w:highlight w:val="yellow"/>
        </w:rPr>
        <w:t>Nota QAM: Levar em consideração o que foi definido na CCB</w:t>
      </w:r>
      <w:r w:rsidR="006B7D7F">
        <w:rPr>
          <w:rFonts w:asciiTheme="minorHAnsi" w:hAnsiTheme="minorHAnsi" w:cs="Calibri"/>
          <w:sz w:val="24"/>
          <w:szCs w:val="24"/>
        </w:rPr>
        <w:t>]</w:t>
      </w:r>
    </w:p>
    <w:p w14:paraId="3F2EEBE5" w14:textId="36CBFE09" w:rsidR="006B7D7F" w:rsidRPr="006B7D7F" w:rsidRDefault="006B7D7F" w:rsidP="006B7D7F">
      <w:pPr>
        <w:pStyle w:val="PargrafodaLista"/>
        <w:tabs>
          <w:tab w:val="left" w:pos="851"/>
        </w:tabs>
        <w:spacing w:line="312" w:lineRule="auto"/>
        <w:ind w:left="0"/>
        <w:contextualSpacing/>
        <w:jc w:val="both"/>
        <w:rPr>
          <w:rFonts w:asciiTheme="minorHAnsi" w:hAnsiTheme="minorHAnsi" w:cstheme="minorHAnsi"/>
          <w:sz w:val="24"/>
          <w:szCs w:val="24"/>
        </w:rPr>
      </w:pPr>
      <w:r w:rsidRPr="006B7D7F">
        <w:rPr>
          <w:rFonts w:asciiTheme="minorHAnsi" w:hAnsiTheme="minorHAnsi" w:cs="Calibri"/>
          <w:sz w:val="24"/>
          <w:szCs w:val="24"/>
        </w:rPr>
        <w:t>3.15.</w:t>
      </w:r>
      <w:r w:rsidRPr="006B7D7F">
        <w:rPr>
          <w:rFonts w:asciiTheme="minorHAnsi" w:hAnsiTheme="minorHAnsi" w:cs="Calibri"/>
          <w:sz w:val="24"/>
          <w:szCs w:val="24"/>
        </w:rPr>
        <w:tab/>
      </w:r>
      <w:r w:rsidRPr="006B7D7F">
        <w:rPr>
          <w:rFonts w:asciiTheme="minorHAnsi" w:hAnsiTheme="minorHAnsi" w:cstheme="minorHAnsi"/>
          <w:sz w:val="24"/>
          <w:szCs w:val="24"/>
        </w:rPr>
        <w:t>O pagamento antecipado parcial da CCB é permitido nos seguintes casos (“</w:t>
      </w:r>
      <w:r w:rsidRPr="006B7D7F">
        <w:rPr>
          <w:rFonts w:asciiTheme="minorHAnsi" w:hAnsiTheme="minorHAnsi" w:cstheme="minorHAnsi"/>
          <w:sz w:val="24"/>
          <w:szCs w:val="24"/>
          <w:u w:val="single"/>
        </w:rPr>
        <w:t>Amortização Antecipada Facultativa</w:t>
      </w:r>
      <w:r w:rsidRPr="006B7D7F">
        <w:rPr>
          <w:rFonts w:asciiTheme="minorHAnsi" w:hAnsiTheme="minorHAnsi" w:cstheme="minorHAnsi"/>
          <w:sz w:val="24"/>
          <w:szCs w:val="24"/>
        </w:rPr>
        <w:t xml:space="preserve">”): </w:t>
      </w:r>
    </w:p>
    <w:p w14:paraId="5F92FA21" w14:textId="24929F1A"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27EE7D7E"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sz w:val="24"/>
          <w:szCs w:val="24"/>
        </w:rPr>
      </w:pPr>
    </w:p>
    <w:p w14:paraId="56A95A3C" w14:textId="0A8DD7F5"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a partir do 8º (oitavo) mês, respeitado um limite máximo de 1 (uma) Amortização Antecipada Facultativa a cada 4 (quatro) meses e um montante correspondente a, no máximo, 20% (vinte por cento) do Saldo Devedor</w:t>
      </w:r>
      <w:r w:rsidR="00BA4F79">
        <w:rPr>
          <w:rFonts w:asciiTheme="minorHAnsi" w:hAnsiTheme="minorHAnsi" w:cstheme="minorHAnsi"/>
          <w:sz w:val="24"/>
          <w:szCs w:val="24"/>
        </w:rPr>
        <w:t xml:space="preserve"> em um mesmo período de 12 (doze) meses</w:t>
      </w:r>
      <w:r w:rsidRPr="006B7D7F">
        <w:rPr>
          <w:rFonts w:asciiTheme="minorHAnsi" w:hAnsiTheme="minorHAnsi" w:cstheme="minorHAnsi"/>
          <w:sz w:val="24"/>
          <w:szCs w:val="24"/>
        </w:rPr>
        <w:t xml:space="preserve">, acrescido da Atualização Monetária e Juros Remuneratórios nos termos da Cláusula 2 </w:t>
      </w:r>
      <w:r>
        <w:rPr>
          <w:rFonts w:asciiTheme="minorHAnsi" w:hAnsiTheme="minorHAnsi" w:cstheme="minorHAnsi"/>
          <w:sz w:val="24"/>
          <w:szCs w:val="24"/>
        </w:rPr>
        <w:t>da CCB</w:t>
      </w:r>
      <w:r w:rsidRPr="006B7D7F">
        <w:rPr>
          <w:rFonts w:asciiTheme="minorHAnsi" w:hAnsiTheme="minorHAnsi" w:cstheme="minorHAnsi"/>
          <w:sz w:val="24"/>
          <w:szCs w:val="24"/>
        </w:rPr>
        <w:t xml:space="preserve">, contados da data de liberação dos recursos </w:t>
      </w:r>
      <w:r>
        <w:rPr>
          <w:rFonts w:asciiTheme="minorHAnsi" w:hAnsiTheme="minorHAnsi" w:cstheme="minorHAnsi"/>
          <w:sz w:val="24"/>
          <w:szCs w:val="24"/>
        </w:rPr>
        <w:t xml:space="preserve">da </w:t>
      </w:r>
      <w:r w:rsidRPr="006B7D7F">
        <w:rPr>
          <w:rFonts w:asciiTheme="minorHAnsi" w:hAnsiTheme="minorHAnsi" w:cstheme="minorHAnsi"/>
          <w:sz w:val="24"/>
          <w:szCs w:val="24"/>
        </w:rPr>
        <w:t xml:space="preserve">CCB (ou da data de último pagamento de juros sobre o saldo devedor, o que ocorrer por último) até a data da respectiva liquidação </w:t>
      </w:r>
      <w:r>
        <w:rPr>
          <w:rFonts w:asciiTheme="minorHAnsi" w:hAnsiTheme="minorHAnsi" w:cstheme="minorHAnsi"/>
          <w:sz w:val="24"/>
          <w:szCs w:val="24"/>
        </w:rPr>
        <w:t>da CCB</w:t>
      </w:r>
      <w:r w:rsidRPr="006B7D7F">
        <w:rPr>
          <w:rFonts w:asciiTheme="minorHAnsi" w:hAnsiTheme="minorHAnsi" w:cstheme="minorHAnsi"/>
          <w:sz w:val="24"/>
          <w:szCs w:val="24"/>
        </w:rPr>
        <w:t xml:space="preserve"> (“</w:t>
      </w:r>
      <w:r w:rsidRPr="006B7D7F">
        <w:rPr>
          <w:rFonts w:asciiTheme="minorHAnsi" w:hAnsiTheme="minorHAnsi" w:cstheme="minorHAnsi"/>
          <w:sz w:val="24"/>
          <w:szCs w:val="24"/>
          <w:u w:val="single"/>
        </w:rPr>
        <w:t>Valor de Amortização Antecipada Facultativa”)</w:t>
      </w:r>
      <w:r w:rsidRPr="006B7D7F">
        <w:rPr>
          <w:rFonts w:asciiTheme="minorHAnsi" w:hAnsiTheme="minorHAnsi" w:cstheme="minorHAnsi"/>
          <w:sz w:val="24"/>
          <w:szCs w:val="24"/>
        </w:rPr>
        <w:t xml:space="preserve">, acrescido de prêmio de pré-pagamento correspondente a 2% (dois por cento) incidente sobre o Valor de Amortização Antecipada Facultativa. As Partes pactuam, de pleno e comum acordo, o mencionado prêmio de pré-pagamento em favor do Credor, tendo em vista que o prazo das obrigações da </w:t>
      </w:r>
      <w:r>
        <w:rPr>
          <w:rFonts w:asciiTheme="minorHAnsi" w:hAnsiTheme="minorHAnsi" w:cstheme="minorHAnsi"/>
          <w:sz w:val="24"/>
          <w:szCs w:val="24"/>
        </w:rPr>
        <w:t>Devedora decorrente da</w:t>
      </w:r>
      <w:r w:rsidRPr="006B7D7F">
        <w:rPr>
          <w:rFonts w:asciiTheme="minorHAnsi" w:hAnsiTheme="minorHAnsi" w:cstheme="minorHAnsi"/>
          <w:sz w:val="24"/>
          <w:szCs w:val="24"/>
        </w:rPr>
        <w:t xml:space="preserve"> CCB foi estabelecido no interesse da </w:t>
      </w:r>
      <w:r>
        <w:rPr>
          <w:rFonts w:asciiTheme="minorHAnsi" w:hAnsiTheme="minorHAnsi" w:cstheme="minorHAnsi"/>
          <w:sz w:val="24"/>
          <w:szCs w:val="24"/>
        </w:rPr>
        <w:t>Devedora</w:t>
      </w:r>
      <w:r w:rsidRPr="006B7D7F">
        <w:rPr>
          <w:rFonts w:asciiTheme="minorHAnsi" w:hAnsiTheme="minorHAnsi" w:cstheme="minorHAnsi"/>
          <w:sz w:val="24"/>
          <w:szCs w:val="24"/>
        </w:rPr>
        <w:t xml:space="preserve"> e do Credor, de forma que o pagamento antecipado pela </w:t>
      </w:r>
      <w:r>
        <w:rPr>
          <w:rFonts w:asciiTheme="minorHAnsi" w:hAnsiTheme="minorHAnsi" w:cstheme="minorHAnsi"/>
          <w:sz w:val="24"/>
          <w:szCs w:val="24"/>
        </w:rPr>
        <w:t>Devedora</w:t>
      </w:r>
      <w:r w:rsidRPr="006B7D7F">
        <w:rPr>
          <w:rFonts w:asciiTheme="minorHAnsi" w:hAnsiTheme="minorHAnsi" w:cstheme="minorHAnsi"/>
          <w:sz w:val="24"/>
          <w:szCs w:val="24"/>
        </w:rPr>
        <w:t xml:space="preserve"> constitui cumprimento da obrigação fora do prazo; </w:t>
      </w:r>
    </w:p>
    <w:p w14:paraId="56254430"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rPr>
      </w:pPr>
    </w:p>
    <w:p w14:paraId="19592519" w14:textId="3524DC87"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p>
    <w:p w14:paraId="0BF0E25D" w14:textId="622D0860"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 xml:space="preserve">as Fiduciantes terão o mesmo prazo previsto no item </w:t>
      </w:r>
      <w:r w:rsidRPr="009D67F3">
        <w:rPr>
          <w:rFonts w:asciiTheme="minorHAnsi" w:hAnsiTheme="minorHAnsi" w:cs="Calibri"/>
          <w:sz w:val="24"/>
          <w:szCs w:val="24"/>
        </w:rPr>
        <w:lastRenderedPageBreak/>
        <w:t>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74A722D7"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w:t>
      </w:r>
      <w:r w:rsidR="006B7D7F">
        <w:rPr>
          <w:rFonts w:asciiTheme="minorHAnsi" w:hAnsiTheme="minorHAnsi" w:cs="Arial"/>
          <w:sz w:val="24"/>
          <w:szCs w:val="24"/>
        </w:rPr>
        <w:t>2</w:t>
      </w:r>
      <w:r w:rsidRPr="009D67F3">
        <w:rPr>
          <w:rFonts w:asciiTheme="minorHAnsi" w:hAnsiTheme="minorHAnsi" w:cs="Arial"/>
          <w:sz w:val="24"/>
          <w:szCs w:val="24"/>
        </w:rPr>
        <w:t>.</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w:t>
      </w:r>
      <w:r w:rsidR="00350587" w:rsidRPr="009D67F3">
        <w:rPr>
          <w:rFonts w:asciiTheme="minorHAnsi" w:hAnsiTheme="minorHAnsi" w:cs="Calibri"/>
          <w:sz w:val="24"/>
          <w:szCs w:val="24"/>
        </w:rPr>
        <w:lastRenderedPageBreak/>
        <w:t xml:space="preserve">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4AF0756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 xml:space="preserve">teis da data em que </w:t>
      </w:r>
      <w:r w:rsidR="00C91FA4">
        <w:rPr>
          <w:rFonts w:asciiTheme="minorHAnsi" w:hAnsiTheme="minorHAnsi" w:cs="Calibri"/>
          <w:sz w:val="24"/>
          <w:szCs w:val="24"/>
        </w:rPr>
        <w:t>o Agente Fiduciário atestar a referida quitação</w:t>
      </w:r>
      <w:r w:rsidR="00350587" w:rsidRPr="009D67F3">
        <w:rPr>
          <w:rFonts w:asciiTheme="minorHAnsi" w:hAnsiTheme="minorHAnsi" w:cs="Calibri"/>
          <w:sz w:val="24"/>
          <w:szCs w:val="24"/>
        </w:rPr>
        <w:t>.</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0" w:name="_DV_M63"/>
      <w:bookmarkEnd w:id="10"/>
      <w:r w:rsidRPr="00AF7E5F">
        <w:rPr>
          <w:rFonts w:asciiTheme="minorHAnsi" w:hAnsiTheme="minorHAnsi" w:cstheme="minorHAnsi"/>
          <w:color w:val="000000"/>
          <w:sz w:val="24"/>
          <w:szCs w:val="24"/>
        </w:rPr>
        <w:t>é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1" w:name="_DV_M64"/>
      <w:bookmarkEnd w:id="11"/>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2" w:name="_DV_M65"/>
      <w:bookmarkEnd w:id="12"/>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w:t>
      </w:r>
      <w:r w:rsidR="00AF7E5F">
        <w:rPr>
          <w:rFonts w:asciiTheme="minorHAnsi" w:hAnsiTheme="minorHAnsi" w:cs="Trebuchet MS"/>
          <w:sz w:val="24"/>
          <w:szCs w:val="24"/>
        </w:rPr>
        <w:lastRenderedPageBreak/>
        <w:t>(quando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3" w:name="_DV_M66"/>
      <w:bookmarkEnd w:id="13"/>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4" w:name="_DV_M67"/>
      <w:bookmarkEnd w:id="14"/>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5" w:name="_DV_M68"/>
      <w:bookmarkEnd w:id="15"/>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6" w:name="_DV_M69"/>
      <w:bookmarkEnd w:id="16"/>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7" w:name="_DV_M70"/>
      <w:bookmarkStart w:id="18" w:name="_DV_M71"/>
      <w:bookmarkEnd w:id="17"/>
      <w:bookmarkEnd w:id="18"/>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19" w:name="_DV_M73"/>
      <w:bookmarkEnd w:id="19"/>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0" w:name="_DV_M74"/>
      <w:bookmarkEnd w:id="20"/>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w:t>
      </w:r>
      <w:r w:rsidRPr="009D67F3">
        <w:rPr>
          <w:rFonts w:asciiTheme="minorHAnsi" w:hAnsiTheme="minorHAnsi" w:cs="Trebuchet MS"/>
          <w:sz w:val="24"/>
          <w:szCs w:val="24"/>
        </w:rPr>
        <w:lastRenderedPageBreak/>
        <w:t xml:space="preserve">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1" w:name="_DV_M75"/>
      <w:bookmarkEnd w:id="21"/>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2" w:name="_DV_M76"/>
      <w:bookmarkEnd w:id="22"/>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3" w:name="_DV_M78"/>
      <w:bookmarkStart w:id="24" w:name="_DV_M79"/>
      <w:bookmarkEnd w:id="23"/>
      <w:bookmarkEnd w:id="24"/>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9D67F3">
        <w:rPr>
          <w:rFonts w:asciiTheme="minorHAnsi" w:hAnsiTheme="minorHAnsi" w:cs="Trebuchet MS"/>
          <w:sz w:val="24"/>
          <w:szCs w:val="24"/>
        </w:rPr>
        <w:t>nesta</w:t>
      </w:r>
      <w:proofErr w:type="spellEnd"/>
      <w:r w:rsidRPr="009D67F3">
        <w:rPr>
          <w:rFonts w:asciiTheme="minorHAnsi" w:hAnsiTheme="minorHAnsi" w:cs="Trebuchet MS"/>
          <w:sz w:val="24"/>
          <w:szCs w:val="24"/>
        </w:rPr>
        <w:t xml:space="preserve">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w:t>
      </w:r>
      <w:r w:rsidRPr="009D67F3">
        <w:rPr>
          <w:rFonts w:asciiTheme="minorHAnsi" w:hAnsiTheme="minorHAnsi" w:cs="Trebuchet MS"/>
          <w:sz w:val="24"/>
          <w:szCs w:val="24"/>
        </w:rPr>
        <w:lastRenderedPageBreak/>
        <w:t xml:space="preserve">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25" w:name="_DV_M96"/>
      <w:bookmarkStart w:id="26" w:name="_DV_M97"/>
      <w:bookmarkEnd w:id="25"/>
      <w:bookmarkEnd w:id="26"/>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27" w:name="_DV_M81"/>
      <w:bookmarkEnd w:id="27"/>
      <w:r w:rsidRPr="009D67F3">
        <w:rPr>
          <w:rFonts w:asciiTheme="minorHAnsi" w:hAnsiTheme="minorHAnsi"/>
          <w:sz w:val="24"/>
          <w:szCs w:val="24"/>
        </w:rPr>
        <w:lastRenderedPageBreak/>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28" w:name="_DV_M82"/>
      <w:bookmarkEnd w:id="28"/>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29" w:name="_DV_M83"/>
      <w:bookmarkEnd w:id="29"/>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0" w:name="_DV_M84"/>
      <w:bookmarkEnd w:id="30"/>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1" w:name="_DV_M85"/>
      <w:bookmarkEnd w:id="31"/>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32" w:name="_DV_M86"/>
      <w:bookmarkEnd w:id="32"/>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33" w:name="_DV_M90"/>
      <w:bookmarkEnd w:id="33"/>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w:t>
      </w:r>
      <w:r w:rsidRPr="009D67F3">
        <w:rPr>
          <w:rFonts w:asciiTheme="minorHAnsi" w:hAnsiTheme="minorHAnsi"/>
          <w:sz w:val="24"/>
          <w:szCs w:val="24"/>
        </w:rPr>
        <w:lastRenderedPageBreak/>
        <w:t xml:space="preserve">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34"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34"/>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35" w:name="_DV_M91"/>
      <w:bookmarkStart w:id="36" w:name="_Ref361074933"/>
      <w:bookmarkEnd w:id="35"/>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36"/>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37" w:name="_DV_M92"/>
      <w:bookmarkStart w:id="38" w:name="_DV_M93"/>
      <w:bookmarkEnd w:id="37"/>
      <w:bookmarkEnd w:id="38"/>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w:t>
      </w:r>
      <w:r w:rsidRPr="009D67F3">
        <w:rPr>
          <w:rFonts w:asciiTheme="minorHAnsi" w:hAnsiTheme="minorHAnsi" w:cs="Calibri"/>
          <w:sz w:val="24"/>
          <w:szCs w:val="24"/>
        </w:rPr>
        <w:lastRenderedPageBreak/>
        <w:t>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39" w:name="_Hlk56112511"/>
      <w:r w:rsidRPr="009D67F3">
        <w:rPr>
          <w:rFonts w:asciiTheme="minorHAnsi" w:hAnsiTheme="minorHAnsi" w:cs="Calibri"/>
          <w:bCs/>
          <w:sz w:val="24"/>
          <w:szCs w:val="24"/>
          <w:lang w:val="en-US"/>
        </w:rPr>
        <w:t>Ismael Merlotti</w:t>
      </w:r>
      <w:bookmarkEnd w:id="39"/>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40" w:name="_Hlk56112535"/>
      <w:r w:rsidRPr="009D67F3">
        <w:rPr>
          <w:rFonts w:asciiTheme="minorHAnsi" w:hAnsiTheme="minorHAnsi" w:cs="Calibri"/>
          <w:sz w:val="24"/>
          <w:szCs w:val="24"/>
        </w:rPr>
        <w:t>) 3056-8010</w:t>
      </w:r>
      <w:bookmarkEnd w:id="40"/>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41" w:name="_Toc166496395"/>
      <w:bookmarkStart w:id="42" w:name="_Toc164740430"/>
      <w:bookmarkStart w:id="43" w:name="_Toc164251720"/>
      <w:bookmarkStart w:id="44" w:name="_Toc162433140"/>
      <w:r w:rsidRPr="009D67F3">
        <w:rPr>
          <w:rFonts w:asciiTheme="minorHAnsi" w:hAnsiTheme="minorHAnsi" w:cs="Calibri"/>
          <w:b/>
          <w:color w:val="000000"/>
          <w:sz w:val="24"/>
          <w:szCs w:val="24"/>
        </w:rPr>
        <w:t xml:space="preserve">ISEC SECURITIZADORA S.A. </w:t>
      </w:r>
      <w:bookmarkEnd w:id="41"/>
      <w:bookmarkEnd w:id="42"/>
      <w:bookmarkEnd w:id="43"/>
      <w:bookmarkEnd w:id="44"/>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45" w:name="_DV_M264"/>
      <w:bookmarkEnd w:id="45"/>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46" w:name="_DV_M252"/>
      <w:bookmarkEnd w:id="46"/>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05D4245F"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47" w:name="_DV_M253"/>
      <w:bookmarkEnd w:id="47"/>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00C91FA4">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48" w:name="_DV_M254"/>
      <w:bookmarkStart w:id="49" w:name="_DV_M255"/>
      <w:bookmarkEnd w:id="48"/>
      <w:bookmarkEnd w:id="49"/>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0" w:name="_Hlk46225202"/>
      <w:bookmarkStart w:id="51"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0"/>
      <w:bookmarkEnd w:id="51"/>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52" w:name="_DV_M257"/>
      <w:bookmarkEnd w:id="52"/>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53" w:name="_DV_M455"/>
      <w:bookmarkStart w:id="54" w:name="_DV_M456"/>
      <w:bookmarkStart w:id="55" w:name="_DV_M457"/>
      <w:bookmarkStart w:id="56" w:name="_DV_M429"/>
      <w:bookmarkStart w:id="57" w:name="_DV_M431"/>
      <w:bookmarkEnd w:id="53"/>
      <w:bookmarkEnd w:id="54"/>
      <w:bookmarkEnd w:id="55"/>
      <w:bookmarkEnd w:id="56"/>
      <w:bookmarkEnd w:id="57"/>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273203" w:rsidRDefault="00273203" w:rsidP="00DF7683">
      <w:r>
        <w:separator/>
      </w:r>
    </w:p>
  </w:endnote>
  <w:endnote w:type="continuationSeparator" w:id="0">
    <w:p w14:paraId="5D5AD5BB" w14:textId="77777777" w:rsidR="00273203" w:rsidRDefault="00273203"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NewsGoth Cn BT">
    <w:altName w:val="NewsGoth Cn BT"/>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273203" w:rsidRDefault="00273203" w:rsidP="00DF7683">
      <w:r>
        <w:separator/>
      </w:r>
    </w:p>
  </w:footnote>
  <w:footnote w:type="continuationSeparator" w:id="0">
    <w:p w14:paraId="70F9F28B" w14:textId="77777777" w:rsidR="00273203" w:rsidRDefault="00273203"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273203" w:rsidRPr="00DF7683" w:rsidRDefault="00273203" w:rsidP="00DF7683">
    <w:pPr>
      <w:pStyle w:val="Cabealho"/>
      <w:jc w:val="right"/>
      <w:rPr>
        <w:rFonts w:ascii="Verdana" w:hAnsi="Verdana"/>
        <w:i/>
      </w:rPr>
    </w:pPr>
    <w:r w:rsidRPr="00DF7683">
      <w:rPr>
        <w:rFonts w:ascii="Verdana" w:hAnsi="Verdana"/>
        <w:i/>
      </w:rPr>
      <w:t>Minuta KLA</w:t>
    </w:r>
  </w:p>
  <w:p w14:paraId="242D3AEF" w14:textId="7EA28C98" w:rsidR="00273203" w:rsidRPr="00DF7683" w:rsidRDefault="00273203" w:rsidP="00DF7683">
    <w:pPr>
      <w:pStyle w:val="Cabealho"/>
      <w:jc w:val="right"/>
      <w:rPr>
        <w:rFonts w:ascii="Verdana" w:hAnsi="Verdana"/>
        <w:i/>
      </w:rPr>
    </w:pPr>
    <w:r>
      <w:rPr>
        <w:rFonts w:ascii="Verdana" w:hAnsi="Verdana"/>
        <w:i/>
      </w:rPr>
      <w:t>22.03</w:t>
    </w:r>
    <w:r w:rsidRPr="00DF7683">
      <w:rPr>
        <w:rFonts w:ascii="Verdana" w:hAnsi="Verdana"/>
        <w:i/>
      </w:rPr>
      <w:t>.2021</w:t>
    </w:r>
  </w:p>
  <w:p w14:paraId="763AAAAD" w14:textId="77777777" w:rsidR="00273203" w:rsidRDefault="002732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353A3"/>
    <w:rsid w:val="00050FCB"/>
    <w:rsid w:val="00071B29"/>
    <w:rsid w:val="00081E1A"/>
    <w:rsid w:val="00085852"/>
    <w:rsid w:val="0009391F"/>
    <w:rsid w:val="000A203F"/>
    <w:rsid w:val="000C0E39"/>
    <w:rsid w:val="000C3D93"/>
    <w:rsid w:val="000E76E2"/>
    <w:rsid w:val="000F25BE"/>
    <w:rsid w:val="000F2E4A"/>
    <w:rsid w:val="000F719D"/>
    <w:rsid w:val="0010081F"/>
    <w:rsid w:val="00105665"/>
    <w:rsid w:val="001111DA"/>
    <w:rsid w:val="001B6C78"/>
    <w:rsid w:val="001D7D8A"/>
    <w:rsid w:val="001E4339"/>
    <w:rsid w:val="001F5CAD"/>
    <w:rsid w:val="00236358"/>
    <w:rsid w:val="00241B77"/>
    <w:rsid w:val="002668F5"/>
    <w:rsid w:val="00273203"/>
    <w:rsid w:val="00283EE8"/>
    <w:rsid w:val="00291EA1"/>
    <w:rsid w:val="002A606C"/>
    <w:rsid w:val="002B5D0E"/>
    <w:rsid w:val="002C6E88"/>
    <w:rsid w:val="002F0FF1"/>
    <w:rsid w:val="00350587"/>
    <w:rsid w:val="00350ABD"/>
    <w:rsid w:val="0035184E"/>
    <w:rsid w:val="00374194"/>
    <w:rsid w:val="00393E9C"/>
    <w:rsid w:val="00401354"/>
    <w:rsid w:val="00405314"/>
    <w:rsid w:val="00472E4E"/>
    <w:rsid w:val="004A3BFC"/>
    <w:rsid w:val="004C5E75"/>
    <w:rsid w:val="004D3481"/>
    <w:rsid w:val="004E4B46"/>
    <w:rsid w:val="004F5C45"/>
    <w:rsid w:val="0051463D"/>
    <w:rsid w:val="00557F05"/>
    <w:rsid w:val="00582098"/>
    <w:rsid w:val="00584F87"/>
    <w:rsid w:val="005B7547"/>
    <w:rsid w:val="005C34CB"/>
    <w:rsid w:val="005C5DF2"/>
    <w:rsid w:val="005E47D4"/>
    <w:rsid w:val="005E6D2D"/>
    <w:rsid w:val="00624963"/>
    <w:rsid w:val="00632E36"/>
    <w:rsid w:val="006A5EEB"/>
    <w:rsid w:val="006B7D7F"/>
    <w:rsid w:val="006C52A7"/>
    <w:rsid w:val="006C626C"/>
    <w:rsid w:val="0070304F"/>
    <w:rsid w:val="007036EA"/>
    <w:rsid w:val="00786B3F"/>
    <w:rsid w:val="007B37C9"/>
    <w:rsid w:val="007C162B"/>
    <w:rsid w:val="007D225B"/>
    <w:rsid w:val="007F1C5A"/>
    <w:rsid w:val="007F5775"/>
    <w:rsid w:val="008038C3"/>
    <w:rsid w:val="00807ABE"/>
    <w:rsid w:val="00817B7B"/>
    <w:rsid w:val="00825539"/>
    <w:rsid w:val="00854507"/>
    <w:rsid w:val="00855366"/>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34C49"/>
    <w:rsid w:val="00A51D1B"/>
    <w:rsid w:val="00A809D9"/>
    <w:rsid w:val="00AA0E73"/>
    <w:rsid w:val="00AE3CF5"/>
    <w:rsid w:val="00AF1B72"/>
    <w:rsid w:val="00AF7E5F"/>
    <w:rsid w:val="00B009BA"/>
    <w:rsid w:val="00B00D92"/>
    <w:rsid w:val="00B056EC"/>
    <w:rsid w:val="00B257CE"/>
    <w:rsid w:val="00B35A0A"/>
    <w:rsid w:val="00B60763"/>
    <w:rsid w:val="00BA4F79"/>
    <w:rsid w:val="00BD1E3C"/>
    <w:rsid w:val="00BD36F9"/>
    <w:rsid w:val="00BF5ABA"/>
    <w:rsid w:val="00C02E94"/>
    <w:rsid w:val="00C14035"/>
    <w:rsid w:val="00C44B35"/>
    <w:rsid w:val="00C47CD8"/>
    <w:rsid w:val="00C5444E"/>
    <w:rsid w:val="00C715DA"/>
    <w:rsid w:val="00C739BA"/>
    <w:rsid w:val="00C8379F"/>
    <w:rsid w:val="00C91FA4"/>
    <w:rsid w:val="00CA55D9"/>
    <w:rsid w:val="00CB573B"/>
    <w:rsid w:val="00CC400D"/>
    <w:rsid w:val="00CC5F74"/>
    <w:rsid w:val="00D04DEA"/>
    <w:rsid w:val="00D346AA"/>
    <w:rsid w:val="00D52562"/>
    <w:rsid w:val="00D531BC"/>
    <w:rsid w:val="00D803D8"/>
    <w:rsid w:val="00D81ED8"/>
    <w:rsid w:val="00DB0D2E"/>
    <w:rsid w:val="00DC647D"/>
    <w:rsid w:val="00DD0C31"/>
    <w:rsid w:val="00DD60CD"/>
    <w:rsid w:val="00DE5FCC"/>
    <w:rsid w:val="00DE71FC"/>
    <w:rsid w:val="00DF30BB"/>
    <w:rsid w:val="00DF7683"/>
    <w:rsid w:val="00E15A75"/>
    <w:rsid w:val="00E35795"/>
    <w:rsid w:val="00E722BB"/>
    <w:rsid w:val="00E77B56"/>
    <w:rsid w:val="00E9753F"/>
    <w:rsid w:val="00EC0AC4"/>
    <w:rsid w:val="00EC327F"/>
    <w:rsid w:val="00EE017D"/>
    <w:rsid w:val="00EE0AEC"/>
    <w:rsid w:val="00EF1563"/>
    <w:rsid w:val="00EF2CB3"/>
    <w:rsid w:val="00F07049"/>
    <w:rsid w:val="00F07640"/>
    <w:rsid w:val="00F106F3"/>
    <w:rsid w:val="00F107F6"/>
    <w:rsid w:val="00F15F1F"/>
    <w:rsid w:val="00F2198E"/>
    <w:rsid w:val="00F378BC"/>
    <w:rsid w:val="00F62D51"/>
    <w:rsid w:val="00F67559"/>
    <w:rsid w:val="00F7401F"/>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8226;]"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conciliacao@certificadora.imb.br" TargetMode="External" Id="rId9"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DDEB3-E0F2-42C3-9E2E-A72DBD07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12755</Words>
  <Characters>68883</Characters>
  <Application>Microsoft Office Word</Application>
  <DocSecurity>0</DocSecurity>
  <Lines>574</Lines>
  <Paragraphs>162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dcterms:created xsi:type="dcterms:W3CDTF">2021-03-22T00:51:00Z</dcterms:created>
  <dcterms:modified xsi:type="dcterms:W3CDTF">2021-03-22T15:18:00Z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104064704</vt:i4>
  </property>
  <property fmtid="{D5CDD505-2E9C-101B-9397-08002B2CF9AE}" pid="3" name="_NewReviewCycle">
    <vt:lpwstr/>
  </property>
  <property fmtid="{D5CDD505-2E9C-101B-9397-08002B2CF9AE}" pid="4" name="_EmailSubject">
    <vt:lpwstr>CRI EMBRAED QAM | Minutas da Operação [GED-KLA_SP.FID64925]</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-76403132</vt:i4>
  </property>
</Properties>
</file>