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 xml:space="preserve">da </w:t>
      </w:r>
      <w:proofErr w:type="spellStart"/>
      <w:r w:rsidRPr="009D67F3">
        <w:rPr>
          <w:rFonts w:asciiTheme="minorHAnsi" w:hAnsiTheme="minorHAnsi" w:cs="Calibri"/>
          <w:bCs/>
          <w:sz w:val="24"/>
          <w:szCs w:val="24"/>
        </w:rPr>
        <w:t>Isec</w:t>
      </w:r>
      <w:proofErr w:type="spellEnd"/>
      <w:r w:rsidRPr="009D67F3">
        <w:rPr>
          <w:rFonts w:asciiTheme="minorHAnsi" w:hAnsiTheme="minorHAnsi" w:cs="Calibri"/>
          <w:bCs/>
          <w:sz w:val="24"/>
          <w:szCs w:val="24"/>
        </w:rPr>
        <w:t xml:space="preserve">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proofErr w:type="spellStart"/>
      <w:r w:rsidRPr="009D67F3">
        <w:rPr>
          <w:rFonts w:asciiTheme="minorHAnsi" w:hAnsiTheme="minorHAnsi" w:cs="Calibri"/>
          <w:bCs/>
          <w:i/>
          <w:sz w:val="24"/>
          <w:szCs w:val="24"/>
        </w:rPr>
        <w:t>Isec</w:t>
      </w:r>
      <w:proofErr w:type="spellEnd"/>
      <w:r w:rsidRPr="009D67F3">
        <w:rPr>
          <w:rFonts w:asciiTheme="minorHAnsi" w:hAnsiTheme="minorHAnsi" w:cs="Calibri"/>
          <w:bCs/>
          <w:i/>
          <w:sz w:val="24"/>
          <w:szCs w:val="24"/>
        </w:rPr>
        <w:t xml:space="preserve">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4829F283"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integram a Oferta Restrita descrita acima os seguintes documentos: (i) a CCB; (ii) o Contrato de Cessão; (iii) a Escritura de Emissão de CCI; (iv) o Termo de Securitização; (vi) a Cessão Fiduciária de Recebíveis; (vii) o Contrato de Distribuição; (viii) os boletins de subscrição dos CRI; 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9D67F3"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3" w:name="_Hlk53594351"/>
      <w:r w:rsidRPr="009D67F3">
        <w:rPr>
          <w:rFonts w:asciiTheme="minorHAnsi" w:hAnsiTheme="minorHAnsi" w:cs="Arial"/>
          <w:sz w:val="24"/>
          <w:szCs w:val="24"/>
        </w:rPr>
        <w:lastRenderedPageBreak/>
        <w:t>Em garantia</w:t>
      </w:r>
      <w:r w:rsidRPr="009D67F3">
        <w:rPr>
          <w:rFonts w:asciiTheme="minorHAnsi" w:hAnsiTheme="minorHAnsi" w:cs="Arial"/>
          <w:noProof/>
          <w:sz w:val="24"/>
          <w:szCs w:val="24"/>
        </w:rPr>
        <w:t xml:space="preserve"> do</w:t>
      </w:r>
      <w:r w:rsidRPr="009D67F3">
        <w:rPr>
          <w:rFonts w:asciiTheme="minorHAnsi" w:hAnsiTheme="minorHAnsi"/>
          <w:sz w:val="24"/>
          <w:szCs w:val="24"/>
        </w:rPr>
        <w:t xml:space="preserve"> fiel, pontual e integral cumprimento de </w:t>
      </w:r>
      <w:bookmarkEnd w:id="3"/>
      <w:r w:rsidR="00A34C49" w:rsidRPr="009D67F3">
        <w:rPr>
          <w:rFonts w:asciiTheme="minorHAnsi" w:hAnsiTheme="minorHAnsi" w:cstheme="minorHAnsi"/>
          <w:b/>
          <w:bCs/>
          <w:sz w:val="24"/>
          <w:szCs w:val="24"/>
        </w:rPr>
        <w:t>(i)</w:t>
      </w:r>
      <w:r w:rsidR="00A34C49" w:rsidRPr="009D67F3">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9D67F3">
        <w:rPr>
          <w:rFonts w:asciiTheme="minorHAnsi" w:hAnsiTheme="minorHAnsi" w:cstheme="minorHAnsi"/>
          <w:b/>
          <w:bCs/>
          <w:sz w:val="24"/>
          <w:szCs w:val="24"/>
        </w:rPr>
        <w:t>(ii)</w:t>
      </w:r>
      <w:r w:rsidR="00A34C49" w:rsidRPr="009D67F3">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9D67F3">
        <w:rPr>
          <w:rFonts w:asciiTheme="minorHAnsi" w:hAnsiTheme="minorHAnsi"/>
          <w:sz w:val="24"/>
          <w:szCs w:val="24"/>
        </w:rPr>
        <w:t>(“</w:t>
      </w:r>
      <w:r w:rsidRPr="009D67F3">
        <w:rPr>
          <w:rFonts w:asciiTheme="minorHAnsi" w:hAnsiTheme="minorHAnsi"/>
          <w:sz w:val="24"/>
          <w:szCs w:val="24"/>
          <w:u w:val="single"/>
        </w:rPr>
        <w:t>Obrigações Garantidas</w:t>
      </w:r>
      <w:r w:rsidRPr="009D67F3">
        <w:rPr>
          <w:rFonts w:asciiTheme="minorHAnsi" w:hAnsiTheme="minorHAnsi"/>
          <w:sz w:val="24"/>
          <w:szCs w:val="24"/>
        </w:rPr>
        <w:t>”)</w:t>
      </w:r>
      <w:r w:rsidRPr="009D67F3">
        <w:rPr>
          <w:rFonts w:asciiTheme="minorHAnsi" w:hAnsiTheme="minorHAnsi" w:cs="Arial"/>
          <w:sz w:val="24"/>
          <w:szCs w:val="24"/>
        </w:rPr>
        <w:t xml:space="preserve">, </w:t>
      </w:r>
      <w:r w:rsidRPr="009D67F3">
        <w:rPr>
          <w:rFonts w:asciiTheme="minorHAnsi" w:hAnsiTheme="minorHAnsi"/>
          <w:sz w:val="24"/>
          <w:szCs w:val="24"/>
        </w:rPr>
        <w:t xml:space="preserve">as Fiduciantes cedem fiduciariamente, </w:t>
      </w:r>
      <w:r w:rsidRPr="009D67F3">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9D67F3">
        <w:rPr>
          <w:rFonts w:asciiTheme="minorHAnsi" w:hAnsiTheme="minorHAnsi" w:cs="Arial"/>
          <w:sz w:val="24"/>
          <w:szCs w:val="24"/>
        </w:rPr>
        <w:t>(“</w:t>
      </w:r>
      <w:r w:rsidRPr="009D67F3">
        <w:rPr>
          <w:rFonts w:asciiTheme="minorHAnsi" w:hAnsiTheme="minorHAnsi" w:cs="Arial"/>
          <w:sz w:val="24"/>
          <w:szCs w:val="24"/>
          <w:u w:val="single"/>
        </w:rPr>
        <w:t>Cessão Fiduciária</w:t>
      </w:r>
      <w:r w:rsidRPr="009D67F3">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1.2.</w:t>
      </w:r>
      <w:r w:rsidRPr="009D67F3">
        <w:rPr>
          <w:rFonts w:asciiTheme="minorHAnsi" w:hAnsiTheme="minorHAnsi" w:cs="Calibri"/>
          <w:sz w:val="24"/>
          <w:szCs w:val="24"/>
        </w:rPr>
        <w:tab/>
        <w:t xml:space="preserve">Caso haja o inadimplemento dos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no todo ou em parte, respeitadas as disposições previstas nos respectivos instrumentos, caberá única e exclusivamente à</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e à Devedora</w:t>
      </w:r>
      <w:r w:rsidRPr="009D67F3">
        <w:rPr>
          <w:rFonts w:asciiTheme="minorHAnsi" w:hAnsiTheme="minorHAnsi" w:cs="Calibri"/>
          <w:sz w:val="24"/>
          <w:szCs w:val="24"/>
        </w:rPr>
        <w:t xml:space="preserve"> realizar</w:t>
      </w:r>
      <w:r w:rsidR="00283EE8" w:rsidRPr="009D67F3">
        <w:rPr>
          <w:rFonts w:asciiTheme="minorHAnsi" w:hAnsiTheme="minorHAnsi" w:cs="Calibri"/>
          <w:sz w:val="24"/>
          <w:szCs w:val="24"/>
        </w:rPr>
        <w:t>em</w:t>
      </w:r>
      <w:r w:rsidRPr="009D67F3">
        <w:rPr>
          <w:rFonts w:asciiTheme="minorHAnsi" w:hAnsiTheme="minorHAnsi" w:cs="Calibri"/>
          <w:sz w:val="24"/>
          <w:szCs w:val="24"/>
        </w:rPr>
        <w:t xml:space="preserve"> o procedimento de cobrança e execução de tais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0F2E4A">
        <w:rPr>
          <w:rFonts w:asciiTheme="minorHAnsi" w:hAnsiTheme="minorHAnsi" w:cs="Calibri"/>
          <w:sz w:val="24"/>
          <w:szCs w:val="24"/>
          <w:u w:val="single"/>
        </w:rPr>
        <w:t>Local, Data e Forma de Pagamento</w:t>
      </w:r>
      <w:r w:rsidRPr="009D67F3">
        <w:rPr>
          <w:rFonts w:asciiTheme="minorHAnsi" w:hAnsiTheme="minorHAnsi" w:cs="Calibri"/>
          <w:sz w:val="24"/>
          <w:szCs w:val="24"/>
        </w:rPr>
        <w:t xml:space="preserve">: Os créditos oriundos da CCB serão pagos pela </w:t>
      </w:r>
      <w:r w:rsidR="0097462D"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5C5DF2" w:rsidRPr="009D67F3">
        <w:rPr>
          <w:rFonts w:asciiTheme="minorHAnsi" w:hAnsiTheme="minorHAnsi"/>
          <w:sz w:val="24"/>
          <w:szCs w:val="24"/>
        </w:rPr>
        <w:t xml:space="preserve">diretamente em conta vinculada do regime fiduciário dos CRI, a saber, conta corrente </w:t>
      </w:r>
      <w:r w:rsidR="005C5DF2" w:rsidRPr="009D67F3">
        <w:rPr>
          <w:rFonts w:asciiTheme="minorHAnsi" w:hAnsiTheme="minorHAnsi" w:cs="Trebuchet MS"/>
          <w:sz w:val="24"/>
          <w:szCs w:val="24"/>
        </w:rPr>
        <w:t>nº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Trebuchet MS"/>
          <w:sz w:val="24"/>
          <w:szCs w:val="24"/>
        </w:rPr>
        <w:t xml:space="preserve"> agência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mantida em nome da Fiduciária junto ao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9D67F3">
        <w:rPr>
          <w:rFonts w:asciiTheme="minorHAnsi" w:hAnsiTheme="minorHAnsi" w:cs="Trebuchet MS"/>
          <w:sz w:val="24"/>
          <w:szCs w:val="24"/>
          <w:u w:val="single"/>
        </w:rPr>
        <w:t>Conta do Patrimônio Separado</w:t>
      </w:r>
      <w:r w:rsidR="005C5DF2" w:rsidRPr="009D67F3">
        <w:rPr>
          <w:rFonts w:asciiTheme="minorHAnsi" w:hAnsiTheme="minorHAnsi" w:cs="Trebuchet MS"/>
          <w:sz w:val="24"/>
          <w:szCs w:val="24"/>
        </w:rPr>
        <w:t>” ou “</w:t>
      </w:r>
      <w:r w:rsidR="005C5DF2" w:rsidRPr="009D67F3">
        <w:rPr>
          <w:rFonts w:asciiTheme="minorHAnsi" w:hAnsiTheme="minorHAnsi" w:cs="Trebuchet MS"/>
          <w:sz w:val="24"/>
          <w:szCs w:val="24"/>
          <w:u w:val="single"/>
        </w:rPr>
        <w:t>Conta Centralizadora</w:t>
      </w:r>
      <w:r w:rsidR="005C5DF2" w:rsidRPr="009D67F3">
        <w:rPr>
          <w:rFonts w:asciiTheme="minorHAnsi" w:hAnsiTheme="minorHAnsi" w:cs="Trebuchet MS"/>
          <w:sz w:val="24"/>
          <w:szCs w:val="24"/>
        </w:rPr>
        <w:t>”)</w:t>
      </w:r>
      <w:r w:rsidR="005C5DF2" w:rsidRPr="009D67F3">
        <w:rPr>
          <w:rFonts w:asciiTheme="minorHAnsi" w:hAnsiTheme="minorHAnsi"/>
          <w:bCs/>
          <w:sz w:val="24"/>
          <w:szCs w:val="24"/>
        </w:rPr>
        <w:t>;</w:t>
      </w:r>
    </w:p>
    <w:p w14:paraId="2BD9C57D" w14:textId="33B5563D"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 QAM: 6 anos. Fluxo a ser definido</w:t>
      </w:r>
      <w:r w:rsidR="000F25BE" w:rsidRPr="009D67F3">
        <w:rPr>
          <w:rFonts w:asciiTheme="minorHAnsi" w:hAnsiTheme="minorHAnsi" w:cs="Calibri"/>
          <w:sz w:val="24"/>
          <w:szCs w:val="24"/>
        </w:rPr>
        <w:t>]</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7029F28A"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360 (trezentos e sessenta)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9D67F3">
        <w:rPr>
          <w:rFonts w:asciiTheme="minorHAnsi" w:hAnsiTheme="minorHAnsi" w:cs="Calibri"/>
          <w:b w:val="0"/>
          <w:i w:val="0"/>
          <w:sz w:val="24"/>
          <w:szCs w:val="24"/>
        </w:rPr>
        <w:t>As Fiduciantes se obrigam</w:t>
      </w:r>
      <w:r w:rsidRPr="009D67F3">
        <w:rPr>
          <w:rFonts w:asciiTheme="minorHAnsi" w:hAnsiTheme="minorHAnsi" w:cs="Calibri"/>
          <w:b w:val="0"/>
          <w:i w:val="0"/>
          <w:sz w:val="24"/>
          <w:szCs w:val="24"/>
        </w:rPr>
        <w:t xml:space="preserve">, de forma irrevogável e irretratável, a fazer com que, durante a vigência deste </w:t>
      </w:r>
      <w:r w:rsidR="008038C3" w:rsidRPr="009D67F3">
        <w:rPr>
          <w:rFonts w:asciiTheme="minorHAnsi" w:hAnsiTheme="minorHAnsi" w:cs="Calibri"/>
          <w:b w:val="0"/>
          <w:i w:val="0"/>
          <w:sz w:val="24"/>
          <w:szCs w:val="24"/>
        </w:rPr>
        <w:t xml:space="preserve">Contrato </w:t>
      </w:r>
      <w:r w:rsidR="00925442" w:rsidRPr="009D67F3">
        <w:rPr>
          <w:rFonts w:asciiTheme="minorHAnsi" w:hAnsiTheme="minorHAnsi" w:cs="Calibri"/>
          <w:b w:val="0"/>
          <w:i w:val="0"/>
          <w:sz w:val="24"/>
          <w:szCs w:val="24"/>
        </w:rPr>
        <w:t>d</w:t>
      </w:r>
      <w:r w:rsidR="008038C3" w:rsidRPr="009D67F3">
        <w:rPr>
          <w:rFonts w:asciiTheme="minorHAnsi" w:hAnsiTheme="minorHAnsi" w:cs="Calibri"/>
          <w:b w:val="0"/>
          <w:i w:val="0"/>
          <w:sz w:val="24"/>
          <w:szCs w:val="24"/>
        </w:rPr>
        <w:t>e Cessão Fiduciária</w:t>
      </w:r>
      <w:r w:rsidRPr="009D67F3">
        <w:rPr>
          <w:rFonts w:asciiTheme="minorHAnsi" w:hAnsiTheme="minorHAnsi" w:cs="Calibri"/>
          <w:b w:val="0"/>
          <w:i w:val="0"/>
          <w:sz w:val="24"/>
          <w:szCs w:val="24"/>
        </w:rPr>
        <w:t xml:space="preserve">, todos os pagamentos referentes aos </w:t>
      </w:r>
      <w:r w:rsidR="008038C3" w:rsidRPr="009D67F3">
        <w:rPr>
          <w:rFonts w:asciiTheme="minorHAnsi" w:hAnsiTheme="minorHAnsi" w:cs="Calibri"/>
          <w:b w:val="0"/>
          <w:i w:val="0"/>
          <w:sz w:val="24"/>
          <w:szCs w:val="24"/>
        </w:rPr>
        <w:t>Recebíveis</w:t>
      </w:r>
      <w:r w:rsidRPr="009D67F3">
        <w:rPr>
          <w:rFonts w:asciiTheme="minorHAnsi" w:hAnsiTheme="minorHAnsi" w:cs="Calibri"/>
          <w:b w:val="0"/>
          <w:i w:val="0"/>
          <w:sz w:val="24"/>
          <w:szCs w:val="24"/>
        </w:rPr>
        <w:t xml:space="preserve"> sejam direcionados diretamente </w:t>
      </w:r>
      <w:r w:rsidR="00F378BC" w:rsidRPr="009D67F3">
        <w:rPr>
          <w:rFonts w:asciiTheme="minorHAnsi" w:hAnsiTheme="minorHAnsi"/>
          <w:b w:val="0"/>
          <w:bCs w:val="0"/>
          <w:i w:val="0"/>
          <w:iCs w:val="0"/>
          <w:sz w:val="24"/>
          <w:szCs w:val="24"/>
        </w:rPr>
        <w:t xml:space="preserve">para as Contas Vinculadas </w:t>
      </w:r>
      <w:r w:rsidR="00F378BC" w:rsidRPr="009D67F3">
        <w:rPr>
          <w:rFonts w:asciiTheme="minorHAnsi" w:hAnsiTheme="minorHAnsi" w:cs="Arial"/>
          <w:b w:val="0"/>
          <w:bCs w:val="0"/>
          <w:i w:val="0"/>
          <w:iCs w:val="0"/>
          <w:sz w:val="24"/>
          <w:szCs w:val="24"/>
        </w:rPr>
        <w:t>(conforme abaixo definidas)</w:t>
      </w:r>
      <w:r w:rsidR="00F378BC" w:rsidRPr="009D67F3">
        <w:rPr>
          <w:rFonts w:asciiTheme="minorHAnsi" w:hAnsiTheme="minorHAnsi"/>
          <w:b w:val="0"/>
          <w:bCs w:val="0"/>
          <w:i w:val="0"/>
          <w:iCs w:val="0"/>
          <w:sz w:val="24"/>
          <w:szCs w:val="24"/>
        </w:rPr>
        <w:t xml:space="preserve">, para posterior transferência à </w:t>
      </w:r>
      <w:r w:rsidR="00F378BC" w:rsidRPr="009D67F3">
        <w:rPr>
          <w:rFonts w:asciiTheme="minorHAnsi" w:hAnsiTheme="minorHAnsi" w:cs="Arial"/>
          <w:b w:val="0"/>
          <w:bCs w:val="0"/>
          <w:i w:val="0"/>
          <w:iCs w:val="0"/>
          <w:sz w:val="24"/>
          <w:szCs w:val="24"/>
        </w:rPr>
        <w:t>Conta do Patrimônio Separado</w:t>
      </w:r>
      <w:r w:rsidRPr="009D67F3">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6ADB9B3B"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“Nos termos do Instrumento Particular de Cessão Fiduciária de Direitos Creditórios em Garantia celebrado pela [</w:t>
      </w:r>
      <w:r w:rsidRPr="009D67F3">
        <w:rPr>
          <w:rFonts w:asciiTheme="minorHAnsi" w:hAnsiTheme="minorHAnsi" w:cs="Arial"/>
          <w:i/>
          <w:sz w:val="24"/>
          <w:szCs w:val="24"/>
          <w:highlight w:val="lightGray"/>
        </w:rPr>
        <w:t>informar a Fiduciante</w:t>
      </w:r>
      <w:r w:rsidRPr="009D67F3">
        <w:rPr>
          <w:rFonts w:asciiTheme="minorHAnsi" w:hAnsiTheme="minorHAnsi" w:cs="Arial"/>
          <w:i/>
          <w:sz w:val="24"/>
          <w:szCs w:val="24"/>
        </w:rPr>
        <w:t xml:space="preserve">] (“Empresa”), ISEC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9D67F3">
        <w:rPr>
          <w:rFonts w:asciiTheme="minorHAnsi" w:hAnsiTheme="minorHAnsi" w:cs="Trebuchet MS"/>
          <w:i/>
          <w:sz w:val="24"/>
          <w:szCs w:val="24"/>
          <w:highlight w:val="lightGray"/>
        </w:rPr>
        <w:t>incluir nº da conta vinculada da respectiva fiduciante</w:t>
      </w:r>
      <w:r w:rsidRPr="009D67F3">
        <w:rPr>
          <w:rFonts w:asciiTheme="minorHAnsi" w:hAnsiTheme="minorHAnsi"/>
          <w:i/>
          <w:sz w:val="24"/>
          <w:szCs w:val="24"/>
        </w:rPr>
        <w:t>]</w:t>
      </w:r>
      <w:r w:rsidRPr="009D67F3">
        <w:rPr>
          <w:rFonts w:asciiTheme="minorHAnsi" w:hAnsiTheme="minorHAnsi" w:cs="Trebuchet MS"/>
          <w:i/>
          <w:sz w:val="24"/>
          <w:szCs w:val="24"/>
        </w:rPr>
        <w:t>, agência </w:t>
      </w:r>
      <w:r w:rsidR="009961F6" w:rsidRPr="009D67F3">
        <w:rPr>
          <w:rFonts w:asciiTheme="minorHAnsi" w:hAnsiTheme="minorHAnsi" w:cs="Calibri"/>
          <w:i/>
          <w:iCs/>
          <w:sz w:val="24"/>
          <w:szCs w:val="24"/>
        </w:rPr>
        <w:t>0001</w:t>
      </w:r>
      <w:r w:rsidRPr="009D67F3">
        <w:rPr>
          <w:rFonts w:asciiTheme="minorHAnsi" w:hAnsiTheme="minorHAnsi"/>
          <w:i/>
          <w:sz w:val="24"/>
          <w:szCs w:val="24"/>
        </w:rPr>
        <w:t>,</w:t>
      </w:r>
      <w:r w:rsidRPr="009D67F3">
        <w:rPr>
          <w:rFonts w:asciiTheme="minorHAnsi" w:hAnsiTheme="minorHAnsi" w:cs="Arial"/>
          <w:i/>
          <w:sz w:val="24"/>
          <w:szCs w:val="24"/>
        </w:rPr>
        <w:t xml:space="preserve"> mantida em nome da </w:t>
      </w:r>
      <w:proofErr w:type="spellStart"/>
      <w:r w:rsidRPr="009D67F3">
        <w:rPr>
          <w:rFonts w:asciiTheme="minorHAnsi" w:hAnsiTheme="minorHAnsi" w:cs="Arial"/>
          <w:i/>
          <w:sz w:val="24"/>
          <w:szCs w:val="24"/>
        </w:rPr>
        <w:t>Isec</w:t>
      </w:r>
      <w:proofErr w:type="spellEnd"/>
      <w:r w:rsidRPr="009D67F3">
        <w:rPr>
          <w:rFonts w:asciiTheme="minorHAnsi" w:hAnsiTheme="minorHAnsi" w:cs="Arial"/>
          <w:i/>
          <w:sz w:val="24"/>
          <w:szCs w:val="24"/>
        </w:rPr>
        <w:t xml:space="preserve"> junto ao </w:t>
      </w:r>
      <w:r w:rsidR="009961F6" w:rsidRPr="009D67F3">
        <w:rPr>
          <w:rFonts w:asciiTheme="minorHAnsi" w:hAnsiTheme="minorHAnsi" w:cs="Calibri"/>
          <w:i/>
          <w:iCs/>
          <w:sz w:val="24"/>
          <w:szCs w:val="24"/>
        </w:rPr>
        <w:t>QI SCD S.A. (329)</w:t>
      </w:r>
      <w:r w:rsidRPr="009D67F3">
        <w:rPr>
          <w:rFonts w:asciiTheme="minorHAnsi" w:hAnsiTheme="minorHAnsi" w:cs="Trebuchet MS"/>
          <w:i/>
          <w:sz w:val="24"/>
          <w:szCs w:val="24"/>
        </w:rPr>
        <w:t xml:space="preserve">. Aproveitamos para informar que o presente boleto já se encontra nesse modelo </w:t>
      </w:r>
      <w:r w:rsidRPr="009D67F3">
        <w:rPr>
          <w:rFonts w:asciiTheme="minorHAnsi" w:hAnsiTheme="minorHAnsi" w:cs="Trebuchet MS"/>
          <w:i/>
          <w:sz w:val="24"/>
          <w:szCs w:val="24"/>
        </w:rPr>
        <w:lastRenderedPageBreak/>
        <w:t>de pagamento.”</w:t>
      </w:r>
      <w:r w:rsidR="005E6D2D" w:rsidRPr="009D67F3">
        <w:rPr>
          <w:rFonts w:asciiTheme="minorHAnsi" w:hAnsiTheme="minorHAnsi" w:cs="Trebuchet MS"/>
          <w:i/>
          <w:sz w:val="24"/>
          <w:szCs w:val="24"/>
        </w:rPr>
        <w:t xml:space="preserve"> </w:t>
      </w:r>
      <w:commentRangeStart w:id="4"/>
      <w:r w:rsidR="005E6D2D" w:rsidRPr="009D67F3">
        <w:rPr>
          <w:rFonts w:asciiTheme="minorHAnsi" w:hAnsiTheme="minorHAnsi" w:cs="Trebuchet MS"/>
          <w:sz w:val="24"/>
          <w:szCs w:val="24"/>
        </w:rPr>
        <w:t>[</w:t>
      </w:r>
      <w:r w:rsidR="005E6D2D" w:rsidRPr="009D67F3">
        <w:rPr>
          <w:rFonts w:asciiTheme="minorHAnsi" w:hAnsiTheme="minorHAnsi" w:cs="Trebuchet MS"/>
          <w:sz w:val="24"/>
          <w:szCs w:val="24"/>
          <w:highlight w:val="yellow"/>
        </w:rPr>
        <w:t xml:space="preserve">Nota ISEC: Confirmar. Entendemos que a conta a ser aberta na QI é aberta em nome da Cia e a ISEC apenas movimenta. Confirmar limite </w:t>
      </w:r>
      <w:r w:rsidR="001E4339" w:rsidRPr="009D67F3">
        <w:rPr>
          <w:rFonts w:asciiTheme="minorHAnsi" w:hAnsiTheme="minorHAnsi" w:cs="Trebuchet MS"/>
          <w:sz w:val="24"/>
          <w:szCs w:val="24"/>
          <w:highlight w:val="yellow"/>
        </w:rPr>
        <w:t>pa</w:t>
      </w:r>
      <w:r w:rsidR="001E4339">
        <w:rPr>
          <w:rFonts w:asciiTheme="minorHAnsi" w:hAnsiTheme="minorHAnsi" w:cs="Trebuchet MS"/>
          <w:sz w:val="24"/>
          <w:szCs w:val="24"/>
          <w:highlight w:val="yellow"/>
        </w:rPr>
        <w:t>r</w:t>
      </w:r>
      <w:r w:rsidR="001E4339" w:rsidRPr="009D67F3">
        <w:rPr>
          <w:rFonts w:asciiTheme="minorHAnsi" w:hAnsiTheme="minorHAnsi" w:cs="Trebuchet MS"/>
          <w:sz w:val="24"/>
          <w:szCs w:val="24"/>
          <w:highlight w:val="yellow"/>
        </w:rPr>
        <w:t xml:space="preserve">a </w:t>
      </w:r>
      <w:r w:rsidR="005E6D2D" w:rsidRPr="009D67F3">
        <w:rPr>
          <w:rFonts w:asciiTheme="minorHAnsi" w:hAnsiTheme="minorHAnsi" w:cs="Trebuchet MS"/>
          <w:sz w:val="24"/>
          <w:szCs w:val="24"/>
          <w:highlight w:val="yellow"/>
        </w:rPr>
        <w:t>inclusão no boleto</w:t>
      </w:r>
      <w:r w:rsidR="005E6D2D" w:rsidRPr="009D67F3">
        <w:rPr>
          <w:rFonts w:asciiTheme="minorHAnsi" w:hAnsiTheme="minorHAnsi" w:cs="Trebuchet MS"/>
          <w:sz w:val="24"/>
          <w:szCs w:val="24"/>
        </w:rPr>
        <w:t>]</w:t>
      </w:r>
      <w:commentRangeEnd w:id="4"/>
      <w:r w:rsidR="000606F0">
        <w:rPr>
          <w:rStyle w:val="Refdecomentrio"/>
          <w:rFonts w:ascii="Times New Roman" w:hAnsi="Times New Roman"/>
          <w:lang w:val="en-US" w:eastAsia="en-US"/>
        </w:rPr>
        <w:commentReference w:id="4"/>
      </w:r>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746BF9BF" w:rsidR="006C626C" w:rsidRPr="009D67F3"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9D67F3">
        <w:rPr>
          <w:rFonts w:asciiTheme="minorHAnsi" w:hAnsiTheme="minorHAnsi" w:cs="Calibri"/>
          <w:sz w:val="24"/>
          <w:szCs w:val="24"/>
        </w:rPr>
        <w:t>Todos</w:t>
      </w:r>
      <w:r w:rsidR="006C626C" w:rsidRPr="009D67F3">
        <w:rPr>
          <w:rFonts w:asciiTheme="minorHAnsi" w:hAnsiTheme="minorHAnsi" w:cs="Arial"/>
          <w:sz w:val="24"/>
          <w:szCs w:val="24"/>
        </w:rPr>
        <w:t xml:space="preserve"> os Recebíveis serão cobrados,</w:t>
      </w:r>
      <w:r w:rsidR="006C626C" w:rsidRPr="009D67F3">
        <w:rPr>
          <w:rFonts w:asciiTheme="minorHAnsi" w:hAnsiTheme="minorHAnsi" w:cs="Arial"/>
          <w:iCs/>
          <w:sz w:val="24"/>
          <w:szCs w:val="24"/>
        </w:rPr>
        <w:t xml:space="preserve"> </w:t>
      </w:r>
      <w:r w:rsidR="006C626C" w:rsidRPr="009D67F3">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9D67F3">
        <w:rPr>
          <w:rFonts w:asciiTheme="minorHAnsi" w:hAnsiTheme="minorHAnsi" w:cs="Arial"/>
          <w:sz w:val="24"/>
          <w:szCs w:val="24"/>
        </w:rPr>
        <w:t xml:space="preserve"> [</w:t>
      </w:r>
      <w:commentRangeStart w:id="5"/>
      <w:r w:rsidR="005E6D2D" w:rsidRPr="009D67F3">
        <w:rPr>
          <w:rFonts w:asciiTheme="minorHAnsi" w:hAnsiTheme="minorHAnsi" w:cs="Arial"/>
          <w:sz w:val="24"/>
          <w:szCs w:val="24"/>
          <w:highlight w:val="yellow"/>
        </w:rPr>
        <w:t xml:space="preserve">Nota ISEC: A </w:t>
      </w:r>
      <w:proofErr w:type="spellStart"/>
      <w:r w:rsidR="005E6D2D" w:rsidRPr="009D67F3">
        <w:rPr>
          <w:rFonts w:asciiTheme="minorHAnsi" w:hAnsiTheme="minorHAnsi" w:cs="Arial"/>
          <w:sz w:val="24"/>
          <w:szCs w:val="24"/>
          <w:highlight w:val="yellow"/>
        </w:rPr>
        <w:t>boletagem</w:t>
      </w:r>
      <w:proofErr w:type="spellEnd"/>
      <w:r w:rsidR="005E6D2D" w:rsidRPr="009D67F3">
        <w:rPr>
          <w:rFonts w:asciiTheme="minorHAnsi" w:hAnsiTheme="minorHAnsi" w:cs="Arial"/>
          <w:sz w:val="24"/>
          <w:szCs w:val="24"/>
          <w:highlight w:val="yellow"/>
        </w:rPr>
        <w:t xml:space="preserve"> será feita pela QI?</w:t>
      </w:r>
      <w:r w:rsidR="005E6D2D" w:rsidRPr="009D67F3">
        <w:rPr>
          <w:rFonts w:asciiTheme="minorHAnsi" w:hAnsiTheme="minorHAnsi" w:cs="Arial"/>
          <w:sz w:val="24"/>
          <w:szCs w:val="24"/>
        </w:rPr>
        <w:t>]</w:t>
      </w:r>
      <w:commentRangeEnd w:id="5"/>
      <w:r w:rsidR="000606F0">
        <w:rPr>
          <w:rStyle w:val="Refdecomentrio"/>
          <w:rFonts w:ascii="Times New Roman" w:hAnsi="Times New Roman"/>
          <w:lang w:val="en-US" w:eastAsia="en-US"/>
        </w:rPr>
        <w:commentReference w:id="5"/>
      </w:r>
    </w:p>
    <w:p w14:paraId="3F004DC1" w14:textId="77777777" w:rsidR="006C626C" w:rsidRPr="009D67F3" w:rsidRDefault="006C626C" w:rsidP="006C626C">
      <w:pPr>
        <w:spacing w:line="300" w:lineRule="exact"/>
        <w:jc w:val="both"/>
        <w:rPr>
          <w:rFonts w:asciiTheme="minorHAnsi" w:hAnsiTheme="minorHAnsi" w:cs="Arial"/>
          <w:sz w:val="24"/>
          <w:szCs w:val="24"/>
        </w:rPr>
      </w:pPr>
    </w:p>
    <w:p w14:paraId="72E71FAD" w14:textId="05DF12DC" w:rsidR="006C626C" w:rsidRPr="009D67F3" w:rsidRDefault="006C626C" w:rsidP="00B056EC">
      <w:pPr>
        <w:spacing w:line="300" w:lineRule="exact"/>
        <w:ind w:left="1080"/>
        <w:jc w:val="both"/>
        <w:rPr>
          <w:rFonts w:asciiTheme="minorHAnsi" w:hAnsiTheme="minorHAnsi" w:cs="Arial"/>
          <w:sz w:val="24"/>
          <w:szCs w:val="24"/>
        </w:rPr>
      </w:pPr>
      <w:r w:rsidRPr="009D67F3">
        <w:rPr>
          <w:rFonts w:asciiTheme="minorHAnsi" w:hAnsiTheme="minorHAnsi" w:cs="Arial"/>
          <w:sz w:val="24"/>
          <w:szCs w:val="24"/>
        </w:rPr>
        <w:t>3.2.2.1.</w:t>
      </w:r>
      <w:r w:rsidRPr="009D67F3">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9D67F3">
        <w:rPr>
          <w:rFonts w:asciiTheme="minorHAnsi" w:hAnsiTheme="minorHAnsi" w:cs="Calibri"/>
          <w:sz w:val="24"/>
          <w:szCs w:val="24"/>
        </w:rPr>
        <w:t>QI SCD S.A.</w:t>
      </w:r>
      <w:r w:rsidRPr="009D67F3">
        <w:rPr>
          <w:rFonts w:asciiTheme="minorHAnsi" w:hAnsiTheme="minorHAnsi" w:cs="Arial"/>
          <w:sz w:val="24"/>
          <w:szCs w:val="24"/>
        </w:rPr>
        <w:t xml:space="preserve"> (“</w:t>
      </w:r>
      <w:r w:rsidRPr="009D67F3">
        <w:rPr>
          <w:rFonts w:asciiTheme="minorHAnsi" w:hAnsiTheme="minorHAnsi" w:cs="Arial"/>
          <w:sz w:val="24"/>
          <w:szCs w:val="24"/>
          <w:u w:val="single"/>
        </w:rPr>
        <w:t>Contas Vinculadas</w:t>
      </w:r>
      <w:r w:rsidRPr="009D67F3">
        <w:rPr>
          <w:rFonts w:asciiTheme="minorHAnsi" w:hAnsiTheme="minorHAnsi" w:cs="Arial"/>
          <w:sz w:val="24"/>
          <w:szCs w:val="24"/>
        </w:rPr>
        <w:t xml:space="preserve">”): </w:t>
      </w:r>
      <w:r w:rsidR="005E6D2D" w:rsidRPr="009D67F3">
        <w:rPr>
          <w:rFonts w:asciiTheme="minorHAnsi" w:hAnsiTheme="minorHAnsi" w:cs="Arial"/>
          <w:sz w:val="24"/>
          <w:szCs w:val="24"/>
        </w:rPr>
        <w:t>[</w:t>
      </w:r>
      <w:commentRangeStart w:id="6"/>
      <w:r w:rsidR="005E6D2D" w:rsidRPr="009D67F3">
        <w:rPr>
          <w:rFonts w:asciiTheme="minorHAnsi" w:hAnsiTheme="minorHAnsi" w:cs="Arial"/>
          <w:sz w:val="24"/>
          <w:szCs w:val="24"/>
          <w:highlight w:val="yellow"/>
        </w:rPr>
        <w:t>Nota ISE</w:t>
      </w:r>
      <w:r w:rsidR="001E4339">
        <w:rPr>
          <w:rFonts w:asciiTheme="minorHAnsi" w:hAnsiTheme="minorHAnsi" w:cs="Arial"/>
          <w:sz w:val="24"/>
          <w:szCs w:val="24"/>
          <w:highlight w:val="yellow"/>
        </w:rPr>
        <w:t>C</w:t>
      </w:r>
      <w:r w:rsidR="005E6D2D" w:rsidRPr="009D67F3">
        <w:rPr>
          <w:rFonts w:asciiTheme="minorHAnsi" w:hAnsiTheme="minorHAnsi" w:cs="Arial"/>
          <w:sz w:val="24"/>
          <w:szCs w:val="24"/>
          <w:highlight w:val="yellow"/>
        </w:rPr>
        <w:t xml:space="preserve">: Inadimplências de </w:t>
      </w:r>
      <w:r w:rsidR="00961E42" w:rsidRPr="009D67F3">
        <w:rPr>
          <w:rFonts w:asciiTheme="minorHAnsi" w:hAnsiTheme="minorHAnsi" w:cs="Arial"/>
          <w:sz w:val="24"/>
          <w:szCs w:val="24"/>
          <w:highlight w:val="yellow"/>
        </w:rPr>
        <w:t>uma fiduciante serão compensadas pelas demais?]</w:t>
      </w:r>
      <w:commentRangeEnd w:id="6"/>
      <w:r w:rsidR="000606F0">
        <w:rPr>
          <w:rStyle w:val="Refdecomentrio"/>
          <w:rFonts w:ascii="Times New Roman" w:hAnsi="Times New Roman"/>
          <w:lang w:val="en-US" w:eastAsia="en-US"/>
        </w:rPr>
        <w:commentReference w:id="6"/>
      </w:r>
    </w:p>
    <w:p w14:paraId="328AE037" w14:textId="77777777" w:rsidR="006C626C" w:rsidRPr="009D67F3"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D67F3" w14:paraId="0F106C73" w14:textId="77777777" w:rsidTr="00AF7E5F">
        <w:trPr>
          <w:trHeight w:val="300"/>
        </w:trPr>
        <w:tc>
          <w:tcPr>
            <w:tcW w:w="2977" w:type="dxa"/>
            <w:hideMark/>
          </w:tcPr>
          <w:p w14:paraId="27B72018"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Fiduciante</w:t>
            </w:r>
          </w:p>
        </w:tc>
        <w:tc>
          <w:tcPr>
            <w:tcW w:w="2551" w:type="dxa"/>
            <w:hideMark/>
          </w:tcPr>
          <w:p w14:paraId="3756F017"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Agência</w:t>
            </w:r>
          </w:p>
        </w:tc>
        <w:tc>
          <w:tcPr>
            <w:tcW w:w="2262" w:type="dxa"/>
            <w:hideMark/>
          </w:tcPr>
          <w:p w14:paraId="1D45851D"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Conta Corrente</w:t>
            </w:r>
          </w:p>
        </w:tc>
      </w:tr>
      <w:tr w:rsidR="006C626C" w:rsidRPr="009D67F3" w14:paraId="4169C14F" w14:textId="77777777" w:rsidTr="00AF7E5F">
        <w:trPr>
          <w:trHeight w:val="300"/>
        </w:trPr>
        <w:tc>
          <w:tcPr>
            <w:tcW w:w="2977" w:type="dxa"/>
            <w:hideMark/>
          </w:tcPr>
          <w:p w14:paraId="041D3320"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w:t>
            </w:r>
          </w:p>
        </w:tc>
        <w:tc>
          <w:tcPr>
            <w:tcW w:w="2551" w:type="dxa"/>
            <w:hideMark/>
          </w:tcPr>
          <w:p w14:paraId="6F3F00B4" w14:textId="0B626EEE" w:rsidR="006C626C" w:rsidRPr="009D67F3" w:rsidRDefault="009961F6" w:rsidP="00AF7E5F">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F0AEE6D"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10DD6468" w14:textId="77777777" w:rsidTr="00AF7E5F">
        <w:trPr>
          <w:trHeight w:val="300"/>
        </w:trPr>
        <w:tc>
          <w:tcPr>
            <w:tcW w:w="2977" w:type="dxa"/>
            <w:hideMark/>
          </w:tcPr>
          <w:p w14:paraId="1129DB41"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2</w:t>
            </w:r>
          </w:p>
        </w:tc>
        <w:tc>
          <w:tcPr>
            <w:tcW w:w="2551" w:type="dxa"/>
            <w:hideMark/>
          </w:tcPr>
          <w:p w14:paraId="0DCD0124" w14:textId="1D53C981"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B182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0003CA8" w14:textId="77777777" w:rsidTr="00AF7E5F">
        <w:trPr>
          <w:trHeight w:val="300"/>
        </w:trPr>
        <w:tc>
          <w:tcPr>
            <w:tcW w:w="2977" w:type="dxa"/>
            <w:hideMark/>
          </w:tcPr>
          <w:p w14:paraId="186196E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3</w:t>
            </w:r>
          </w:p>
        </w:tc>
        <w:tc>
          <w:tcPr>
            <w:tcW w:w="2551" w:type="dxa"/>
            <w:hideMark/>
          </w:tcPr>
          <w:p w14:paraId="72E669A3" w14:textId="11E22FC8"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6F96F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045075B" w14:textId="77777777" w:rsidTr="00AF7E5F">
        <w:trPr>
          <w:trHeight w:val="300"/>
        </w:trPr>
        <w:tc>
          <w:tcPr>
            <w:tcW w:w="2977" w:type="dxa"/>
            <w:hideMark/>
          </w:tcPr>
          <w:p w14:paraId="1423BD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4</w:t>
            </w:r>
          </w:p>
        </w:tc>
        <w:tc>
          <w:tcPr>
            <w:tcW w:w="2551" w:type="dxa"/>
            <w:hideMark/>
          </w:tcPr>
          <w:p w14:paraId="3A1ECC0F" w14:textId="6A0C1E70"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4A873690"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78C113EB" w14:textId="77777777" w:rsidTr="00AF7E5F">
        <w:trPr>
          <w:trHeight w:val="300"/>
        </w:trPr>
        <w:tc>
          <w:tcPr>
            <w:tcW w:w="2977" w:type="dxa"/>
            <w:hideMark/>
          </w:tcPr>
          <w:p w14:paraId="33380E1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5</w:t>
            </w:r>
          </w:p>
        </w:tc>
        <w:tc>
          <w:tcPr>
            <w:tcW w:w="2551" w:type="dxa"/>
            <w:hideMark/>
          </w:tcPr>
          <w:p w14:paraId="0882697F" w14:textId="73149F2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E15E363"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39AB1AC" w14:textId="77777777" w:rsidTr="00AF7E5F">
        <w:trPr>
          <w:trHeight w:val="300"/>
        </w:trPr>
        <w:tc>
          <w:tcPr>
            <w:tcW w:w="2977" w:type="dxa"/>
            <w:hideMark/>
          </w:tcPr>
          <w:p w14:paraId="22261F1A"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6</w:t>
            </w:r>
          </w:p>
        </w:tc>
        <w:tc>
          <w:tcPr>
            <w:tcW w:w="2551" w:type="dxa"/>
            <w:hideMark/>
          </w:tcPr>
          <w:p w14:paraId="2B83DE52" w14:textId="170439BA"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7CF4BA4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5E39770" w14:textId="77777777" w:rsidTr="00AF7E5F">
        <w:trPr>
          <w:trHeight w:val="300"/>
        </w:trPr>
        <w:tc>
          <w:tcPr>
            <w:tcW w:w="2977" w:type="dxa"/>
            <w:hideMark/>
          </w:tcPr>
          <w:p w14:paraId="709EEDC5"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7</w:t>
            </w:r>
          </w:p>
        </w:tc>
        <w:tc>
          <w:tcPr>
            <w:tcW w:w="2551" w:type="dxa"/>
            <w:hideMark/>
          </w:tcPr>
          <w:p w14:paraId="1C149A0D" w14:textId="3A0317F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D66A562"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9144FC0" w14:textId="77777777" w:rsidTr="00AF7E5F">
        <w:trPr>
          <w:trHeight w:val="300"/>
        </w:trPr>
        <w:tc>
          <w:tcPr>
            <w:tcW w:w="2977" w:type="dxa"/>
            <w:hideMark/>
          </w:tcPr>
          <w:p w14:paraId="473580AC"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8</w:t>
            </w:r>
          </w:p>
        </w:tc>
        <w:tc>
          <w:tcPr>
            <w:tcW w:w="2551" w:type="dxa"/>
            <w:hideMark/>
          </w:tcPr>
          <w:p w14:paraId="6A963048" w14:textId="073E8C06"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1EC7264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66228140" w14:textId="77777777" w:rsidTr="00AF7E5F">
        <w:trPr>
          <w:trHeight w:val="300"/>
        </w:trPr>
        <w:tc>
          <w:tcPr>
            <w:tcW w:w="2977" w:type="dxa"/>
          </w:tcPr>
          <w:p w14:paraId="7B44706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9</w:t>
            </w:r>
          </w:p>
        </w:tc>
        <w:tc>
          <w:tcPr>
            <w:tcW w:w="2551" w:type="dxa"/>
          </w:tcPr>
          <w:p w14:paraId="0B99490F" w14:textId="44FF82CF"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129480EB"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10</w:t>
            </w:r>
          </w:p>
        </w:tc>
        <w:tc>
          <w:tcPr>
            <w:tcW w:w="2551" w:type="dxa"/>
          </w:tcPr>
          <w:p w14:paraId="30E15390" w14:textId="48314304"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4F4F8677"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5ABD9586" w:rsidR="00F107F6" w:rsidRPr="009D67F3" w:rsidRDefault="00F107F6" w:rsidP="00B056E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2.</w:t>
      </w:r>
      <w:r w:rsidRPr="009D67F3">
        <w:rPr>
          <w:rFonts w:asciiTheme="minorHAnsi" w:hAnsiTheme="minorHAnsi" w:cs="Calibri"/>
          <w:sz w:val="24"/>
          <w:szCs w:val="24"/>
        </w:rPr>
        <w:tab/>
        <w:t>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Fidêncio Ramos, nº 213, cj. 42, Vila Olímpia, CEP 04551-010 e escritório, na mesma cidade, na Avenida Juscelino Kubitschek, nº 1.600, cj. 142, Vila Nova Conceição, CEP 04543-000 (“</w:t>
      </w:r>
      <w:r w:rsidRPr="009D67F3">
        <w:rPr>
          <w:rFonts w:asciiTheme="minorHAnsi" w:hAnsiTheme="minorHAnsi" w:cs="Calibri"/>
          <w:sz w:val="24"/>
          <w:szCs w:val="24"/>
          <w:u w:val="single"/>
        </w:rPr>
        <w:t>Servicer</w:t>
      </w:r>
      <w:r w:rsidRPr="009D67F3">
        <w:rPr>
          <w:rFonts w:asciiTheme="minorHAnsi" w:hAnsiTheme="minorHAnsi" w:cs="Calibri"/>
          <w:sz w:val="24"/>
          <w:szCs w:val="24"/>
        </w:rPr>
        <w:t xml:space="preserve">”), com cópia à Fiduciária e ao Agente Fiduciário dos CRI, a título de informação apenas, semanalmente, cópia digitalizada de todos aditamentos aos Instrumentos de Compra e </w:t>
      </w:r>
      <w:r w:rsidRPr="009D67F3">
        <w:rPr>
          <w:rFonts w:asciiTheme="minorHAnsi" w:hAnsiTheme="minorHAnsi" w:cs="Calibri"/>
          <w:sz w:val="24"/>
          <w:szCs w:val="24"/>
        </w:rPr>
        <w:lastRenderedPageBreak/>
        <w:t xml:space="preserve">Venda, </w:t>
      </w:r>
      <w:r w:rsidRPr="009D67F3">
        <w:rPr>
          <w:rFonts w:asciiTheme="minorHAnsi" w:hAnsiTheme="minorHAnsi" w:cs="Calibri"/>
          <w:sz w:val="24"/>
          <w:szCs w:val="24"/>
          <w:highlight w:val="yellow"/>
        </w:rPr>
        <w:t>renegociações</w:t>
      </w:r>
      <w:r w:rsidRPr="009D67F3">
        <w:rPr>
          <w:rFonts w:asciiTheme="minorHAnsi" w:hAnsiTheme="minorHAnsi" w:cs="Calibri"/>
          <w:sz w:val="24"/>
          <w:szCs w:val="24"/>
        </w:rPr>
        <w:t xml:space="preserve">, cessões e </w:t>
      </w:r>
      <w:proofErr w:type="spellStart"/>
      <w:r w:rsidRPr="009D67F3">
        <w:rPr>
          <w:rFonts w:asciiTheme="minorHAnsi" w:hAnsiTheme="minorHAnsi" w:cs="Calibri"/>
          <w:sz w:val="24"/>
          <w:szCs w:val="24"/>
        </w:rPr>
        <w:t>distratos</w:t>
      </w:r>
      <w:proofErr w:type="spellEnd"/>
      <w:r w:rsidRPr="009D67F3">
        <w:rPr>
          <w:rFonts w:asciiTheme="minorHAnsi" w:hAnsiTheme="minorHAnsi" w:cs="Calibri"/>
          <w:sz w:val="24"/>
          <w:szCs w:val="24"/>
        </w:rPr>
        <w:t xml:space="preserve"> e, até o dia 10 (dez) de cada mês: a) os Relatórios previstos no Anexo I do Contrato de Monitoramento e Espelhamento celebrado entre a Fiduciária, o Servicer e as Fiduciantes; b) </w:t>
      </w:r>
      <w:r w:rsidRPr="009D67F3">
        <w:rPr>
          <w:rFonts w:asciiTheme="minorHAnsi" w:hAnsiTheme="minorHAnsi" w:cs="Calibri"/>
          <w:color w:val="000000"/>
          <w:sz w:val="24"/>
          <w:szCs w:val="24"/>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9D67F3">
        <w:rPr>
          <w:rFonts w:asciiTheme="minorHAnsi" w:hAnsiTheme="minorHAnsi" w:cs="Calibri"/>
          <w:sz w:val="24"/>
          <w:szCs w:val="24"/>
        </w:rPr>
        <w:t>e c)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commentRangeStart w:id="7"/>
      <w:r w:rsidR="00961E42" w:rsidRPr="009D67F3">
        <w:rPr>
          <w:rFonts w:asciiTheme="minorHAnsi" w:hAnsiTheme="minorHAnsi" w:cs="Calibri"/>
          <w:sz w:val="24"/>
          <w:szCs w:val="24"/>
        </w:rPr>
        <w:t>[</w:t>
      </w:r>
      <w:r w:rsidR="00961E42" w:rsidRPr="009D67F3">
        <w:rPr>
          <w:rFonts w:asciiTheme="minorHAnsi" w:hAnsiTheme="minorHAnsi" w:cs="Calibri"/>
          <w:sz w:val="24"/>
          <w:szCs w:val="24"/>
          <w:highlight w:val="yellow"/>
        </w:rPr>
        <w:t>Nota ISEC: Qual tipo de renegociação será aceita sem que seja necessária qualquer aprovação?</w:t>
      </w:r>
      <w:r w:rsidR="00961E42" w:rsidRPr="009D67F3">
        <w:rPr>
          <w:rFonts w:asciiTheme="minorHAnsi" w:hAnsiTheme="minorHAnsi" w:cs="Calibri"/>
          <w:sz w:val="24"/>
          <w:szCs w:val="24"/>
        </w:rPr>
        <w:t>]</w:t>
      </w:r>
      <w:commentRangeEnd w:id="7"/>
      <w:r w:rsidR="000606F0">
        <w:rPr>
          <w:rStyle w:val="Refdecomentrio"/>
          <w:rFonts w:ascii="Times New Roman" w:hAnsi="Times New Roman"/>
          <w:lang w:val="en-US" w:eastAsia="en-US"/>
        </w:rPr>
        <w:commentReference w:id="7"/>
      </w:r>
    </w:p>
    <w:p w14:paraId="7E510019" w14:textId="77777777" w:rsidR="006C626C" w:rsidRPr="009D67F3" w:rsidRDefault="006C626C" w:rsidP="006C626C">
      <w:pPr>
        <w:spacing w:line="300" w:lineRule="exact"/>
        <w:ind w:left="1080"/>
        <w:jc w:val="both"/>
        <w:rPr>
          <w:rFonts w:asciiTheme="minorHAnsi" w:hAnsiTheme="minorHAnsi" w:cs="Calibri"/>
          <w:sz w:val="24"/>
          <w:szCs w:val="24"/>
        </w:rPr>
      </w:pP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143E215F"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 xml:space="preserve">disponibilizar mensalmente, por meio eletrônico, até o </w:t>
      </w:r>
      <w:r w:rsidRPr="009D67F3">
        <w:rPr>
          <w:rFonts w:asciiTheme="minorHAnsi" w:hAnsiTheme="minorHAnsi" w:cs="Calibri"/>
          <w:sz w:val="24"/>
          <w:szCs w:val="24"/>
          <w:highlight w:val="yellow"/>
        </w:rPr>
        <w:t>dia 20 (vinte) de cada mês</w:t>
      </w:r>
      <w:r w:rsidRPr="009D67F3">
        <w:rPr>
          <w:rFonts w:asciiTheme="minorHAnsi" w:hAnsiTheme="minorHAnsi" w:cs="Calibri"/>
          <w:sz w:val="24"/>
          <w:szCs w:val="24"/>
        </w:rPr>
        <w:t xml:space="preserve">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r w:rsidR="00961E42" w:rsidRPr="009D67F3">
        <w:rPr>
          <w:rFonts w:asciiTheme="minorHAnsi" w:hAnsiTheme="minorHAnsi" w:cs="Calibri"/>
          <w:sz w:val="24"/>
          <w:szCs w:val="24"/>
        </w:rPr>
        <w:t xml:space="preserve"> [</w:t>
      </w:r>
      <w:r w:rsidR="00961E42" w:rsidRPr="009D67F3">
        <w:rPr>
          <w:rFonts w:asciiTheme="minorHAnsi" w:hAnsiTheme="minorHAnsi" w:cs="Calibri"/>
          <w:sz w:val="24"/>
          <w:szCs w:val="24"/>
          <w:highlight w:val="yellow"/>
        </w:rPr>
        <w:t>Nota ISEC: Bater com o Servicer</w:t>
      </w:r>
      <w:r w:rsidR="00961E42" w:rsidRPr="009D67F3">
        <w:rPr>
          <w:rFonts w:asciiTheme="minorHAnsi" w:hAnsiTheme="minorHAnsi" w:cs="Calibri"/>
          <w:sz w:val="24"/>
          <w:szCs w:val="24"/>
        </w:rPr>
        <w:t>]</w:t>
      </w:r>
    </w:p>
    <w:p w14:paraId="7E064C66" w14:textId="7C6A07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observado para este último caso o disposto na Cláusula 3.</w:t>
      </w:r>
      <w:r w:rsidR="00E722BB" w:rsidRPr="009D67F3">
        <w:rPr>
          <w:rFonts w:asciiTheme="minorHAnsi" w:hAnsiTheme="minorHAnsi" w:cs="Arial"/>
          <w:sz w:val="24"/>
          <w:szCs w:val="24"/>
        </w:rPr>
        <w:t>4</w:t>
      </w:r>
      <w:r w:rsidR="00DD0C31" w:rsidRPr="009D67F3">
        <w:rPr>
          <w:rFonts w:asciiTheme="minorHAnsi" w:hAnsiTheme="minorHAnsi" w:cs="Arial"/>
          <w:sz w:val="24"/>
          <w:szCs w:val="24"/>
        </w:rPr>
        <w:t xml:space="preserve"> abaixo</w:t>
      </w:r>
      <w:r w:rsidRPr="009D67F3">
        <w:rPr>
          <w:rFonts w:asciiTheme="minorHAnsi" w:hAnsiTheme="minorHAnsi" w:cs="Calibri"/>
          <w:sz w:val="24"/>
          <w:szCs w:val="24"/>
        </w:rPr>
        <w:t>;</w:t>
      </w:r>
    </w:p>
    <w:p w14:paraId="52ADE674"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disponibilizar, conforme solicitado pela Fiduciária, tendo como base os arquivos de remessa e retorno disponibilizados, relatórios contendo informações a respeito do acompanhamento dos Recebíveis;</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(e)</w:t>
      </w:r>
      <w:r w:rsidRPr="009D67F3">
        <w:rPr>
          <w:rFonts w:asciiTheme="minorHAnsi" w:hAnsiTheme="minorHAnsi" w:cs="Calibri"/>
          <w:sz w:val="24"/>
          <w:szCs w:val="24"/>
        </w:rPr>
        <w:tab/>
        <w:t xml:space="preserve">acompanhar eventuais alterações relacionadas ao fluxo de pagamento </w:t>
      </w:r>
      <w:proofErr w:type="gramStart"/>
      <w:r w:rsidRPr="009D67F3">
        <w:rPr>
          <w:rFonts w:asciiTheme="minorHAnsi" w:hAnsiTheme="minorHAnsi" w:cs="Calibri"/>
          <w:sz w:val="24"/>
          <w:szCs w:val="24"/>
        </w:rPr>
        <w:t>de Recebíveis</w:t>
      </w:r>
      <w:proofErr w:type="gramEnd"/>
      <w:r w:rsidRPr="009D67F3">
        <w:rPr>
          <w:rFonts w:asciiTheme="minorHAnsi" w:hAnsiTheme="minorHAnsi" w:cs="Calibri"/>
          <w:sz w:val="24"/>
          <w:szCs w:val="24"/>
        </w:rPr>
        <w:t>,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6141A948"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(g)</w:t>
      </w:r>
      <w:r w:rsidRPr="009D67F3">
        <w:rPr>
          <w:rFonts w:asciiTheme="minorHAnsi" w:hAnsiTheme="minorHAnsi" w:cs="Calibri"/>
          <w:sz w:val="24"/>
          <w:szCs w:val="24"/>
        </w:rPr>
        <w:tab/>
        <w:t>disponibilizar à Fiduciária e ao Agente Fiduciário, relatórios mensais de acompanhamento e apuração d</w:t>
      </w:r>
      <w:r w:rsidR="007F5775" w:rsidRPr="009D67F3">
        <w:rPr>
          <w:rFonts w:asciiTheme="minorHAnsi" w:hAnsiTheme="minorHAnsi" w:cs="Calibri"/>
          <w:sz w:val="24"/>
          <w:szCs w:val="24"/>
        </w:rPr>
        <w:t>o Índice de Cobertura</w:t>
      </w:r>
      <w:r w:rsidRPr="009D67F3">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lastRenderedPageBreak/>
        <w:t>3.2.</w:t>
      </w:r>
      <w:r w:rsidR="006C626C" w:rsidRPr="009D67F3">
        <w:rPr>
          <w:rFonts w:asciiTheme="minorHAnsi" w:hAnsiTheme="minorHAnsi" w:cs="Calibri"/>
          <w:sz w:val="24"/>
          <w:szCs w:val="24"/>
        </w:rPr>
        <w:t>1.4.</w:t>
      </w:r>
      <w:r w:rsidRPr="009D67F3">
        <w:rPr>
          <w:rFonts w:asciiTheme="minorHAnsi" w:hAnsiTheme="minorHAnsi" w:cs="Calibri"/>
          <w:sz w:val="24"/>
          <w:szCs w:val="24"/>
        </w:rPr>
        <w:tab/>
        <w:t>A Fiduciária deverá, com base nos relatórios emitidos pelo Servicer, verificar os montantes necessários para manutenção do Fundo de Reserva (conforme definido no 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78B79AB4"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9D67F3">
        <w:rPr>
          <w:rFonts w:asciiTheme="minorHAnsi" w:hAnsiTheme="minorHAnsi" w:cs="Arial"/>
          <w:sz w:val="24"/>
          <w:szCs w:val="24"/>
        </w:rPr>
        <w:t xml:space="preserve">As Fiduciantes se comprometem, por meio deste ato, a tomar todas as providências necessárias para fazer com que os Recebíveis </w:t>
      </w:r>
      <w:r w:rsidR="00DD0C31" w:rsidRPr="009D67F3">
        <w:rPr>
          <w:rFonts w:asciiTheme="minorHAnsi" w:hAnsiTheme="minorHAnsi" w:cs="Calibri"/>
          <w:sz w:val="24"/>
          <w:szCs w:val="24"/>
        </w:rPr>
        <w:t>sejam</w:t>
      </w:r>
      <w:r w:rsidR="00DD0C31" w:rsidRPr="009D67F3">
        <w:rPr>
          <w:rFonts w:asciiTheme="minorHAnsi" w:hAnsiTheme="minorHAnsi" w:cs="Arial"/>
          <w:sz w:val="24"/>
          <w:szCs w:val="24"/>
        </w:rPr>
        <w:t xml:space="preserve"> sempre depositados nas Contas Vinculadas, devendo informar à Fiduciária (e- mail: </w:t>
      </w:r>
      <w:hyperlink r:id="rId13" w:history="1">
        <w:r w:rsidR="00DD0C31" w:rsidRPr="009D67F3">
          <w:rPr>
            <w:rStyle w:val="Hyperlink"/>
            <w:rFonts w:asciiTheme="minorHAnsi" w:hAnsiTheme="minorHAnsi" w:cs="Arial"/>
            <w:sz w:val="24"/>
            <w:szCs w:val="24"/>
            <w:highlight w:val="yellow"/>
          </w:rPr>
          <w:t>[</w:t>
        </w:r>
        <w:r w:rsidR="00DD0C31" w:rsidRPr="009D67F3">
          <w:rPr>
            <w:rStyle w:val="Hyperlink"/>
            <w:rFonts w:asciiTheme="minorHAnsi" w:hAnsiTheme="minorHAnsi" w:cs="Calibri"/>
            <w:sz w:val="24"/>
            <w:szCs w:val="24"/>
            <w:highlight w:val="yellow"/>
          </w:rPr>
          <w:t>•</w:t>
        </w:r>
        <w:r w:rsidR="00DD0C31" w:rsidRPr="009D67F3">
          <w:rPr>
            <w:rStyle w:val="Hyperlink"/>
            <w:rFonts w:asciiTheme="minorHAnsi" w:hAnsiTheme="minorHAnsi" w:cs="Arial"/>
            <w:sz w:val="24"/>
            <w:szCs w:val="24"/>
            <w:highlight w:val="yellow"/>
          </w:rPr>
          <w:t>]</w:t>
        </w:r>
      </w:hyperlink>
      <w:r w:rsidR="00DD0C31" w:rsidRPr="009D67F3">
        <w:rPr>
          <w:rFonts w:asciiTheme="minorHAnsi" w:hAnsiTheme="minorHAnsi" w:cs="Arial"/>
          <w:sz w:val="24"/>
          <w:szCs w:val="24"/>
        </w:rPr>
        <w:t>) e ao Servicer (e- mail: </w:t>
      </w:r>
      <w:hyperlink r:id="rId14" w:history="1">
        <w:r w:rsidR="00DD0C31" w:rsidRPr="009D67F3">
          <w:rPr>
            <w:rStyle w:val="Hyperlink"/>
            <w:rFonts w:asciiTheme="minorHAnsi" w:hAnsiTheme="minorHAnsi" w:cs="Arial"/>
            <w:sz w:val="24"/>
            <w:szCs w:val="24"/>
          </w:rPr>
          <w:t>conciliacao@certificadora.imb.br</w:t>
        </w:r>
      </w:hyperlink>
      <w:r w:rsidR="00DD0C31" w:rsidRPr="009D67F3">
        <w:rPr>
          <w:rFonts w:asciiTheme="minorHAnsi" w:hAnsiTheme="minorHAnsi" w:cs="Arial"/>
          <w:sz w:val="24"/>
          <w:szCs w:val="24"/>
        </w:rPr>
        <w:t>) no prazo de até 2 (dois) úteis a respeito de qualquer importância recebida em razão dos Recebíveis em contas diversas, com identificação do cliente depositante com o respectivo Empreendimento e unidade.  O Servicer terá então até 2 (dois) dias úteis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961E42" w:rsidRPr="009D67F3">
        <w:rPr>
          <w:rFonts w:asciiTheme="minorHAnsi" w:hAnsiTheme="minorHAnsi" w:cs="Arial"/>
          <w:sz w:val="24"/>
          <w:szCs w:val="24"/>
        </w:rPr>
        <w:t xml:space="preserve"> [</w:t>
      </w:r>
      <w:r w:rsidR="00961E42" w:rsidRPr="009D67F3">
        <w:rPr>
          <w:rFonts w:asciiTheme="minorHAnsi" w:hAnsiTheme="minorHAnsi" w:cs="Arial"/>
          <w:sz w:val="24"/>
          <w:szCs w:val="24"/>
          <w:highlight w:val="yellow"/>
        </w:rPr>
        <w:t>Nota ISEC: Normalmente usamos 2 DU para fazer a transferência</w:t>
      </w:r>
      <w:r w:rsidR="00961E42" w:rsidRPr="009D67F3">
        <w:rPr>
          <w:rFonts w:asciiTheme="minorHAnsi" w:hAnsiTheme="minorHAnsi" w:cs="Arial"/>
          <w:sz w:val="24"/>
          <w:szCs w:val="24"/>
        </w:rPr>
        <w:t>]</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8" w:name="_Hlk47990094"/>
    </w:p>
    <w:p w14:paraId="30C16394" w14:textId="4D065C05"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9" w:name="_Hlk47990118"/>
      <w:r w:rsidR="0070304F" w:rsidRPr="009D67F3">
        <w:rPr>
          <w:rFonts w:asciiTheme="minorHAnsi" w:hAnsiTheme="minorHAnsi"/>
          <w:sz w:val="24"/>
          <w:szCs w:val="24"/>
        </w:rPr>
        <w:t xml:space="preserve">e/ou </w:t>
      </w:r>
      <w:bookmarkEnd w:id="9"/>
      <w:r w:rsidR="0070304F" w:rsidRPr="009D67F3">
        <w:rPr>
          <w:rFonts w:asciiTheme="minorHAnsi" w:hAnsiTheme="minorHAnsi"/>
          <w:sz w:val="24"/>
          <w:szCs w:val="24"/>
        </w:rPr>
        <w:t>(iii) amortização antecipada parcial ou resgate antecipado total das Obrigações Garantidas</w:t>
      </w:r>
      <w:bookmarkEnd w:id="8"/>
      <w:r w:rsidR="0070304F" w:rsidRPr="009D67F3">
        <w:rPr>
          <w:rFonts w:asciiTheme="minorHAnsi" w:hAnsiTheme="minorHAnsi"/>
          <w:sz w:val="24"/>
          <w:szCs w:val="24"/>
        </w:rPr>
        <w:t xml:space="preserve">. </w:t>
      </w:r>
      <w:r w:rsidR="00961E42" w:rsidRPr="009D67F3">
        <w:rPr>
          <w:rFonts w:asciiTheme="minorHAnsi" w:hAnsiTheme="minorHAnsi"/>
          <w:sz w:val="24"/>
          <w:szCs w:val="24"/>
        </w:rPr>
        <w:t>[</w:t>
      </w:r>
      <w:r w:rsidR="00961E42" w:rsidRPr="009D67F3">
        <w:rPr>
          <w:rFonts w:asciiTheme="minorHAnsi" w:hAnsiTheme="minorHAnsi"/>
          <w:sz w:val="24"/>
          <w:szCs w:val="24"/>
          <w:highlight w:val="yellow"/>
        </w:rPr>
        <w:t>Nota ISE</w:t>
      </w:r>
      <w:r w:rsidR="006C52A7">
        <w:rPr>
          <w:rFonts w:asciiTheme="minorHAnsi" w:hAnsiTheme="minorHAnsi"/>
          <w:sz w:val="24"/>
          <w:szCs w:val="24"/>
          <w:highlight w:val="yellow"/>
        </w:rPr>
        <w:t>C</w:t>
      </w:r>
      <w:r w:rsidR="00961E42" w:rsidRPr="009D67F3">
        <w:rPr>
          <w:rFonts w:asciiTheme="minorHAnsi" w:hAnsiTheme="minorHAnsi"/>
          <w:sz w:val="24"/>
          <w:szCs w:val="24"/>
          <w:highlight w:val="yellow"/>
        </w:rPr>
        <w:t>: Compatibilizar com a cláusula 3.5</w:t>
      </w:r>
      <w:r w:rsidR="00961E42" w:rsidRPr="009D67F3">
        <w:rPr>
          <w:rFonts w:asciiTheme="minorHAnsi" w:hAnsiTheme="minorHAnsi"/>
          <w:sz w:val="24"/>
          <w:szCs w:val="24"/>
        </w:rPr>
        <w:t>]</w:t>
      </w:r>
      <w:r w:rsidR="000F2E4A">
        <w:rPr>
          <w:rFonts w:asciiTheme="minorHAnsi" w:hAnsiTheme="minorHAnsi"/>
          <w:sz w:val="24"/>
          <w:szCs w:val="24"/>
        </w:rPr>
        <w:t xml:space="preserve"> [</w:t>
      </w:r>
      <w:r w:rsidR="000F2E4A" w:rsidRPr="000F2E4A">
        <w:rPr>
          <w:rFonts w:asciiTheme="minorHAnsi" w:hAnsiTheme="minorHAnsi"/>
          <w:sz w:val="24"/>
          <w:szCs w:val="24"/>
          <w:highlight w:val="yellow"/>
        </w:rPr>
        <w:t>Nota KLA: Ok, conforme cláusula 3.5 abaixo</w:t>
      </w:r>
      <w:r w:rsidR="000F2E4A">
        <w:rPr>
          <w:rFonts w:asciiTheme="minorHAnsi" w:hAnsiTheme="minorHAnsi"/>
          <w:sz w:val="24"/>
          <w:szCs w:val="24"/>
        </w:rPr>
        <w:t>]</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6A48FE9F"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9D67F3">
        <w:rPr>
          <w:rFonts w:asciiTheme="minorHAnsi" w:hAnsiTheme="minorHAnsi" w:cs="Helv"/>
          <w:color w:val="000000"/>
          <w:sz w:val="24"/>
          <w:szCs w:val="24"/>
          <w:u w:val="single"/>
        </w:rPr>
        <w:t>Notificação de Liquidação Integral</w:t>
      </w:r>
      <w:r w:rsidR="0070304F" w:rsidRPr="009D67F3">
        <w:rPr>
          <w:rFonts w:asciiTheme="minorHAnsi" w:hAnsiTheme="minorHAnsi" w:cs="Helv"/>
          <w:color w:val="000000"/>
          <w:sz w:val="24"/>
          <w:szCs w:val="24"/>
        </w:rPr>
        <w:t>"),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r w:rsidR="00961E42" w:rsidRPr="009D67F3">
        <w:rPr>
          <w:rFonts w:asciiTheme="minorHAnsi" w:hAnsiTheme="minorHAnsi" w:cs="Helv"/>
          <w:color w:val="000000"/>
          <w:sz w:val="24"/>
          <w:szCs w:val="24"/>
          <w:highlight w:val="yellow"/>
        </w:rPr>
        <w:t>Nota ISCE: O pagamento dos recebíveis serão feitos em contas vinculadas, certo?</w:t>
      </w:r>
      <w:r w:rsidR="00961E42" w:rsidRPr="009D67F3">
        <w:rPr>
          <w:rFonts w:asciiTheme="minorHAnsi" w:hAnsiTheme="minorHAnsi" w:cs="Helv"/>
          <w:color w:val="000000"/>
          <w:sz w:val="24"/>
          <w:szCs w:val="24"/>
        </w:rPr>
        <w:t>]</w:t>
      </w:r>
      <w:r w:rsidR="000F25BE" w:rsidRPr="009D67F3">
        <w:rPr>
          <w:rFonts w:asciiTheme="minorHAnsi" w:hAnsiTheme="minorHAnsi" w:cs="Helv"/>
          <w:color w:val="000000"/>
          <w:sz w:val="24"/>
          <w:szCs w:val="24"/>
        </w:rPr>
        <w:t xml:space="preserve"> [</w:t>
      </w:r>
      <w:r w:rsidR="000F25BE" w:rsidRPr="009D67F3">
        <w:rPr>
          <w:rFonts w:asciiTheme="minorHAnsi" w:hAnsiTheme="minorHAnsi" w:cs="Helv"/>
          <w:color w:val="000000"/>
          <w:sz w:val="24"/>
          <w:szCs w:val="24"/>
          <w:highlight w:val="yellow"/>
        </w:rPr>
        <w:t>Nota QAM: Correto</w:t>
      </w:r>
      <w:r w:rsidR="000F25BE" w:rsidRPr="009D67F3">
        <w:rPr>
          <w:rFonts w:asciiTheme="minorHAnsi" w:hAnsiTheme="minorHAnsi" w:cs="Helv"/>
          <w:color w:val="000000"/>
          <w:sz w:val="24"/>
          <w:szCs w:val="24"/>
        </w:rPr>
        <w:t>]</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505903C6"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commentRangeStart w:id="10"/>
      <w:r w:rsidR="0070304F" w:rsidRPr="009D67F3">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commentRangeEnd w:id="10"/>
      <w:r w:rsidR="00541A12">
        <w:rPr>
          <w:rStyle w:val="Refdecomentrio"/>
          <w:rFonts w:ascii="Times New Roman" w:hAnsi="Times New Roman"/>
          <w:lang w:val="en-US" w:eastAsia="en-US"/>
        </w:rPr>
        <w:commentReference w:id="10"/>
      </w:r>
      <w:r w:rsidR="0070304F" w:rsidRPr="009D67F3">
        <w:rPr>
          <w:rFonts w:asciiTheme="minorHAnsi" w:hAnsiTheme="minorHAnsi" w:cs="Helv"/>
          <w:color w:val="000000"/>
          <w:sz w:val="24"/>
          <w:szCs w:val="24"/>
        </w:rPr>
        <w:t>.</w:t>
      </w:r>
    </w:p>
    <w:p w14:paraId="510E92E7" w14:textId="45452F3D"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 xml:space="preserve">os recursos recebidos na Conta do Patrimônio Separado deverão ser liberados para a conta de </w:t>
      </w:r>
      <w:r w:rsidR="0070304F" w:rsidRPr="009D67F3">
        <w:rPr>
          <w:rFonts w:asciiTheme="minorHAnsi" w:hAnsiTheme="minorHAnsi"/>
          <w:sz w:val="24"/>
          <w:szCs w:val="24"/>
        </w:rPr>
        <w:lastRenderedPageBreak/>
        <w:t>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r w:rsidRPr="009D67F3">
        <w:rPr>
          <w:rFonts w:asciiTheme="minorHAnsi" w:hAnsiTheme="minorHAnsi" w:cs="Arial"/>
          <w:sz w:val="24"/>
          <w:szCs w:val="24"/>
          <w:highlight w:val="yellow"/>
        </w:rPr>
        <w:t xml:space="preserve">[Nota </w:t>
      </w:r>
      <w:commentRangeStart w:id="11"/>
      <w:r w:rsidRPr="009D67F3">
        <w:rPr>
          <w:rFonts w:asciiTheme="minorHAnsi" w:hAnsiTheme="minorHAnsi" w:cs="Arial"/>
          <w:sz w:val="24"/>
          <w:szCs w:val="24"/>
          <w:highlight w:val="yellow"/>
        </w:rPr>
        <w:t>KLA: Embraed, favor confirmar número de Conta]</w:t>
      </w:r>
      <w:commentRangeEnd w:id="11"/>
      <w:r w:rsidR="00265F95">
        <w:rPr>
          <w:rStyle w:val="Refdecomentrio"/>
          <w:rFonts w:ascii="Times New Roman" w:hAnsi="Times New Roman"/>
          <w:lang w:val="en-US" w:eastAsia="en-US"/>
        </w:rPr>
        <w:commentReference w:id="11"/>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5D45F785"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9D67F3">
        <w:rPr>
          <w:rFonts w:asciiTheme="minorHAnsi" w:hAnsiTheme="minorHAnsi" w:cs="Trebuchet MS"/>
          <w:sz w:val="24"/>
          <w:szCs w:val="24"/>
        </w:rPr>
        <w:t>Durante</w:t>
      </w:r>
      <w:r w:rsidR="001111DA" w:rsidRPr="009D67F3">
        <w:rPr>
          <w:rFonts w:asciiTheme="minorHAnsi" w:hAnsiTheme="minorHAnsi" w:cs="Arial"/>
          <w:sz w:val="24"/>
          <w:szCs w:val="24"/>
        </w:rPr>
        <w:t xml:space="preserve"> toda a vigência deste Contrato de Cessão Fiduciária, </w:t>
      </w:r>
      <w:bookmarkStart w:id="12" w:name="_Hlk46953677"/>
      <w:r w:rsidR="00C5444E" w:rsidRPr="009D67F3">
        <w:rPr>
          <w:rFonts w:asciiTheme="minorHAnsi" w:hAnsiTheme="minorHAnsi" w:cs="Arial"/>
          <w:sz w:val="24"/>
          <w:szCs w:val="24"/>
        </w:rPr>
        <w:t xml:space="preserve">no </w:t>
      </w:r>
      <w:r w:rsidR="00B60763" w:rsidRPr="009D67F3">
        <w:rPr>
          <w:rFonts w:asciiTheme="minorHAnsi" w:hAnsiTheme="minorHAnsi" w:cs="Arial"/>
          <w:sz w:val="24"/>
          <w:szCs w:val="24"/>
        </w:rPr>
        <w:t>1º Dia Útil de cada mês</w:t>
      </w:r>
      <w:r w:rsidR="001111DA" w:rsidRPr="009D67F3">
        <w:rPr>
          <w:rFonts w:asciiTheme="minorHAnsi" w:hAnsiTheme="minorHAnsi" w:cs="Arial"/>
          <w:sz w:val="24"/>
          <w:szCs w:val="24"/>
        </w:rPr>
        <w:t xml:space="preserve">, o Servicer </w:t>
      </w:r>
      <w:r w:rsidR="00C5444E" w:rsidRPr="009D67F3">
        <w:rPr>
          <w:rFonts w:asciiTheme="minorHAnsi" w:hAnsiTheme="minorHAnsi" w:cs="Arial"/>
          <w:sz w:val="24"/>
          <w:szCs w:val="24"/>
        </w:rPr>
        <w:t xml:space="preserve">deverá calcular </w:t>
      </w:r>
      <w:r w:rsidR="001111DA" w:rsidRPr="009D67F3">
        <w:rPr>
          <w:rFonts w:asciiTheme="minorHAnsi" w:hAnsiTheme="minorHAnsi" w:cs="Arial"/>
          <w:sz w:val="24"/>
          <w:szCs w:val="24"/>
        </w:rPr>
        <w:t>a soma do valor presente das parcelas futuras referente aos Recebíveis</w:t>
      </w:r>
      <w:bookmarkStart w:id="13" w:name="_Hlk46953704"/>
      <w:bookmarkEnd w:id="12"/>
      <w:r w:rsidR="001111DA" w:rsidRPr="009D67F3">
        <w:rPr>
          <w:rFonts w:asciiTheme="minorHAnsi" w:hAnsiTheme="minorHAnsi" w:cs="Arial"/>
          <w:sz w:val="24"/>
          <w:szCs w:val="24"/>
        </w:rPr>
        <w:t xml:space="preserve">, sendo </w:t>
      </w:r>
      <w:bookmarkStart w:id="14" w:name="_Hlk48163730"/>
      <w:r w:rsidR="001111DA" w:rsidRPr="009D67F3">
        <w:rPr>
          <w:rFonts w:asciiTheme="minorHAnsi" w:hAnsiTheme="minorHAnsi" w:cs="Arial"/>
          <w:sz w:val="24"/>
          <w:szCs w:val="24"/>
        </w:rPr>
        <w:t>tal</w:t>
      </w:r>
      <w:r w:rsidR="001111DA" w:rsidRPr="009D67F3">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14"/>
      <w:r w:rsidR="001111DA" w:rsidRPr="009D67F3">
        <w:rPr>
          <w:rFonts w:asciiTheme="minorHAnsi" w:hAnsiTheme="minorHAnsi"/>
          <w:sz w:val="24"/>
          <w:szCs w:val="24"/>
        </w:rPr>
        <w:t xml:space="preserve"> (“</w:t>
      </w:r>
      <w:r w:rsidR="00B60763" w:rsidRPr="009D67F3">
        <w:rPr>
          <w:rFonts w:asciiTheme="minorHAnsi" w:hAnsiTheme="minorHAnsi"/>
          <w:sz w:val="24"/>
          <w:szCs w:val="24"/>
          <w:u w:val="single"/>
        </w:rPr>
        <w:t>Índice de Cobertura</w:t>
      </w:r>
      <w:r w:rsidR="001111DA" w:rsidRPr="009D67F3">
        <w:rPr>
          <w:rFonts w:asciiTheme="minorHAnsi" w:hAnsiTheme="minorHAnsi"/>
          <w:sz w:val="24"/>
          <w:szCs w:val="24"/>
        </w:rPr>
        <w:t xml:space="preserve">”). </w:t>
      </w:r>
      <w:r w:rsidR="00B60763" w:rsidRPr="009D67F3">
        <w:rPr>
          <w:rFonts w:asciiTheme="minorHAnsi" w:hAnsiTheme="minorHAnsi"/>
          <w:sz w:val="24"/>
          <w:szCs w:val="24"/>
        </w:rPr>
        <w:t xml:space="preserve">O Índice de Cobertura </w:t>
      </w:r>
      <w:r w:rsidR="001111DA" w:rsidRPr="009D67F3">
        <w:rPr>
          <w:rFonts w:asciiTheme="minorHAnsi" w:hAnsiTheme="minorHAnsi" w:cs="Arial"/>
          <w:sz w:val="24"/>
          <w:szCs w:val="24"/>
        </w:rPr>
        <w:t xml:space="preserve">deverá corresponder a, no mínimo, </w:t>
      </w:r>
      <w:r w:rsidR="001111DA" w:rsidRPr="009D67F3">
        <w:rPr>
          <w:rFonts w:asciiTheme="minorHAnsi" w:hAnsiTheme="minorHAnsi"/>
          <w:sz w:val="24"/>
          <w:szCs w:val="24"/>
        </w:rPr>
        <w:t>1</w:t>
      </w:r>
      <w:r w:rsidR="00B60763" w:rsidRPr="009D67F3">
        <w:rPr>
          <w:rFonts w:asciiTheme="minorHAnsi" w:hAnsiTheme="minorHAnsi"/>
          <w:sz w:val="24"/>
          <w:szCs w:val="24"/>
        </w:rPr>
        <w:t>2</w:t>
      </w:r>
      <w:r w:rsidR="001111DA" w:rsidRPr="009D67F3">
        <w:rPr>
          <w:rFonts w:asciiTheme="minorHAnsi" w:hAnsiTheme="minorHAnsi"/>
          <w:sz w:val="24"/>
          <w:szCs w:val="24"/>
        </w:rPr>
        <w:t xml:space="preserve">0% (cento e </w:t>
      </w:r>
      <w:r w:rsidR="00B60763" w:rsidRPr="009D67F3">
        <w:rPr>
          <w:rFonts w:asciiTheme="minorHAnsi" w:hAnsiTheme="minorHAnsi"/>
          <w:sz w:val="24"/>
          <w:szCs w:val="24"/>
        </w:rPr>
        <w:t xml:space="preserve">vinte </w:t>
      </w:r>
      <w:r w:rsidR="001111DA" w:rsidRPr="009D67F3">
        <w:rPr>
          <w:rFonts w:asciiTheme="minorHAnsi" w:hAnsiTheme="minorHAnsi"/>
          <w:sz w:val="24"/>
          <w:szCs w:val="24"/>
        </w:rPr>
        <w:t>por cento) do saldo devedor da</w:t>
      </w:r>
      <w:r w:rsidR="00C5444E" w:rsidRPr="009D67F3">
        <w:rPr>
          <w:rFonts w:asciiTheme="minorHAnsi" w:hAnsiTheme="minorHAnsi"/>
          <w:sz w:val="24"/>
          <w:szCs w:val="24"/>
        </w:rPr>
        <w:t xml:space="preserve"> CCB</w:t>
      </w:r>
      <w:r w:rsidR="001111DA" w:rsidRPr="009D67F3">
        <w:rPr>
          <w:rFonts w:asciiTheme="minorHAnsi" w:hAnsiTheme="minorHAnsi"/>
          <w:sz w:val="24"/>
          <w:szCs w:val="24"/>
        </w:rPr>
        <w:t xml:space="preserve"> após o pagamento da parcela vincenda no mês da apuração</w:t>
      </w:r>
      <w:r w:rsidR="001111DA" w:rsidRPr="009D67F3">
        <w:rPr>
          <w:rFonts w:asciiTheme="minorHAnsi" w:hAnsiTheme="minorHAnsi" w:cs="Arial"/>
          <w:sz w:val="24"/>
          <w:szCs w:val="24"/>
        </w:rPr>
        <w:t xml:space="preserve"> </w:t>
      </w:r>
      <w:bookmarkEnd w:id="13"/>
      <w:r w:rsidR="001111DA" w:rsidRPr="009D67F3">
        <w:rPr>
          <w:rFonts w:asciiTheme="minorHAnsi" w:hAnsiTheme="minorHAnsi" w:cs="Arial"/>
          <w:sz w:val="24"/>
          <w:szCs w:val="24"/>
        </w:rPr>
        <w:t>(“</w:t>
      </w:r>
      <w:r w:rsidR="00C5444E" w:rsidRPr="009D67F3">
        <w:rPr>
          <w:rFonts w:asciiTheme="minorHAnsi" w:hAnsiTheme="minorHAnsi"/>
          <w:sz w:val="24"/>
          <w:szCs w:val="24"/>
          <w:u w:val="single"/>
        </w:rPr>
        <w:t>Índice de Cobertura</w:t>
      </w:r>
      <w:r w:rsidR="00C5444E" w:rsidRPr="009D67F3">
        <w:rPr>
          <w:rFonts w:asciiTheme="minorHAnsi" w:hAnsiTheme="minorHAnsi" w:cs="Arial"/>
          <w:sz w:val="24"/>
          <w:szCs w:val="24"/>
          <w:u w:val="single"/>
        </w:rPr>
        <w:t xml:space="preserve"> </w:t>
      </w:r>
      <w:r w:rsidR="001111DA" w:rsidRPr="009D67F3">
        <w:rPr>
          <w:rFonts w:asciiTheme="minorHAnsi" w:hAnsiTheme="minorHAnsi" w:cs="Arial"/>
          <w:sz w:val="24"/>
          <w:szCs w:val="24"/>
          <w:u w:val="single"/>
        </w:rPr>
        <w:t>Mínim</w:t>
      </w:r>
      <w:r w:rsidR="00C5444E" w:rsidRPr="009D67F3">
        <w:rPr>
          <w:rFonts w:asciiTheme="minorHAnsi" w:hAnsiTheme="minorHAnsi" w:cs="Arial"/>
          <w:sz w:val="24"/>
          <w:szCs w:val="24"/>
          <w:u w:val="single"/>
        </w:rPr>
        <w:t>o</w:t>
      </w:r>
      <w:r w:rsidR="001111DA" w:rsidRPr="009D67F3">
        <w:rPr>
          <w:rFonts w:asciiTheme="minorHAnsi" w:hAnsiTheme="minorHAnsi" w:cs="Arial"/>
          <w:sz w:val="24"/>
          <w:szCs w:val="24"/>
        </w:rPr>
        <w:t>”)</w:t>
      </w:r>
      <w:r w:rsidR="00C5444E" w:rsidRPr="009D67F3">
        <w:rPr>
          <w:rFonts w:asciiTheme="minorHAnsi" w:hAnsiTheme="minorHAnsi" w:cs="Arial"/>
          <w:sz w:val="24"/>
          <w:szCs w:val="24"/>
        </w:rPr>
        <w:t xml:space="preserve">. </w:t>
      </w:r>
      <w:r w:rsidR="00961E42" w:rsidRPr="009D67F3">
        <w:rPr>
          <w:rFonts w:asciiTheme="minorHAnsi" w:hAnsiTheme="minorHAnsi" w:cs="Arial"/>
          <w:sz w:val="24"/>
          <w:szCs w:val="24"/>
        </w:rPr>
        <w:t>[</w:t>
      </w:r>
      <w:commentRangeStart w:id="15"/>
      <w:r w:rsidR="00961E42" w:rsidRPr="009D67F3">
        <w:rPr>
          <w:rFonts w:asciiTheme="minorHAnsi" w:hAnsiTheme="minorHAnsi" w:cs="Arial"/>
          <w:sz w:val="24"/>
          <w:szCs w:val="24"/>
          <w:highlight w:val="yellow"/>
        </w:rPr>
        <w:t>Nota ISEC: Não será feito junto com o relatório? Faz sentido que esteja na mesma data e que a data de aniversário/pagamento seja alguns dias depois</w:t>
      </w:r>
      <w:r w:rsidR="00961E42" w:rsidRPr="009D67F3">
        <w:rPr>
          <w:rFonts w:asciiTheme="minorHAnsi" w:hAnsiTheme="minorHAnsi" w:cs="Arial"/>
          <w:sz w:val="24"/>
          <w:szCs w:val="24"/>
        </w:rPr>
        <w:t>]</w:t>
      </w:r>
      <w:commentRangeEnd w:id="15"/>
      <w:r w:rsidR="00265F95">
        <w:rPr>
          <w:rStyle w:val="Refdecomentrio"/>
          <w:rFonts w:ascii="Times New Roman" w:hAnsi="Times New Roman"/>
          <w:lang w:val="en-US" w:eastAsia="en-US"/>
        </w:rPr>
        <w:commentReference w:id="15"/>
      </w:r>
    </w:p>
    <w:p w14:paraId="32929A4A" w14:textId="5BE1854A"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commentRangeStart w:id="16"/>
      <w:r w:rsidR="007F5775" w:rsidRPr="009D67F3">
        <w:rPr>
          <w:rFonts w:asciiTheme="minorHAnsi" w:hAnsiTheme="minorHAnsi" w:cs="Calibri"/>
          <w:sz w:val="24"/>
          <w:szCs w:val="24"/>
        </w:rPr>
        <w:t xml:space="preserve">Ainda, </w:t>
      </w:r>
      <w:r w:rsidR="00FF79A5" w:rsidRPr="009D67F3">
        <w:rPr>
          <w:rFonts w:asciiTheme="minorHAnsi" w:hAnsiTheme="minorHAnsi" w:cs="Calibri"/>
          <w:sz w:val="24"/>
          <w:szCs w:val="24"/>
        </w:rPr>
        <w:t xml:space="preserve">o Índice de </w:t>
      </w:r>
      <w:r w:rsidR="00B009BA" w:rsidRPr="009D67F3">
        <w:rPr>
          <w:rFonts w:asciiTheme="minorHAnsi" w:hAnsiTheme="minorHAnsi" w:cs="Calibri"/>
          <w:sz w:val="24"/>
          <w:szCs w:val="24"/>
        </w:rPr>
        <w:t>Cobertura</w:t>
      </w:r>
      <w:r w:rsidR="00FF79A5" w:rsidRPr="009D67F3">
        <w:rPr>
          <w:rFonts w:asciiTheme="minorHAnsi" w:hAnsiTheme="minorHAnsi" w:cs="Calibri"/>
          <w:sz w:val="24"/>
          <w:szCs w:val="24"/>
        </w:rPr>
        <w:t xml:space="preserve"> </w:t>
      </w:r>
      <w:r w:rsidR="007F5775" w:rsidRPr="009D67F3">
        <w:rPr>
          <w:rFonts w:asciiTheme="minorHAnsi" w:hAnsiTheme="minorHAnsi" w:cs="Calibri"/>
          <w:sz w:val="24"/>
          <w:szCs w:val="24"/>
        </w:rPr>
        <w:t xml:space="preserve">deverá contar, a todo tempo, com pelo menos 30% (trinta por cento) </w:t>
      </w:r>
      <w:proofErr w:type="gramStart"/>
      <w:r w:rsidR="007F5775" w:rsidRPr="009D67F3">
        <w:rPr>
          <w:rFonts w:asciiTheme="minorHAnsi" w:hAnsiTheme="minorHAnsi" w:cs="Calibri"/>
          <w:sz w:val="24"/>
          <w:szCs w:val="24"/>
        </w:rPr>
        <w:t>de Recebíveis</w:t>
      </w:r>
      <w:proofErr w:type="gramEnd"/>
      <w:r w:rsidR="007F5775" w:rsidRPr="009D67F3">
        <w:rPr>
          <w:rFonts w:asciiTheme="minorHAnsi" w:hAnsiTheme="minorHAnsi" w:cs="Calibri"/>
          <w:sz w:val="24"/>
          <w:szCs w:val="24"/>
        </w:rPr>
        <w:t xml:space="preserve"> oriundos de Contratos Performados, conforme definidos </w:t>
      </w:r>
      <w:r w:rsidR="00FF79A5" w:rsidRPr="009D67F3">
        <w:rPr>
          <w:rFonts w:asciiTheme="minorHAnsi" w:hAnsiTheme="minorHAnsi" w:cs="Calibri"/>
          <w:sz w:val="24"/>
          <w:szCs w:val="24"/>
        </w:rPr>
        <w:t>abaixo</w:t>
      </w:r>
      <w:r w:rsidR="007F5775" w:rsidRPr="009D67F3">
        <w:rPr>
          <w:rFonts w:asciiTheme="minorHAnsi" w:hAnsiTheme="minorHAnsi" w:cs="Calibri"/>
          <w:sz w:val="24"/>
          <w:szCs w:val="24"/>
        </w:rPr>
        <w:t xml:space="preserve">. Caso haja montantes disponíveis Conta Centralizadora </w:t>
      </w:r>
      <w:r w:rsidR="007F5775" w:rsidRPr="009D67F3">
        <w:rPr>
          <w:rFonts w:asciiTheme="minorHAnsi" w:hAnsiTheme="minorHAnsi" w:cs="Helv"/>
          <w:color w:val="000000"/>
          <w:sz w:val="24"/>
          <w:szCs w:val="24"/>
        </w:rPr>
        <w:t>provenientes</w:t>
      </w:r>
      <w:r w:rsidR="007F5775" w:rsidRPr="009D67F3">
        <w:rPr>
          <w:rFonts w:asciiTheme="minorHAnsi" w:hAnsiTheme="minorHAnsi" w:cs="Calibri"/>
          <w:sz w:val="24"/>
          <w:szCs w:val="24"/>
        </w:rPr>
        <w:t xml:space="preserve"> de depósitos realizados pelas Fiduciantes ou, ainda, dos Investimentos Permitidos, e para fins do cálculo d</w:t>
      </w:r>
      <w:r w:rsidRPr="009D67F3">
        <w:rPr>
          <w:rFonts w:asciiTheme="minorHAnsi" w:hAnsiTheme="minorHAnsi" w:cs="Calibri"/>
          <w:sz w:val="24"/>
          <w:szCs w:val="24"/>
        </w:rPr>
        <w:t>o Índice de Cobertura</w:t>
      </w:r>
      <w:r w:rsidR="007F5775" w:rsidRPr="009D67F3">
        <w:rPr>
          <w:rFonts w:asciiTheme="minorHAnsi" w:hAnsiTheme="minorHAnsi" w:cs="Calibri"/>
          <w:sz w:val="24"/>
          <w:szCs w:val="24"/>
        </w:rPr>
        <w:t xml:space="preserve">, referido montante deverá ser considerado </w:t>
      </w:r>
      <w:proofErr w:type="gramStart"/>
      <w:r w:rsidR="007F5775" w:rsidRPr="009D67F3">
        <w:rPr>
          <w:rFonts w:asciiTheme="minorHAnsi" w:hAnsiTheme="minorHAnsi" w:cs="Calibri"/>
          <w:sz w:val="24"/>
          <w:szCs w:val="24"/>
        </w:rPr>
        <w:t>como Recebíveis</w:t>
      </w:r>
      <w:proofErr w:type="gramEnd"/>
      <w:r w:rsidR="007F5775" w:rsidRPr="009D67F3">
        <w:rPr>
          <w:rFonts w:asciiTheme="minorHAnsi" w:hAnsiTheme="minorHAnsi" w:cs="Calibri"/>
          <w:sz w:val="24"/>
          <w:szCs w:val="24"/>
        </w:rPr>
        <w:t xml:space="preserve"> oriundos de Contratos Performados.</w:t>
      </w:r>
      <w:commentRangeEnd w:id="16"/>
      <w:r w:rsidR="00F069F6">
        <w:rPr>
          <w:rStyle w:val="Refdecomentrio"/>
          <w:rFonts w:ascii="Times New Roman" w:hAnsi="Times New Roman"/>
          <w:lang w:val="en-US" w:eastAsia="en-US"/>
        </w:rPr>
        <w:commentReference w:id="16"/>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9D67F3">
        <w:rPr>
          <w:rFonts w:asciiTheme="minorHAnsi" w:hAnsiTheme="minorHAnsi" w:cs="Calibri"/>
          <w:sz w:val="24"/>
          <w:szCs w:val="24"/>
        </w:rPr>
        <w:t>Fica desde já ajustado que, para cálculo d</w:t>
      </w:r>
      <w:r w:rsidRPr="009D67F3">
        <w:rPr>
          <w:rFonts w:asciiTheme="minorHAnsi" w:hAnsiTheme="minorHAnsi" w:cs="Calibri"/>
          <w:sz w:val="24"/>
          <w:szCs w:val="24"/>
        </w:rPr>
        <w:t xml:space="preserve">o </w:t>
      </w:r>
      <w:r w:rsidRPr="009D67F3">
        <w:rPr>
          <w:rFonts w:asciiTheme="minorHAnsi" w:hAnsiTheme="minorHAnsi"/>
          <w:sz w:val="24"/>
          <w:szCs w:val="24"/>
        </w:rPr>
        <w:t>Índice de Cobertura</w:t>
      </w:r>
      <w:r w:rsidR="007F5775" w:rsidRPr="009D67F3">
        <w:rPr>
          <w:rFonts w:asciiTheme="minorHAnsi" w:hAnsiTheme="minorHAnsi" w:cs="Calibri"/>
          <w:sz w:val="24"/>
          <w:szCs w:val="24"/>
        </w:rPr>
        <w:t xml:space="preserve">, os Recebíveis oriundos de Contratos Não Performados, conforme abaixo definidos, poderão ser substituídos </w:t>
      </w:r>
      <w:proofErr w:type="gramStart"/>
      <w:r w:rsidR="007F5775" w:rsidRPr="009D67F3">
        <w:rPr>
          <w:rFonts w:asciiTheme="minorHAnsi" w:hAnsiTheme="minorHAnsi" w:cs="Calibri"/>
          <w:sz w:val="24"/>
          <w:szCs w:val="24"/>
        </w:rPr>
        <w:t>por Recebíveis</w:t>
      </w:r>
      <w:proofErr w:type="gramEnd"/>
      <w:r w:rsidR="007F5775" w:rsidRPr="009D67F3">
        <w:rPr>
          <w:rFonts w:asciiTheme="minorHAnsi" w:hAnsiTheme="minorHAnsi" w:cs="Calibri"/>
          <w:sz w:val="24"/>
          <w:szCs w:val="24"/>
        </w:rPr>
        <w:t xml:space="preserve"> oriundos de Contratos Performados, sendo vedada a substituição em situação reversa.</w:t>
      </w:r>
    </w:p>
    <w:p w14:paraId="04146CB5" w14:textId="08051612"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Pr>
          <w:rFonts w:asciiTheme="minorHAnsi" w:hAnsiTheme="minorHAnsi" w:cs="Arial"/>
          <w:sz w:val="24"/>
          <w:szCs w:val="24"/>
        </w:rPr>
        <w:t>Desde que aprovado pelos t</w:t>
      </w:r>
      <w:r w:rsidR="002668F5">
        <w:rPr>
          <w:rFonts w:asciiTheme="minorHAnsi" w:hAnsiTheme="minorHAnsi" w:cs="Arial"/>
          <w:sz w:val="24"/>
          <w:szCs w:val="24"/>
        </w:rPr>
        <w:t xml:space="preserve">itulares dos CRI, </w:t>
      </w:r>
      <w:r w:rsidR="002668F5">
        <w:rPr>
          <w:rFonts w:asciiTheme="minorHAnsi" w:hAnsiTheme="minorHAnsi" w:cs="Calibri"/>
          <w:sz w:val="24"/>
          <w:szCs w:val="24"/>
        </w:rPr>
        <w:t>a</w:t>
      </w:r>
      <w:r w:rsidR="006C626C" w:rsidRPr="009D67F3">
        <w:rPr>
          <w:rFonts w:asciiTheme="minorHAnsi" w:hAnsiTheme="minorHAnsi" w:cs="Calibri"/>
          <w:sz w:val="24"/>
          <w:szCs w:val="24"/>
        </w:rPr>
        <w:t xml:space="preserve"> Fiduciária poderá, a qualquer momento, solicitar a substituição dos Recebíveis cedidos fiduciariamente, mesmo que anteriormente os tenha </w:t>
      </w:r>
      <w:proofErr w:type="gramStart"/>
      <w:r w:rsidR="006C626C" w:rsidRPr="009D67F3">
        <w:rPr>
          <w:rFonts w:asciiTheme="minorHAnsi" w:hAnsiTheme="minorHAnsi" w:cs="Calibri"/>
          <w:sz w:val="24"/>
          <w:szCs w:val="24"/>
        </w:rPr>
        <w:t>aceito</w:t>
      </w:r>
      <w:proofErr w:type="gramEnd"/>
      <w:r w:rsidR="006C626C" w:rsidRPr="009D67F3">
        <w:rPr>
          <w:rFonts w:asciiTheme="minorHAnsi" w:hAnsiTheme="minorHAnsi" w:cs="Calibri"/>
          <w:sz w:val="24"/>
          <w:szCs w:val="24"/>
        </w:rPr>
        <w:t>, sempre que houver deterioração da qualidade dos Recebíveis</w:t>
      </w:r>
      <w:r w:rsidR="00961E42" w:rsidRPr="009D67F3">
        <w:rPr>
          <w:rFonts w:asciiTheme="minorHAnsi" w:hAnsiTheme="minorHAnsi" w:cs="Calibri"/>
          <w:sz w:val="24"/>
          <w:szCs w:val="24"/>
        </w:rPr>
        <w:t>, conform</w:t>
      </w:r>
      <w:r w:rsidR="004F5C45" w:rsidRPr="009D67F3">
        <w:rPr>
          <w:rFonts w:asciiTheme="minorHAnsi" w:hAnsiTheme="minorHAnsi" w:cs="Calibri"/>
          <w:sz w:val="24"/>
          <w:szCs w:val="24"/>
        </w:rPr>
        <w:t>e abaixo definido</w:t>
      </w:r>
      <w:r w:rsidR="006C626C" w:rsidRPr="009D67F3">
        <w:rPr>
          <w:rFonts w:asciiTheme="minorHAnsi" w:hAnsiTheme="minorHAnsi" w:cs="Calibri"/>
          <w:sz w:val="24"/>
          <w:szCs w:val="24"/>
        </w:rPr>
        <w:t>. A substituição ora mencionada deverá obedecer aos mesmos procedimentos dispostos nos itens 3.</w:t>
      </w:r>
      <w:r w:rsidRPr="009D67F3">
        <w:rPr>
          <w:rFonts w:asciiTheme="minorHAnsi" w:hAnsiTheme="minorHAnsi" w:cs="Calibri"/>
          <w:sz w:val="24"/>
          <w:szCs w:val="24"/>
        </w:rPr>
        <w:t>12</w:t>
      </w:r>
      <w:r w:rsidR="006C626C" w:rsidRPr="009D67F3">
        <w:rPr>
          <w:rFonts w:asciiTheme="minorHAnsi" w:hAnsiTheme="minorHAnsi" w:cs="Calibri"/>
          <w:sz w:val="24"/>
          <w:szCs w:val="24"/>
        </w:rPr>
        <w:t xml:space="preserve"> </w:t>
      </w:r>
      <w:r w:rsidR="006C626C" w:rsidRPr="009D67F3">
        <w:rPr>
          <w:rFonts w:asciiTheme="minorHAnsi" w:hAnsiTheme="minorHAnsi" w:cs="Calibri"/>
          <w:sz w:val="24"/>
          <w:szCs w:val="24"/>
        </w:rPr>
        <w:lastRenderedPageBreak/>
        <w:t>e seguintes abaixo.</w:t>
      </w:r>
      <w:r w:rsidR="004F5C45" w:rsidRPr="009D67F3">
        <w:rPr>
          <w:rFonts w:asciiTheme="minorHAnsi" w:hAnsiTheme="minorHAnsi" w:cs="Calibri"/>
          <w:sz w:val="24"/>
          <w:szCs w:val="24"/>
        </w:rPr>
        <w:t xml:space="preserve"> [</w:t>
      </w:r>
      <w:r w:rsidR="004F5C45" w:rsidRPr="009D67F3">
        <w:rPr>
          <w:rFonts w:asciiTheme="minorHAnsi" w:hAnsiTheme="minorHAnsi" w:cs="Calibri"/>
          <w:sz w:val="24"/>
          <w:szCs w:val="24"/>
          <w:highlight w:val="yellow"/>
        </w:rPr>
        <w:t>Nota ISEC: Após a liquidação da Operação, esse call passa a ser dos titulares do CRI</w:t>
      </w:r>
      <w:r w:rsidR="004F5C45"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 QAM: Correto</w:t>
      </w:r>
      <w:r w:rsidR="000F25BE" w:rsidRPr="009D67F3">
        <w:rPr>
          <w:rFonts w:asciiTheme="minorHAnsi" w:hAnsiTheme="minorHAnsi" w:cs="Calibri"/>
          <w:sz w:val="24"/>
          <w:szCs w:val="24"/>
        </w:rPr>
        <w:t>]</w:t>
      </w:r>
    </w:p>
    <w:p w14:paraId="1E9B1F7E" w14:textId="7246507B"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a inserção de restrições nos sistemas de informações financeiras (BACEN e/ou Serasa </w:t>
      </w:r>
      <w:proofErr w:type="spellStart"/>
      <w:r w:rsidRPr="009D67F3">
        <w:rPr>
          <w:rFonts w:asciiTheme="minorHAnsi" w:hAnsiTheme="minorHAnsi" w:cs="Calibri"/>
          <w:sz w:val="24"/>
          <w:szCs w:val="24"/>
        </w:rPr>
        <w:t>Experian</w:t>
      </w:r>
      <w:proofErr w:type="spellEnd"/>
      <w:r w:rsidRPr="009D67F3">
        <w:rPr>
          <w:rFonts w:asciiTheme="minorHAnsi" w:hAnsiTheme="minorHAnsi" w:cs="Calibri"/>
          <w:sz w:val="24"/>
          <w:szCs w:val="24"/>
        </w:rPr>
        <w:t xml:space="preserve">) em nome do devedor dos Recebíveis em valor igual ou superior a </w:t>
      </w:r>
      <w:r w:rsidRPr="009D67F3">
        <w:rPr>
          <w:rFonts w:asciiTheme="minorHAnsi" w:hAnsiTheme="minorHAnsi" w:cs="Calibri"/>
          <w:sz w:val="24"/>
          <w:szCs w:val="24"/>
          <w:highlight w:val="yellow"/>
        </w:rPr>
        <w:t>[•]</w:t>
      </w:r>
      <w:r w:rsidRPr="009D67F3">
        <w:rPr>
          <w:rFonts w:asciiTheme="minorHAnsi" w:hAnsiTheme="minorHAnsi" w:cs="Calibri"/>
          <w:sz w:val="24"/>
          <w:szCs w:val="24"/>
        </w:rPr>
        <w:t>%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por cento) do fluxo a vencer previsto para o referido devedor; e/ou (iii)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r w:rsidR="004F5C45" w:rsidRPr="009D67F3">
        <w:rPr>
          <w:rFonts w:asciiTheme="minorHAnsi" w:hAnsiTheme="minorHAnsi" w:cs="Calibri"/>
          <w:sz w:val="24"/>
          <w:szCs w:val="24"/>
          <w:highlight w:val="yellow"/>
        </w:rPr>
        <w:t>Nota ISEC: Esses pontos serão atestados pelo Servicer?</w:t>
      </w:r>
      <w:r w:rsidR="004F5C45"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 QAM: Porque 60 dias?</w:t>
      </w:r>
      <w:r w:rsidR="000F25BE" w:rsidRPr="009D67F3">
        <w:rPr>
          <w:rFonts w:asciiTheme="minorHAnsi" w:hAnsiTheme="minorHAnsi" w:cs="Calibri"/>
          <w:sz w:val="24"/>
          <w:szCs w:val="24"/>
        </w:rPr>
        <w:t>]</w:t>
      </w:r>
      <w:r w:rsidR="006C52A7">
        <w:rPr>
          <w:rFonts w:asciiTheme="minorHAnsi" w:hAnsiTheme="minorHAnsi" w:cs="Calibri"/>
          <w:sz w:val="24"/>
          <w:szCs w:val="24"/>
        </w:rPr>
        <w:t xml:space="preserve"> </w:t>
      </w:r>
      <w:r w:rsidR="006C52A7" w:rsidRPr="000F2E4A">
        <w:rPr>
          <w:rFonts w:asciiTheme="minorHAnsi" w:hAnsiTheme="minorHAnsi" w:cs="Calibri"/>
          <w:sz w:val="24"/>
          <w:szCs w:val="24"/>
          <w:highlight w:val="yellow"/>
        </w:rPr>
        <w:t>[Nota KLA: critérios da operação anterior]</w:t>
      </w:r>
    </w:p>
    <w:p w14:paraId="4013E00B" w14:textId="1DDCB3D4"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t>Fica certo e ajustado que os Recebíveis que se enquadrarem na hipótese prevista no subitem “i” do item 3.</w:t>
      </w:r>
      <w:r w:rsidR="00BD1E3C" w:rsidRPr="009D67F3">
        <w:rPr>
          <w:rFonts w:asciiTheme="minorHAnsi" w:hAnsiTheme="minorHAnsi" w:cs="Calibri"/>
          <w:sz w:val="24"/>
          <w:szCs w:val="24"/>
        </w:rPr>
        <w:t>10</w:t>
      </w:r>
      <w:r w:rsidRPr="009D67F3">
        <w:rPr>
          <w:rFonts w:asciiTheme="minorHAnsi" w:hAnsiTheme="minorHAnsi" w:cs="Calibri"/>
          <w:sz w:val="24"/>
          <w:szCs w:val="24"/>
        </w:rPr>
        <w:t>.1 acima não deverão ser considerados para fins de cálculo d</w:t>
      </w:r>
      <w:r w:rsidR="00F2198E" w:rsidRPr="009D67F3">
        <w:rPr>
          <w:rFonts w:asciiTheme="minorHAnsi" w:hAnsiTheme="minorHAnsi" w:cs="Calibri"/>
          <w:sz w:val="24"/>
          <w:szCs w:val="24"/>
        </w:rPr>
        <w:t>o Índice de Cobertura</w:t>
      </w:r>
      <w:r w:rsidRPr="009D67F3">
        <w:rPr>
          <w:rFonts w:asciiTheme="minorHAnsi" w:hAnsiTheme="minorHAnsi" w:cs="Calibri"/>
          <w:sz w:val="24"/>
          <w:szCs w:val="24"/>
        </w:rPr>
        <w:t>.</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0E8A633E"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por 2 (dois) meses consecutivos,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enviar notificação para a Devedora e para as Fiduciantes, com cópia para o Agente Fiduciário dos CRI,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r w:rsidR="004F5C45" w:rsidRPr="009D67F3">
        <w:rPr>
          <w:rFonts w:asciiTheme="minorHAnsi" w:hAnsiTheme="minorHAnsi" w:cs="Calibri"/>
          <w:sz w:val="24"/>
          <w:szCs w:val="24"/>
          <w:highlight w:val="yellow"/>
        </w:rPr>
        <w:t>Nota ISEC: Não seria na Conta Vinculada?</w:t>
      </w:r>
      <w:r w:rsidR="004F5C45"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 QAM: Sim. Entendi pela definição que essa Conta do patrimônio Separado não é a vinculada, ou é?</w:t>
      </w:r>
      <w:r w:rsidR="000F25BE" w:rsidRPr="009D67F3">
        <w:rPr>
          <w:rFonts w:asciiTheme="minorHAnsi" w:hAnsiTheme="minorHAnsi" w:cs="Calibri"/>
          <w:sz w:val="24"/>
          <w:szCs w:val="24"/>
        </w:rPr>
        <w:t>]</w:t>
      </w:r>
    </w:p>
    <w:p w14:paraId="3CAEB14A" w14:textId="7A384EAC"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5 (cinco) dias contados do recebimento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para que </w:t>
      </w:r>
      <w:r w:rsidR="00241B77" w:rsidRPr="009D67F3">
        <w:rPr>
          <w:rFonts w:asciiTheme="minorHAnsi" w:hAnsiTheme="minorHAnsi" w:cs="Calibri"/>
          <w:sz w:val="24"/>
          <w:szCs w:val="24"/>
        </w:rPr>
        <w:t xml:space="preserve">as Fiduciantes apresentem </w:t>
      </w:r>
      <w:r w:rsidRPr="009D67F3">
        <w:rPr>
          <w:rFonts w:asciiTheme="minorHAnsi" w:hAnsiTheme="minorHAnsi" w:cs="Calibri"/>
          <w:sz w:val="24"/>
          <w:szCs w:val="24"/>
        </w:rPr>
        <w:t xml:space="preserve">documentos e informações necessárias para a realização da recomposição em referência;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do Anexo II, conforme aplicável, para formalização da inclusão dos novos Recebíveis ao </w:t>
      </w:r>
      <w:r w:rsidR="008B0661" w:rsidRPr="009D67F3">
        <w:rPr>
          <w:rFonts w:asciiTheme="minorHAnsi" w:hAnsiTheme="minorHAnsi" w:cs="Arial"/>
          <w:sz w:val="24"/>
          <w:szCs w:val="24"/>
        </w:rPr>
        <w:lastRenderedPageBreak/>
        <w:t xml:space="preserve">conceito de Recebíveis aqui disposto. O aceite acima realizado pela Fiduciária independerá de deliberação pelos Titulares de CRI. </w:t>
      </w:r>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64A0DF60"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vinculados; (e) certidão imobiliária; (f) comprovante de pagamento de IPTU e de condomínio referentes aos 3 (três) últimos meses; </w:t>
      </w:r>
      <w:r w:rsidR="007F5775" w:rsidRPr="009D67F3">
        <w:rPr>
          <w:rFonts w:asciiTheme="minorHAnsi" w:hAnsiTheme="minorHAnsi" w:cs="Arial"/>
          <w:bCs/>
          <w:sz w:val="24"/>
          <w:szCs w:val="24"/>
        </w:rPr>
        <w:t xml:space="preserve">(g)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007F5775" w:rsidRPr="009D67F3">
        <w:rPr>
          <w:rFonts w:asciiTheme="minorHAnsi" w:hAnsiTheme="minorHAnsi" w:cs="Calibri"/>
          <w:bCs/>
          <w:sz w:val="24"/>
          <w:szCs w:val="24"/>
        </w:rPr>
        <w:t xml:space="preserve"> </w:t>
      </w:r>
      <w:r w:rsidRPr="009D67F3">
        <w:rPr>
          <w:rFonts w:asciiTheme="minorHAnsi" w:hAnsiTheme="minorHAnsi" w:cs="Calibri"/>
          <w:sz w:val="24"/>
          <w:szCs w:val="24"/>
        </w:rPr>
        <w:t>e</w:t>
      </w:r>
    </w:p>
    <w:p w14:paraId="274DA28F" w14:textId="4080DF5A"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 xml:space="preserve">(d) relatório de auditoria dos recebíveis emitido pela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Pr="009D67F3">
        <w:rPr>
          <w:rFonts w:asciiTheme="minorHAnsi" w:hAnsiTheme="minorHAnsi" w:cs="Calibri"/>
          <w:sz w:val="24"/>
          <w:szCs w:val="24"/>
        </w:rPr>
        <w:t>.</w:t>
      </w:r>
    </w:p>
    <w:p w14:paraId="68620C82" w14:textId="16537B76" w:rsidR="00EE0AEC" w:rsidRPr="009D67F3" w:rsidRDefault="004F5C45" w:rsidP="00B056EC">
      <w:pPr>
        <w:spacing w:after="240" w:line="320" w:lineRule="exact"/>
        <w:ind w:left="700" w:right="28"/>
        <w:jc w:val="both"/>
        <w:rPr>
          <w:rFonts w:asciiTheme="minorHAnsi" w:hAnsiTheme="minorHAnsi"/>
          <w:sz w:val="24"/>
          <w:szCs w:val="24"/>
        </w:rPr>
      </w:pPr>
      <w:r w:rsidRPr="009D67F3">
        <w:rPr>
          <w:rFonts w:asciiTheme="minorHAnsi" w:hAnsiTheme="minorHAnsi" w:cs="Calibri"/>
          <w:sz w:val="24"/>
          <w:szCs w:val="24"/>
        </w:rPr>
        <w:t>[</w:t>
      </w:r>
      <w:r w:rsidRPr="009D67F3">
        <w:rPr>
          <w:rFonts w:asciiTheme="minorHAnsi" w:hAnsiTheme="minorHAnsi" w:cs="Calibri"/>
          <w:sz w:val="24"/>
          <w:szCs w:val="24"/>
          <w:highlight w:val="yellow"/>
        </w:rPr>
        <w:t>Nota ISEC: Após a liquidação, qualquer dispensa deve passar pelos titulares de CRI</w:t>
      </w:r>
      <w:r w:rsidRPr="009D67F3">
        <w:rPr>
          <w:rFonts w:asciiTheme="minorHAnsi" w:hAnsiTheme="minorHAnsi" w:cs="Calibri"/>
          <w:sz w:val="24"/>
          <w:szCs w:val="24"/>
        </w:rPr>
        <w:t>]</w:t>
      </w:r>
    </w:p>
    <w:p w14:paraId="3352BAF6" w14:textId="6F1FD8E1"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r w:rsidR="004F5C45" w:rsidRPr="009D67F3">
        <w:rPr>
          <w:rFonts w:asciiTheme="minorHAnsi" w:hAnsiTheme="minorHAnsi" w:cs="Calibri"/>
          <w:sz w:val="24"/>
          <w:szCs w:val="24"/>
        </w:rPr>
        <w:t>[</w:t>
      </w:r>
      <w:r w:rsidR="004F5C45" w:rsidRPr="009D67F3">
        <w:rPr>
          <w:rFonts w:asciiTheme="minorHAnsi" w:hAnsiTheme="minorHAnsi" w:cs="Calibri"/>
          <w:sz w:val="24"/>
          <w:szCs w:val="24"/>
          <w:highlight w:val="yellow"/>
        </w:rPr>
        <w:t>Nota ISEC: E a aprovação ou não dos créditos, se houver qualquer apontamento nas certidões enviadas, deverá ser feita pelos investidores</w:t>
      </w:r>
      <w:r w:rsidR="004F5C45" w:rsidRPr="009D67F3">
        <w:rPr>
          <w:rFonts w:asciiTheme="minorHAnsi" w:hAnsiTheme="minorHAnsi" w:cs="Calibri"/>
          <w:sz w:val="24"/>
          <w:szCs w:val="24"/>
        </w:rPr>
        <w:t>]</w:t>
      </w:r>
    </w:p>
    <w:p w14:paraId="07DB3DD2" w14:textId="056090A3" w:rsidR="00241B77"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r>
      <w:commentRangeStart w:id="17"/>
      <w:r w:rsidRPr="009D67F3">
        <w:rPr>
          <w:rFonts w:asciiTheme="minorHAnsi" w:hAnsiTheme="minorHAnsi" w:cs="Calibri"/>
          <w:sz w:val="24"/>
          <w:szCs w:val="24"/>
        </w:rPr>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commentRangeEnd w:id="17"/>
      <w:r w:rsidR="007A7196">
        <w:rPr>
          <w:rStyle w:val="Refdecomentrio"/>
          <w:lang w:val="en-US" w:eastAsia="en-US"/>
        </w:rPr>
        <w:commentReference w:id="17"/>
      </w:r>
    </w:p>
    <w:p w14:paraId="19592519" w14:textId="268E1959"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 xml:space="preserve">. </w:t>
      </w:r>
      <w:r w:rsidRPr="009D67F3">
        <w:rPr>
          <w:rFonts w:asciiTheme="minorHAnsi" w:hAnsiTheme="minorHAnsi" w:cs="Arial"/>
          <w:sz w:val="24"/>
          <w:szCs w:val="24"/>
        </w:rPr>
        <w:t xml:space="preserve">Sempre que houver inclusões ou exclusões </w:t>
      </w:r>
      <w:proofErr w:type="gramStart"/>
      <w:r w:rsidRPr="009D67F3">
        <w:rPr>
          <w:rFonts w:asciiTheme="minorHAnsi" w:hAnsiTheme="minorHAnsi" w:cs="Arial"/>
          <w:sz w:val="24"/>
          <w:szCs w:val="24"/>
        </w:rPr>
        <w:t>de Recebíveis</w:t>
      </w:r>
      <w:proofErr w:type="gramEnd"/>
      <w:r w:rsidRPr="009D67F3">
        <w:rPr>
          <w:rFonts w:asciiTheme="minorHAnsi" w:hAnsiTheme="minorHAnsi" w:cs="Arial"/>
          <w:sz w:val="24"/>
          <w:szCs w:val="24"/>
        </w:rPr>
        <w:t>, o presente Contrato deverá ser aditado em no máximo 60 (sessenta) Dias Corridos, de forma a manter a relação de Recebíveis devidamente atualizada, que deverá seguir os moldes do Anexo II.</w:t>
      </w:r>
    </w:p>
    <w:p w14:paraId="0BF0E25D" w14:textId="5ED120A9"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lastRenderedPageBreak/>
        <w:t>3.1</w:t>
      </w:r>
      <w:r w:rsidR="00F2198E" w:rsidRPr="009D67F3">
        <w:rPr>
          <w:rFonts w:asciiTheme="minorHAnsi" w:hAnsiTheme="minorHAnsi" w:cs="Calibri"/>
          <w:sz w:val="24"/>
          <w:szCs w:val="24"/>
        </w:rPr>
        <w:t>5</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49118F4D"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t>3.16.1.</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xml:space="preserve">",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w:t>
      </w:r>
      <w:r w:rsidR="00350587" w:rsidRPr="009D67F3">
        <w:rPr>
          <w:rFonts w:asciiTheme="minorHAnsi" w:hAnsiTheme="minorHAnsi" w:cs="Calibri"/>
          <w:sz w:val="24"/>
          <w:szCs w:val="24"/>
        </w:rPr>
        <w:lastRenderedPageBreak/>
        <w:t>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3D65A729"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pela 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teis da data em que se verificar tal ocorrência.</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8" w:name="_DV_M63"/>
      <w:bookmarkEnd w:id="18"/>
      <w:proofErr w:type="spellStart"/>
      <w:r w:rsidRPr="00AF7E5F">
        <w:rPr>
          <w:rFonts w:asciiTheme="minorHAnsi" w:hAnsiTheme="minorHAnsi" w:cstheme="minorHAnsi"/>
          <w:color w:val="000000"/>
          <w:sz w:val="24"/>
          <w:szCs w:val="24"/>
        </w:rPr>
        <w:t>é</w:t>
      </w:r>
      <w:proofErr w:type="spellEnd"/>
      <w:r w:rsidRPr="00AF7E5F">
        <w:rPr>
          <w:rFonts w:asciiTheme="minorHAnsi" w:hAnsiTheme="minorHAnsi" w:cstheme="minorHAnsi"/>
          <w:color w:val="000000"/>
          <w:sz w:val="24"/>
          <w:szCs w:val="24"/>
        </w:rPr>
        <w:t xml:space="preserve">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9" w:name="_DV_M64"/>
      <w:bookmarkEnd w:id="19"/>
      <w:r w:rsidRPr="00AF7E5F">
        <w:rPr>
          <w:rFonts w:asciiTheme="minorHAnsi" w:hAnsiTheme="minorHAnsi" w:cstheme="minorHAnsi"/>
          <w:sz w:val="24"/>
          <w:szCs w:val="24"/>
        </w:rPr>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0" w:name="_DV_M65"/>
      <w:bookmarkEnd w:id="20"/>
      <w:r w:rsidRPr="009D67F3">
        <w:rPr>
          <w:rFonts w:asciiTheme="minorHAnsi" w:hAnsiTheme="minorHAnsi" w:cs="Trebuchet MS"/>
          <w:sz w:val="24"/>
          <w:szCs w:val="24"/>
        </w:rPr>
        <w:lastRenderedPageBreak/>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e (iv) não exigem consentimento, aprovação ou autorização de 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1" w:name="_DV_M66"/>
      <w:bookmarkEnd w:id="21"/>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2" w:name="_DV_M67"/>
      <w:bookmarkEnd w:id="22"/>
      <w:r w:rsidRPr="00AF7E5F">
        <w:rPr>
          <w:rFonts w:asciiTheme="minorHAnsi" w:hAnsiTheme="minorHAnsi" w:cstheme="minorHAnsi"/>
          <w:sz w:val="24"/>
          <w:szCs w:val="24"/>
        </w:rPr>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3" w:name="_DV_M68"/>
      <w:bookmarkEnd w:id="23"/>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4" w:name="_DV_M69"/>
      <w:bookmarkEnd w:id="24"/>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5" w:name="_DV_M70"/>
      <w:bookmarkStart w:id="26" w:name="_DV_M71"/>
      <w:bookmarkEnd w:id="25"/>
      <w:bookmarkEnd w:id="26"/>
      <w:r w:rsidRPr="009D67F3">
        <w:rPr>
          <w:rFonts w:asciiTheme="minorHAnsi" w:hAnsiTheme="minorHAnsi" w:cs="Trebuchet MS"/>
          <w:sz w:val="24"/>
          <w:szCs w:val="24"/>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7" w:name="_DV_M73"/>
      <w:bookmarkEnd w:id="27"/>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8" w:name="_DV_M74"/>
      <w:bookmarkEnd w:id="28"/>
      <w:r w:rsidRPr="009D67F3">
        <w:rPr>
          <w:rFonts w:asciiTheme="minorHAnsi" w:hAnsiTheme="minorHAnsi" w:cs="Trebuchet MS"/>
          <w:sz w:val="24"/>
          <w:szCs w:val="24"/>
        </w:rPr>
        <w:lastRenderedPageBreak/>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9" w:name="_DV_M75"/>
      <w:bookmarkEnd w:id="29"/>
      <w:r w:rsidRPr="009D67F3">
        <w:rPr>
          <w:rFonts w:asciiTheme="minorHAnsi" w:hAnsiTheme="minorHAnsi" w:cs="Trebuchet MS"/>
          <w:sz w:val="24"/>
          <w:szCs w:val="24"/>
        </w:rPr>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30" w:name="_DV_M76"/>
      <w:bookmarkEnd w:id="30"/>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31" w:name="_DV_M78"/>
      <w:bookmarkStart w:id="32" w:name="_DV_M79"/>
      <w:bookmarkEnd w:id="31"/>
      <w:bookmarkEnd w:id="32"/>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9D67F3">
        <w:rPr>
          <w:rFonts w:asciiTheme="minorHAnsi" w:hAnsiTheme="minorHAnsi" w:cs="Trebuchet MS"/>
          <w:sz w:val="24"/>
          <w:szCs w:val="24"/>
        </w:rPr>
        <w:t>nesta</w:t>
      </w:r>
      <w:proofErr w:type="spellEnd"/>
      <w:r w:rsidRPr="009D67F3">
        <w:rPr>
          <w:rFonts w:asciiTheme="minorHAnsi" w:hAnsiTheme="minorHAnsi" w:cs="Trebuchet MS"/>
          <w:sz w:val="24"/>
          <w:szCs w:val="24"/>
        </w:rPr>
        <w:t xml:space="preserve">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33" w:name="_DV_M96"/>
      <w:bookmarkStart w:id="34" w:name="_DV_M97"/>
      <w:bookmarkEnd w:id="33"/>
      <w:bookmarkEnd w:id="34"/>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lastRenderedPageBreak/>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17101E09" w:rsidR="009961F6" w:rsidRPr="009D67F3" w:rsidRDefault="009961F6" w:rsidP="009961F6">
      <w:pPr>
        <w:spacing w:line="300" w:lineRule="exact"/>
        <w:ind w:right="17"/>
        <w:jc w:val="both"/>
        <w:rPr>
          <w:rFonts w:asciiTheme="minorHAnsi" w:hAnsiTheme="minorHAnsi"/>
          <w:sz w:val="24"/>
          <w:szCs w:val="24"/>
        </w:rPr>
      </w:pPr>
      <w:bookmarkStart w:id="35" w:name="_DV_M81"/>
      <w:bookmarkEnd w:id="35"/>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w:t>
      </w:r>
      <w:commentRangeStart w:id="36"/>
      <w:r w:rsidR="008A7A29" w:rsidRPr="009D67F3">
        <w:rPr>
          <w:rFonts w:asciiTheme="minorHAnsi" w:hAnsiTheme="minorHAnsi"/>
          <w:sz w:val="24"/>
          <w:szCs w:val="24"/>
        </w:rPr>
        <w:t>e (ii) Cidade de São Paulo, Estado de São Paulo</w:t>
      </w:r>
      <w:commentRangeEnd w:id="36"/>
      <w:r w:rsidR="001769B1">
        <w:rPr>
          <w:rStyle w:val="Refdecomentrio"/>
          <w:rFonts w:ascii="Times New Roman" w:hAnsi="Times New Roman"/>
          <w:lang w:val="en-US" w:eastAsia="en-US"/>
        </w:rPr>
        <w:commentReference w:id="36"/>
      </w:r>
      <w:r w:rsidR="008A7A29" w:rsidRPr="009D67F3">
        <w:rPr>
          <w:rFonts w:asciiTheme="minorHAnsi" w:hAnsiTheme="minorHAnsi"/>
          <w:sz w:val="24"/>
          <w:szCs w:val="24"/>
        </w:rPr>
        <w:t xml:space="preserve">,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37" w:name="_DV_M82"/>
      <w:bookmarkEnd w:id="37"/>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38" w:name="_DV_M83"/>
      <w:bookmarkEnd w:id="38"/>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9" w:name="_DV_M84"/>
      <w:bookmarkEnd w:id="39"/>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40" w:name="_DV_M85"/>
      <w:bookmarkEnd w:id="40"/>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41" w:name="_DV_M86"/>
      <w:bookmarkEnd w:id="41"/>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42" w:name="_DV_M90"/>
      <w:bookmarkEnd w:id="42"/>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lastRenderedPageBreak/>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43" w:name="_Ref361074924"/>
      <w:r w:rsidRPr="009D67F3">
        <w:rPr>
          <w:rFonts w:asciiTheme="minorHAnsi" w:hAnsiTheme="minorHAnsi"/>
          <w:sz w:val="24"/>
          <w:szCs w:val="24"/>
        </w:rPr>
        <w:t>6.5.</w:t>
      </w:r>
      <w:r w:rsidRPr="009D67F3">
        <w:rPr>
          <w:rFonts w:asciiTheme="minorHAnsi" w:hAnsiTheme="minorHAnsi"/>
          <w:sz w:val="24"/>
          <w:szCs w:val="24"/>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43"/>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44" w:name="_DV_M91"/>
      <w:bookmarkStart w:id="45" w:name="_Ref361074933"/>
      <w:bookmarkEnd w:id="44"/>
      <w:r w:rsidRPr="009D67F3">
        <w:rPr>
          <w:rFonts w:asciiTheme="minorHAnsi" w:hAnsiTheme="minorHAnsi"/>
          <w:sz w:val="24"/>
          <w:szCs w:val="24"/>
        </w:rPr>
        <w:t>6.5.1.</w:t>
      </w:r>
      <w:r w:rsidRPr="009D67F3">
        <w:rPr>
          <w:rFonts w:asciiTheme="minorHAnsi" w:hAnsiTheme="minorHAnsi"/>
          <w:sz w:val="24"/>
          <w:szCs w:val="24"/>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45"/>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46" w:name="_DV_M92"/>
      <w:bookmarkStart w:id="47" w:name="_DV_M93"/>
      <w:bookmarkEnd w:id="46"/>
      <w:bookmarkEnd w:id="47"/>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w:t>
      </w:r>
      <w:r w:rsidRPr="009D67F3">
        <w:rPr>
          <w:rFonts w:asciiTheme="minorHAnsi" w:hAnsiTheme="minorHAnsi" w:cs="Calibri"/>
          <w:sz w:val="24"/>
          <w:szCs w:val="24"/>
        </w:rPr>
        <w:lastRenderedPageBreak/>
        <w:t>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lastRenderedPageBreak/>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w:t>
      </w:r>
      <w:proofErr w:type="spellStart"/>
      <w:r w:rsidRPr="009D67F3">
        <w:rPr>
          <w:rFonts w:asciiTheme="minorHAnsi" w:hAnsiTheme="minorHAnsi" w:cs="Calibri"/>
          <w:sz w:val="24"/>
          <w:szCs w:val="24"/>
          <w:lang w:val="en-US"/>
        </w:rPr>
        <w:t>Balneário</w:t>
      </w:r>
      <w:proofErr w:type="spellEnd"/>
      <w:r w:rsidRPr="009D67F3">
        <w:rPr>
          <w:rFonts w:asciiTheme="minorHAnsi" w:hAnsiTheme="minorHAnsi" w:cs="Calibri"/>
          <w:sz w:val="24"/>
          <w:szCs w:val="24"/>
          <w:lang w:val="en-US"/>
        </w:rPr>
        <w:t xml:space="preserve"> </w:t>
      </w:r>
      <w:proofErr w:type="spellStart"/>
      <w:r w:rsidRPr="009D67F3">
        <w:rPr>
          <w:rFonts w:asciiTheme="minorHAnsi" w:hAnsiTheme="minorHAnsi" w:cs="Calibri"/>
          <w:sz w:val="24"/>
          <w:szCs w:val="24"/>
          <w:lang w:val="en-US"/>
        </w:rPr>
        <w:t>Camboriú</w:t>
      </w:r>
      <w:proofErr w:type="spellEnd"/>
      <w:r w:rsidRPr="009D67F3">
        <w:rPr>
          <w:rFonts w:asciiTheme="minorHAnsi" w:hAnsiTheme="minorHAnsi" w:cs="Calibri"/>
          <w:sz w:val="24"/>
          <w:szCs w:val="24"/>
          <w:lang w:val="en-US"/>
        </w:rPr>
        <w:t xml:space="preserve">/SC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48" w:name="_Hlk56112511"/>
      <w:r w:rsidRPr="009D67F3">
        <w:rPr>
          <w:rFonts w:asciiTheme="minorHAnsi" w:hAnsiTheme="minorHAnsi" w:cs="Calibri"/>
          <w:bCs/>
          <w:sz w:val="24"/>
          <w:szCs w:val="24"/>
          <w:lang w:val="en-US"/>
        </w:rPr>
        <w:t>Ismael Merlotti</w:t>
      </w:r>
      <w:bookmarkEnd w:id="48"/>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49" w:name="_Hlk56112535"/>
      <w:r w:rsidRPr="009D67F3">
        <w:rPr>
          <w:rFonts w:asciiTheme="minorHAnsi" w:hAnsiTheme="minorHAnsi" w:cs="Calibri"/>
          <w:sz w:val="24"/>
          <w:szCs w:val="24"/>
        </w:rPr>
        <w:t>) 3056-8010</w:t>
      </w:r>
      <w:bookmarkEnd w:id="49"/>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50" w:name="_Toc166496395"/>
      <w:bookmarkStart w:id="51" w:name="_Toc164740430"/>
      <w:bookmarkStart w:id="52" w:name="_Toc164251720"/>
      <w:bookmarkStart w:id="53" w:name="_Toc162433140"/>
      <w:r w:rsidRPr="009D67F3">
        <w:rPr>
          <w:rFonts w:asciiTheme="minorHAnsi" w:hAnsiTheme="minorHAnsi" w:cs="Calibri"/>
          <w:b/>
          <w:color w:val="000000"/>
          <w:sz w:val="24"/>
          <w:szCs w:val="24"/>
        </w:rPr>
        <w:t xml:space="preserve">ISEC SECURITIZADORA S.A. </w:t>
      </w:r>
      <w:bookmarkEnd w:id="50"/>
      <w:bookmarkEnd w:id="51"/>
      <w:bookmarkEnd w:id="52"/>
      <w:bookmarkEnd w:id="53"/>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54" w:name="_DV_M264"/>
      <w:bookmarkEnd w:id="54"/>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w:t>
      </w:r>
      <w:proofErr w:type="gramStart"/>
      <w:r w:rsidRPr="009D67F3">
        <w:rPr>
          <w:rFonts w:asciiTheme="minorHAnsi" w:hAnsiTheme="minorHAnsi" w:cs="Calibri"/>
          <w:sz w:val="24"/>
          <w:szCs w:val="24"/>
        </w:rPr>
        <w:t>completo</w:t>
      </w:r>
      <w:proofErr w:type="gramEnd"/>
      <w:r w:rsidRPr="009D67F3">
        <w:rPr>
          <w:rFonts w:asciiTheme="minorHAnsi" w:hAnsiTheme="minorHAnsi" w:cs="Calibri"/>
          <w:sz w:val="24"/>
          <w:szCs w:val="24"/>
        </w:rPr>
        <w:t xml:space="preserve">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309442E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 e que, portanto, seja possível protocolar prenotar e/ou registrar (conforme o</w:t>
      </w:r>
      <w:r w:rsidR="00AA0E73" w:rsidRPr="009D67F3">
        <w:rPr>
          <w:rFonts w:asciiTheme="minorHAnsi" w:hAnsiTheme="minorHAnsi" w:cs="Calibri"/>
          <w:sz w:val="24"/>
          <w:szCs w:val="24"/>
        </w:rPr>
        <w:t xml:space="preserve"> caso) o respectivo documentos.</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incluir os Recebíveis no Contrato de Cessão Fiduciária, descritos no Anexo A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5" w:name="_DV_M252"/>
      <w:bookmarkEnd w:id="55"/>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77777777"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56" w:name="_DV_M253"/>
      <w:bookmarkEnd w:id="56"/>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57" w:name="_DV_M254"/>
      <w:bookmarkStart w:id="58" w:name="_DV_M255"/>
      <w:bookmarkEnd w:id="57"/>
      <w:bookmarkEnd w:id="58"/>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9" w:name="_Hlk46225202"/>
      <w:bookmarkStart w:id="60"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59"/>
      <w:bookmarkEnd w:id="60"/>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61" w:name="_DV_M257"/>
      <w:bookmarkEnd w:id="61"/>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62" w:name="_DV_M455"/>
      <w:bookmarkStart w:id="63" w:name="_DV_M456"/>
      <w:bookmarkStart w:id="64" w:name="_DV_M457"/>
      <w:bookmarkStart w:id="65" w:name="_DV_M429"/>
      <w:bookmarkStart w:id="66" w:name="_DV_M431"/>
      <w:bookmarkEnd w:id="62"/>
      <w:bookmarkEnd w:id="63"/>
      <w:bookmarkEnd w:id="64"/>
      <w:bookmarkEnd w:id="65"/>
      <w:bookmarkEnd w:id="66"/>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5"/>
      <w:pgSz w:w="11906" w:h="16838"/>
      <w:pgMar w:top="1417"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Ismael Merlotti" w:date="2021-03-03T10:16:00Z" w:initials="IM">
    <w:p w14:paraId="52C1D35B" w14:textId="184F6C92" w:rsidR="00541A12" w:rsidRPr="000606F0" w:rsidRDefault="00541A12">
      <w:pPr>
        <w:pStyle w:val="Textodecomentrio"/>
        <w:rPr>
          <w:lang w:val="pt-BR"/>
        </w:rPr>
      </w:pPr>
      <w:r w:rsidRPr="000606F0">
        <w:rPr>
          <w:rStyle w:val="Refdecomentrio"/>
          <w:lang w:val="pt-BR"/>
        </w:rPr>
        <w:annotationRef/>
      </w:r>
      <w:r w:rsidRPr="000606F0">
        <w:rPr>
          <w:lang w:val="pt-BR"/>
        </w:rPr>
        <w:t xml:space="preserve">Exatamente o inverso, a conta </w:t>
      </w:r>
      <w:r>
        <w:rPr>
          <w:lang w:val="pt-BR"/>
        </w:rPr>
        <w:t>será aberta em nome da ISEC e a Embraed movimenta as cobranças, limitado a apenas isto.</w:t>
      </w:r>
    </w:p>
  </w:comment>
  <w:comment w:id="5" w:author="Ismael Merlotti" w:date="2021-03-03T10:18:00Z" w:initials="IM">
    <w:p w14:paraId="3A04ECB0" w14:textId="5BD6EED9" w:rsidR="00541A12" w:rsidRPr="000606F0" w:rsidRDefault="00541A12">
      <w:pPr>
        <w:pStyle w:val="Textodecomentrio"/>
        <w:rPr>
          <w:lang w:val="pt-BR"/>
        </w:rPr>
      </w:pPr>
      <w:r>
        <w:rPr>
          <w:rStyle w:val="Refdecomentrio"/>
        </w:rPr>
        <w:annotationRef/>
      </w:r>
      <w:proofErr w:type="spellStart"/>
      <w:r w:rsidRPr="000606F0">
        <w:rPr>
          <w:lang w:val="pt-BR"/>
        </w:rPr>
        <w:t>Boletagem</w:t>
      </w:r>
      <w:proofErr w:type="spellEnd"/>
      <w:r w:rsidRPr="000606F0">
        <w:rPr>
          <w:lang w:val="pt-BR"/>
        </w:rPr>
        <w:t xml:space="preserve"> será realizada pela Embraed.</w:t>
      </w:r>
    </w:p>
  </w:comment>
  <w:comment w:id="6" w:author="Ismael Merlotti" w:date="2021-03-03T10:18:00Z" w:initials="IM">
    <w:p w14:paraId="5F95E2D5" w14:textId="70B86E06" w:rsidR="00541A12" w:rsidRPr="000606F0" w:rsidRDefault="00541A12">
      <w:pPr>
        <w:pStyle w:val="Textodecomentrio"/>
        <w:rPr>
          <w:lang w:val="pt-BR"/>
        </w:rPr>
      </w:pPr>
      <w:r w:rsidRPr="000606F0">
        <w:rPr>
          <w:rStyle w:val="Refdecomentrio"/>
          <w:lang w:val="pt-BR"/>
        </w:rPr>
        <w:annotationRef/>
      </w:r>
      <w:r w:rsidRPr="000606F0">
        <w:rPr>
          <w:lang w:val="pt-BR"/>
        </w:rPr>
        <w:t xml:space="preserve">A análise de garantias é global na operação. </w:t>
      </w:r>
    </w:p>
  </w:comment>
  <w:comment w:id="7" w:author="Ismael Merlotti" w:date="2021-03-03T10:19:00Z" w:initials="IM">
    <w:p w14:paraId="6E61D796" w14:textId="2E34EA84" w:rsidR="00541A12" w:rsidRPr="000606F0" w:rsidRDefault="00541A12">
      <w:pPr>
        <w:pStyle w:val="Textodecomentrio"/>
        <w:rPr>
          <w:lang w:val="pt-BR"/>
        </w:rPr>
      </w:pPr>
      <w:r>
        <w:rPr>
          <w:rStyle w:val="Refdecomentrio"/>
        </w:rPr>
        <w:annotationRef/>
      </w:r>
      <w:r>
        <w:rPr>
          <w:lang w:val="pt-BR"/>
        </w:rPr>
        <w:t>A gestão da carteira compete a companhia, nenhuma aprovação será necessária, temos apenas a obrigação de respeitas os índices estabelecidos de garantias.</w:t>
      </w:r>
    </w:p>
  </w:comment>
  <w:comment w:id="10" w:author="Ismael Merlotti" w:date="2021-03-03T10:25:00Z" w:initials="IM">
    <w:p w14:paraId="2B20E612" w14:textId="77777777" w:rsidR="00541A12" w:rsidRPr="00541A12" w:rsidRDefault="00541A12">
      <w:pPr>
        <w:pStyle w:val="Textodecomentrio"/>
        <w:rPr>
          <w:lang w:val="pt-BR"/>
        </w:rPr>
      </w:pPr>
      <w:r w:rsidRPr="00541A12">
        <w:rPr>
          <w:rStyle w:val="Refdecomentrio"/>
          <w:lang w:val="pt-BR"/>
        </w:rPr>
        <w:annotationRef/>
      </w:r>
    </w:p>
    <w:p w14:paraId="5B3F9A4B" w14:textId="4DB4BA4E" w:rsidR="00541A12" w:rsidRPr="00541A12" w:rsidRDefault="00541A12">
      <w:pPr>
        <w:pStyle w:val="Textodecomentrio"/>
        <w:rPr>
          <w:lang w:val="pt-BR"/>
        </w:rPr>
      </w:pPr>
      <w:r w:rsidRPr="00541A12">
        <w:rPr>
          <w:lang w:val="pt-BR"/>
        </w:rPr>
        <w:t>Favor identificar os endereços eletrônicos aos quais teremos que formalizar.</w:t>
      </w:r>
    </w:p>
  </w:comment>
  <w:comment w:id="11" w:author="Ismael Merlotti" w:date="2021-03-03T10:26:00Z" w:initials="IM">
    <w:p w14:paraId="7F61FF7A" w14:textId="77777777" w:rsidR="00265F95" w:rsidRPr="00265F95" w:rsidRDefault="00265F95">
      <w:pPr>
        <w:pStyle w:val="Textodecomentrio"/>
        <w:rPr>
          <w:lang w:val="pt-BR"/>
        </w:rPr>
      </w:pPr>
      <w:r w:rsidRPr="00265F95">
        <w:rPr>
          <w:rStyle w:val="Refdecomentrio"/>
          <w:lang w:val="pt-BR"/>
        </w:rPr>
        <w:annotationRef/>
      </w:r>
    </w:p>
    <w:p w14:paraId="26D93598" w14:textId="2D47D83B" w:rsidR="00265F95" w:rsidRPr="00265F95" w:rsidRDefault="00265F95">
      <w:pPr>
        <w:pStyle w:val="Textodecomentrio"/>
        <w:rPr>
          <w:lang w:val="pt-BR"/>
        </w:rPr>
      </w:pPr>
      <w:r w:rsidRPr="00265F95">
        <w:rPr>
          <w:lang w:val="pt-BR"/>
        </w:rPr>
        <w:t>Conta está correta.</w:t>
      </w:r>
    </w:p>
  </w:comment>
  <w:comment w:id="15" w:author="Ismael Merlotti" w:date="2021-03-03T10:27:00Z" w:initials="IM">
    <w:p w14:paraId="383F0D66" w14:textId="452A0322" w:rsidR="00265F95" w:rsidRPr="00265F95" w:rsidRDefault="00265F95">
      <w:pPr>
        <w:pStyle w:val="Textodecomentrio"/>
        <w:rPr>
          <w:lang w:val="pt-BR"/>
        </w:rPr>
      </w:pPr>
      <w:r w:rsidRPr="00265F95">
        <w:rPr>
          <w:rStyle w:val="Refdecomentrio"/>
          <w:lang w:val="pt-BR"/>
        </w:rPr>
        <w:annotationRef/>
      </w:r>
      <w:r w:rsidRPr="00265F95">
        <w:rPr>
          <w:lang w:val="pt-BR"/>
        </w:rPr>
        <w:t>Exato, ajustar para o vigésimo dia do mês subsequente.</w:t>
      </w:r>
    </w:p>
  </w:comment>
  <w:comment w:id="16" w:author="Ismael Merlotti" w:date="2021-03-03T10:48:00Z" w:initials="IM">
    <w:p w14:paraId="49B76CA1" w14:textId="65543665" w:rsidR="00F069F6" w:rsidRPr="00F069F6" w:rsidRDefault="00F069F6">
      <w:pPr>
        <w:pStyle w:val="Textodecomentrio"/>
        <w:rPr>
          <w:lang w:val="pt-BR"/>
        </w:rPr>
      </w:pPr>
      <w:r w:rsidRPr="00F069F6">
        <w:rPr>
          <w:rStyle w:val="Refdecomentrio"/>
          <w:lang w:val="pt-BR"/>
        </w:rPr>
        <w:annotationRef/>
      </w:r>
      <w:r w:rsidRPr="00F069F6">
        <w:rPr>
          <w:lang w:val="pt-BR"/>
        </w:rPr>
        <w:t>Favor ajustar para que constem os 2 índices: 30% performado e 90% não performado.</w:t>
      </w:r>
    </w:p>
  </w:comment>
  <w:comment w:id="17" w:author="Ismael Merlotti" w:date="2021-03-03T10:37:00Z" w:initials="IM">
    <w:p w14:paraId="56708095" w14:textId="6AA7675B" w:rsidR="007A7196" w:rsidRPr="007A7196" w:rsidRDefault="007A7196">
      <w:pPr>
        <w:pStyle w:val="Textodecomentrio"/>
        <w:rPr>
          <w:lang w:val="pt-BR"/>
        </w:rPr>
      </w:pPr>
      <w:r w:rsidRPr="007A7196">
        <w:rPr>
          <w:rStyle w:val="Refdecomentrio"/>
          <w:lang w:val="pt-BR"/>
        </w:rPr>
        <w:annotationRef/>
      </w:r>
      <w:r w:rsidRPr="007A7196">
        <w:rPr>
          <w:lang w:val="pt-BR"/>
        </w:rPr>
        <w:t>Incluir a opção de amortização parcial antecipada para ajuste na relação de garantias.</w:t>
      </w:r>
    </w:p>
  </w:comment>
  <w:comment w:id="36" w:author="Ismael Merlotti" w:date="2021-03-03T10:41:00Z" w:initials="IM">
    <w:p w14:paraId="43394CD5" w14:textId="4382B530" w:rsidR="001769B1" w:rsidRPr="001769B1" w:rsidRDefault="001769B1">
      <w:pPr>
        <w:pStyle w:val="Textodecomentrio"/>
        <w:rPr>
          <w:lang w:val="pt-BR"/>
        </w:rPr>
      </w:pPr>
      <w:r w:rsidRPr="001769B1">
        <w:rPr>
          <w:rStyle w:val="Refdecomentrio"/>
          <w:lang w:val="pt-BR"/>
        </w:rPr>
        <w:annotationRef/>
      </w:r>
      <w:r w:rsidRPr="001769B1">
        <w:rPr>
          <w:lang w:val="pt-BR"/>
        </w:rPr>
        <w:t xml:space="preserve">Quem poderá </w:t>
      </w:r>
      <w:proofErr w:type="gramStart"/>
      <w:r w:rsidRPr="001769B1">
        <w:rPr>
          <w:lang w:val="pt-BR"/>
        </w:rPr>
        <w:t>nos auxiliar</w:t>
      </w:r>
      <w:proofErr w:type="gramEnd"/>
      <w:r w:rsidRPr="001769B1">
        <w:rPr>
          <w:lang w:val="pt-BR"/>
        </w:rPr>
        <w:t xml:space="preserve"> no processo de protocolo?</w:t>
      </w:r>
    </w:p>
    <w:p w14:paraId="6883DAD7" w14:textId="08E48E71" w:rsidR="001769B1" w:rsidRPr="001769B1" w:rsidRDefault="001769B1">
      <w:pPr>
        <w:pStyle w:val="Textodecomentrio"/>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2C1D35B" w15:done="0"/>
  <w15:commentEx w15:paraId="3A04ECB0" w15:done="0"/>
  <w15:commentEx w15:paraId="5F95E2D5" w15:done="0"/>
  <w15:commentEx w15:paraId="6E61D796" w15:done="0"/>
  <w15:commentEx w15:paraId="5B3F9A4B" w15:done="0"/>
  <w15:commentEx w15:paraId="26D93598" w15:done="0"/>
  <w15:commentEx w15:paraId="383F0D66" w15:done="0"/>
  <w15:commentEx w15:paraId="49B76CA1" w15:done="0"/>
  <w15:commentEx w15:paraId="56708095" w15:done="0"/>
  <w15:commentEx w15:paraId="6883D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9E06A" w16cex:dateUtc="2021-03-03T13:16:00Z"/>
  <w16cex:commentExtensible w16cex:durableId="23E9E0DF" w16cex:dateUtc="2021-03-03T13:18:00Z"/>
  <w16cex:commentExtensible w16cex:durableId="23E9E0FE" w16cex:dateUtc="2021-03-03T13:18:00Z"/>
  <w16cex:commentExtensible w16cex:durableId="23E9E145" w16cex:dateUtc="2021-03-03T13:19:00Z"/>
  <w16cex:commentExtensible w16cex:durableId="23E9E29D" w16cex:dateUtc="2021-03-03T13:25:00Z"/>
  <w16cex:commentExtensible w16cex:durableId="23E9E2E4" w16cex:dateUtc="2021-03-03T13:26:00Z"/>
  <w16cex:commentExtensible w16cex:durableId="23E9E319" w16cex:dateUtc="2021-03-03T13:27:00Z"/>
  <w16cex:commentExtensible w16cex:durableId="23E9E7E2" w16cex:dateUtc="2021-03-03T13:48:00Z"/>
  <w16cex:commentExtensible w16cex:durableId="23E9E56C" w16cex:dateUtc="2021-03-03T13:37:00Z"/>
  <w16cex:commentExtensible w16cex:durableId="23E9E66B" w16cex:dateUtc="2021-03-03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C1D35B" w16cid:durableId="23E9E06A"/>
  <w16cid:commentId w16cid:paraId="3A04ECB0" w16cid:durableId="23E9E0DF"/>
  <w16cid:commentId w16cid:paraId="5F95E2D5" w16cid:durableId="23E9E0FE"/>
  <w16cid:commentId w16cid:paraId="6E61D796" w16cid:durableId="23E9E145"/>
  <w16cid:commentId w16cid:paraId="5B3F9A4B" w16cid:durableId="23E9E29D"/>
  <w16cid:commentId w16cid:paraId="26D93598" w16cid:durableId="23E9E2E4"/>
  <w16cid:commentId w16cid:paraId="383F0D66" w16cid:durableId="23E9E319"/>
  <w16cid:commentId w16cid:paraId="49B76CA1" w16cid:durableId="23E9E7E2"/>
  <w16cid:commentId w16cid:paraId="56708095" w16cid:durableId="23E9E56C"/>
  <w16cid:commentId w16cid:paraId="6883DAD7" w16cid:durableId="23E9E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710BE" w14:textId="77777777" w:rsidR="00C86977" w:rsidRDefault="00C86977" w:rsidP="00DF7683">
      <w:r>
        <w:separator/>
      </w:r>
    </w:p>
  </w:endnote>
  <w:endnote w:type="continuationSeparator" w:id="0">
    <w:p w14:paraId="245B5FBE" w14:textId="77777777" w:rsidR="00C86977" w:rsidRDefault="00C86977"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354F8" w14:textId="77777777" w:rsidR="00C86977" w:rsidRDefault="00C86977" w:rsidP="00DF7683">
      <w:r>
        <w:separator/>
      </w:r>
    </w:p>
  </w:footnote>
  <w:footnote w:type="continuationSeparator" w:id="0">
    <w:p w14:paraId="14BC4A02" w14:textId="77777777" w:rsidR="00C86977" w:rsidRDefault="00C86977"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59AE" w14:textId="77777777" w:rsidR="00541A12" w:rsidRPr="00DF7683" w:rsidRDefault="00541A12" w:rsidP="00DF7683">
    <w:pPr>
      <w:pStyle w:val="Cabealho"/>
      <w:jc w:val="right"/>
      <w:rPr>
        <w:rFonts w:ascii="Verdana" w:hAnsi="Verdana"/>
        <w:i/>
      </w:rPr>
    </w:pPr>
    <w:r w:rsidRPr="00DF7683">
      <w:rPr>
        <w:rFonts w:ascii="Verdana" w:hAnsi="Verdana"/>
        <w:i/>
      </w:rPr>
      <w:t>Minuta KLA</w:t>
    </w:r>
  </w:p>
  <w:p w14:paraId="242D3AEF" w14:textId="257E604F" w:rsidR="00541A12" w:rsidRPr="00DF7683" w:rsidRDefault="00541A12" w:rsidP="00DF7683">
    <w:pPr>
      <w:pStyle w:val="Cabealho"/>
      <w:jc w:val="right"/>
      <w:rPr>
        <w:rFonts w:ascii="Verdana" w:hAnsi="Verdana"/>
        <w:i/>
      </w:rPr>
    </w:pPr>
    <w:r>
      <w:rPr>
        <w:rFonts w:ascii="Verdana" w:hAnsi="Verdana"/>
        <w:i/>
      </w:rPr>
      <w:t>02.03</w:t>
    </w:r>
    <w:r w:rsidRPr="00DF7683">
      <w:rPr>
        <w:rFonts w:ascii="Verdana" w:hAnsi="Verdana"/>
        <w:i/>
      </w:rPr>
      <w:t>.2021</w:t>
    </w:r>
  </w:p>
  <w:p w14:paraId="763AAAAD" w14:textId="77777777" w:rsidR="00541A12" w:rsidRDefault="00541A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mael Merlotti">
    <w15:presenceInfo w15:providerId="Windows Live" w15:userId="59fa62d677266a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50FCB"/>
    <w:rsid w:val="000606F0"/>
    <w:rsid w:val="00071B29"/>
    <w:rsid w:val="0009391F"/>
    <w:rsid w:val="000A203F"/>
    <w:rsid w:val="000C0E39"/>
    <w:rsid w:val="000C3D93"/>
    <w:rsid w:val="000E76E2"/>
    <w:rsid w:val="000F25BE"/>
    <w:rsid w:val="000F2E4A"/>
    <w:rsid w:val="000F719D"/>
    <w:rsid w:val="0010081F"/>
    <w:rsid w:val="00105665"/>
    <w:rsid w:val="001111DA"/>
    <w:rsid w:val="001769B1"/>
    <w:rsid w:val="001B6C78"/>
    <w:rsid w:val="001E4339"/>
    <w:rsid w:val="001F5CAD"/>
    <w:rsid w:val="00241B77"/>
    <w:rsid w:val="00265F95"/>
    <w:rsid w:val="002668F5"/>
    <w:rsid w:val="00283EE8"/>
    <w:rsid w:val="00291EA1"/>
    <w:rsid w:val="002B5D0E"/>
    <w:rsid w:val="002C6E88"/>
    <w:rsid w:val="002F0FF1"/>
    <w:rsid w:val="00350587"/>
    <w:rsid w:val="0035184E"/>
    <w:rsid w:val="00374194"/>
    <w:rsid w:val="003878DD"/>
    <w:rsid w:val="00401354"/>
    <w:rsid w:val="00405314"/>
    <w:rsid w:val="00472E4E"/>
    <w:rsid w:val="004A3BFC"/>
    <w:rsid w:val="004C5E75"/>
    <w:rsid w:val="004E4B46"/>
    <w:rsid w:val="004F5C45"/>
    <w:rsid w:val="005352F2"/>
    <w:rsid w:val="00541A12"/>
    <w:rsid w:val="00557F05"/>
    <w:rsid w:val="00582098"/>
    <w:rsid w:val="00584F87"/>
    <w:rsid w:val="005B7547"/>
    <w:rsid w:val="005C34CB"/>
    <w:rsid w:val="005C5DF2"/>
    <w:rsid w:val="005E47D4"/>
    <w:rsid w:val="005E6D2D"/>
    <w:rsid w:val="00624963"/>
    <w:rsid w:val="00632E36"/>
    <w:rsid w:val="006A5EEB"/>
    <w:rsid w:val="006C52A7"/>
    <w:rsid w:val="006C626C"/>
    <w:rsid w:val="0070304F"/>
    <w:rsid w:val="007036EA"/>
    <w:rsid w:val="007A7196"/>
    <w:rsid w:val="007B37C9"/>
    <w:rsid w:val="007D225B"/>
    <w:rsid w:val="007F5775"/>
    <w:rsid w:val="008038C3"/>
    <w:rsid w:val="00807ABE"/>
    <w:rsid w:val="00854507"/>
    <w:rsid w:val="008A1AFF"/>
    <w:rsid w:val="008A652F"/>
    <w:rsid w:val="008A7A29"/>
    <w:rsid w:val="008B0661"/>
    <w:rsid w:val="008E5898"/>
    <w:rsid w:val="00916425"/>
    <w:rsid w:val="00925442"/>
    <w:rsid w:val="0093766F"/>
    <w:rsid w:val="00961E42"/>
    <w:rsid w:val="0097462D"/>
    <w:rsid w:val="009961F6"/>
    <w:rsid w:val="009D67F3"/>
    <w:rsid w:val="009D6CC0"/>
    <w:rsid w:val="009F7375"/>
    <w:rsid w:val="00A06FE7"/>
    <w:rsid w:val="00A268C1"/>
    <w:rsid w:val="00A34C49"/>
    <w:rsid w:val="00A51D1B"/>
    <w:rsid w:val="00A809D9"/>
    <w:rsid w:val="00AA0E73"/>
    <w:rsid w:val="00AE3CF5"/>
    <w:rsid w:val="00AF7E5F"/>
    <w:rsid w:val="00B009BA"/>
    <w:rsid w:val="00B056EC"/>
    <w:rsid w:val="00B257CE"/>
    <w:rsid w:val="00B60763"/>
    <w:rsid w:val="00BD1E3C"/>
    <w:rsid w:val="00BD36F9"/>
    <w:rsid w:val="00BF5ABA"/>
    <w:rsid w:val="00C14035"/>
    <w:rsid w:val="00C44B35"/>
    <w:rsid w:val="00C47CD8"/>
    <w:rsid w:val="00C5444E"/>
    <w:rsid w:val="00C739BA"/>
    <w:rsid w:val="00C8379F"/>
    <w:rsid w:val="00C86977"/>
    <w:rsid w:val="00CB573B"/>
    <w:rsid w:val="00CC400D"/>
    <w:rsid w:val="00CC5F74"/>
    <w:rsid w:val="00D52562"/>
    <w:rsid w:val="00D531BC"/>
    <w:rsid w:val="00D803D8"/>
    <w:rsid w:val="00DC647D"/>
    <w:rsid w:val="00DD0C31"/>
    <w:rsid w:val="00DD60CD"/>
    <w:rsid w:val="00DE5FCC"/>
    <w:rsid w:val="00DE71FC"/>
    <w:rsid w:val="00DF7683"/>
    <w:rsid w:val="00E15A75"/>
    <w:rsid w:val="00E722BB"/>
    <w:rsid w:val="00E77B56"/>
    <w:rsid w:val="00E9753F"/>
    <w:rsid w:val="00EC0AC4"/>
    <w:rsid w:val="00EC327F"/>
    <w:rsid w:val="00EE017D"/>
    <w:rsid w:val="00EE0AEC"/>
    <w:rsid w:val="00EF1563"/>
    <w:rsid w:val="00EF2CB3"/>
    <w:rsid w:val="00F069F6"/>
    <w:rsid w:val="00F07049"/>
    <w:rsid w:val="00F07640"/>
    <w:rsid w:val="00F107F6"/>
    <w:rsid w:val="00F2198E"/>
    <w:rsid w:val="00F378BC"/>
    <w:rsid w:val="00F62D51"/>
    <w:rsid w:val="00F67559"/>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0606F0"/>
    <w:rPr>
      <w:sz w:val="16"/>
      <w:szCs w:val="16"/>
    </w:rPr>
  </w:style>
  <w:style w:type="paragraph" w:styleId="Assuntodocomentrio">
    <w:name w:val="annotation subject"/>
    <w:basedOn w:val="Textodecomentrio"/>
    <w:next w:val="Textodecomentrio"/>
    <w:link w:val="AssuntodocomentrioChar"/>
    <w:uiPriority w:val="99"/>
    <w:semiHidden/>
    <w:unhideWhenUsed/>
    <w:rsid w:val="000606F0"/>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0606F0"/>
    <w:rPr>
      <w:rFonts w:ascii="CG Times (W1)" w:eastAsia="Times New Roman" w:hAnsi="CG Times (W1)" w:cs="Times New Roma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822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conciliacao@certificadora.imb.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 K L A _ S P ! 7 7 4 5 3 4 5 . 7 < / d o c u m e n t i d >  
     < s e n d e r i d > C S A R T O R I < / s e n d e r i d >  
     < s e n d e r e m a i l > C S A R T O R I @ K L A L A W . C O M . B R < / s e n d e r e m a i l >  
     < l a s t m o d i f i e d > 2 0 2 1 - 0 3 - 0 1 T 2 0 : 1 4 : 0 0 . 0 0 0 0 0 0 0 - 0 3 : 0 0 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E30F7-3978-4B26-8AA0-5CBC47330A5D}">
  <ds:schemaRefs>
    <ds:schemaRef ds:uri="http://www.imanage.com/work/xmlschema"/>
  </ds:schemaRefs>
</ds:datastoreItem>
</file>

<file path=customXml/itemProps2.xml><?xml version="1.0" encoding="utf-8"?>
<ds:datastoreItem xmlns:ds="http://schemas.openxmlformats.org/officeDocument/2006/customXml" ds:itemID="{D76CF569-3301-41EE-BCE9-596F9F06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31</Pages>
  <Words>12338</Words>
  <Characters>66628</Characters>
  <Application>Microsoft Office Word</Application>
  <DocSecurity>0</DocSecurity>
  <Lines>555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Ismael Merlotti</cp:lastModifiedBy>
  <cp:revision>14</cp:revision>
  <dcterms:created xsi:type="dcterms:W3CDTF">2021-03-01T22:22:00Z</dcterms:created>
  <dcterms:modified xsi:type="dcterms:W3CDTF">2021-03-03T13:49:00Z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-1384961290</vt:i4>
  </property>
  <property fmtid="{D5CDD505-2E9C-101B-9397-08002B2CF9AE}" pid="3" name="_NewReviewCycle">
    <vt:lpwstr/>
  </property>
  <property fmtid="{D5CDD505-2E9C-101B-9397-08002B2CF9AE}" pid="4" name="_EmailSubject">
    <vt:lpwstr>CRI Embraed | Minutas CCB e CF Recebíveis [GED-KLA_SP.FID64925]</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-649159767</vt:i4>
  </property>
  <property fmtid="{D5CDD505-2E9C-101B-9397-08002B2CF9AE}" pid="8" name="_ReviewingToolsShownOnce">
    <vt:lpwstr/>
  </property>
</Properties>
</file>