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0EF75DC0"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Social</w:t>
      </w:r>
      <w:r w:rsidR="009E0A79">
        <w:rPr>
          <w:rFonts w:ascii="Verdana" w:eastAsia="Times New Roman" w:hAnsi="Verdana" w:cs="Times New Roman"/>
          <w:sz w:val="20"/>
          <w:szCs w:val="20"/>
          <w:lang w:eastAsia="pt-BR"/>
        </w:rPr>
        <w:t xml:space="preserve">, pelo </w:t>
      </w:r>
      <w:r w:rsidR="009E0A79" w:rsidRPr="00680D27">
        <w:rPr>
          <w:rFonts w:ascii="Verdana" w:eastAsia="Times New Roman" w:hAnsi="Verdana" w:cs="Times New Roman"/>
          <w:sz w:val="20"/>
          <w:szCs w:val="20"/>
          <w:highlight w:val="lightGray"/>
          <w:lang w:eastAsia="pt-BR"/>
        </w:rPr>
        <w:t>[=], [qualificação]</w:t>
      </w:r>
      <w:r w:rsidR="009E0A79">
        <w:rPr>
          <w:rFonts w:ascii="Verdana" w:eastAsia="Times New Roman" w:hAnsi="Verdana" w:cs="Times New Roman"/>
          <w:sz w:val="20"/>
          <w:szCs w:val="20"/>
          <w:lang w:eastAsia="pt-BR"/>
        </w:rPr>
        <w:t xml:space="preserve"> e pelo </w:t>
      </w:r>
      <w:r w:rsidR="009E0A79" w:rsidRPr="00680D27">
        <w:rPr>
          <w:rFonts w:ascii="Verdana" w:eastAsia="Times New Roman" w:hAnsi="Verdana" w:cs="Times New Roman"/>
          <w:sz w:val="20"/>
          <w:szCs w:val="20"/>
          <w:highlight w:val="lightGray"/>
          <w:lang w:eastAsia="pt-BR"/>
        </w:rPr>
        <w:t xml:space="preserve">[=], </w:t>
      </w:r>
      <w:r w:rsidR="00680D27" w:rsidRPr="00680D27">
        <w:rPr>
          <w:rFonts w:ascii="Verdana" w:eastAsia="Times New Roman" w:hAnsi="Verdana" w:cs="Times New Roman"/>
          <w:sz w:val="20"/>
          <w:szCs w:val="20"/>
          <w:highlight w:val="lightGray"/>
          <w:lang w:eastAsia="pt-BR"/>
        </w:rPr>
        <w:t>[</w:t>
      </w:r>
      <w:r w:rsidR="009E0A79" w:rsidRPr="00680D27">
        <w:rPr>
          <w:rFonts w:ascii="Verdana" w:eastAsia="Times New Roman" w:hAnsi="Verdana" w:cs="Times New Roman"/>
          <w:sz w:val="20"/>
          <w:szCs w:val="20"/>
          <w:highlight w:val="lightGray"/>
          <w:lang w:eastAsia="pt-BR"/>
        </w:rPr>
        <w:t>qualificação</w:t>
      </w:r>
      <w:r w:rsidR="00680D27" w:rsidRPr="00680D27">
        <w:rPr>
          <w:rFonts w:ascii="Verdana" w:eastAsia="Times New Roman" w:hAnsi="Verdana" w:cs="Times New Roman"/>
          <w:sz w:val="20"/>
          <w:szCs w:val="20"/>
          <w:highlight w:val="lightGray"/>
          <w:lang w:eastAsia="pt-BR"/>
        </w:rPr>
        <w:t>]</w:t>
      </w:r>
      <w:r w:rsidR="007772D1" w:rsidRPr="00217E33">
        <w:rPr>
          <w:rFonts w:ascii="Verdana" w:eastAsia="Times New Roman" w:hAnsi="Verdana" w:cs="Times New Roman"/>
          <w:sz w:val="20"/>
          <w:szCs w:val="20"/>
          <w:lang w:eastAsia="pt-BR"/>
        </w:rPr>
        <w:t xml:space="preserve">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1B55EB5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r w:rsidR="00EB4661" w:rsidRPr="007510F1">
        <w:rPr>
          <w:rFonts w:ascii="Verdana" w:eastAsia="Times New Roman" w:hAnsi="Verdana" w:cs="Times New Roman"/>
          <w:sz w:val="20"/>
          <w:szCs w:val="20"/>
          <w:u w:val="single"/>
          <w:lang w:eastAsia="pt-BR"/>
        </w:rPr>
        <w:t>Securitizadora</w:t>
      </w:r>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8"/>
      <w:r w:rsidRPr="00F610E2">
        <w:rPr>
          <w:rFonts w:ascii="Verdana" w:hAnsi="Verdana" w:cs="Calibri"/>
          <w:sz w:val="20"/>
          <w:szCs w:val="20"/>
        </w:rPr>
        <w:t xml:space="preserve">, </w:t>
      </w:r>
      <w:bookmarkStart w:id="11" w:name="_Hlk58857966"/>
      <w:r w:rsidRPr="00F610E2">
        <w:rPr>
          <w:rFonts w:ascii="Verdana" w:hAnsi="Verdana" w:cs="Calibri"/>
          <w:sz w:val="20"/>
          <w:szCs w:val="20"/>
        </w:rPr>
        <w:t>cuja incorporação encontra-se registrada no R-</w:t>
      </w:r>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1"/>
      <w:r w:rsidRPr="00F610E2">
        <w:rPr>
          <w:rFonts w:ascii="Verdana" w:hAnsi="Verdana" w:cs="Calibri"/>
          <w:sz w:val="20"/>
          <w:szCs w:val="20"/>
        </w:rPr>
        <w:t xml:space="preserve">matrícula nº </w:t>
      </w:r>
      <w:bookmarkStart w:id="12" w:name="_Hlk56982327"/>
      <w:r w:rsidR="00154D8A" w:rsidRPr="00F610E2">
        <w:rPr>
          <w:rFonts w:ascii="Verdana" w:hAnsi="Verdana" w:cs="Calibri"/>
          <w:sz w:val="20"/>
          <w:szCs w:val="20"/>
        </w:rPr>
        <w:t>454.654 do 9º Ofício de Registro de Imóveis da Cidade do Rio de Janeiro, Estado do Rio de Janeiro</w:t>
      </w:r>
      <w:bookmarkEnd w:id="12"/>
      <w:bookmarkEnd w:id="9"/>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0"/>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062913"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a Fiduciante emitiu</w:t>
      </w:r>
      <w:r w:rsidRPr="00680D27">
        <w:rPr>
          <w:rFonts w:ascii="Verdana" w:hAnsi="Verdana"/>
          <w:sz w:val="20"/>
          <w:szCs w:val="20"/>
        </w:rPr>
        <w:t xml:space="preserve">, em favor </w:t>
      </w:r>
      <w:r w:rsidR="00680D27" w:rsidRPr="00680D27">
        <w:rPr>
          <w:rFonts w:ascii="Verdana" w:hAnsi="Verdana" w:cs="Calibri"/>
          <w:b/>
          <w:bCs/>
          <w:sz w:val="20"/>
          <w:szCs w:val="20"/>
        </w:rPr>
        <w:t>COMPANHIA HIPOTECARIA PIRATINI – CHP</w:t>
      </w:r>
      <w:r w:rsidR="00680D27" w:rsidRPr="00680D27">
        <w:rPr>
          <w:rFonts w:ascii="Verdana" w:hAnsi="Verdana" w:cs="Calibri"/>
          <w:sz w:val="20"/>
          <w:szCs w:val="20"/>
        </w:rPr>
        <w:t xml:space="preserve">, , inscrita no CNPJ sob o nº 18.282.093/0001-50 </w:t>
      </w:r>
      <w:r w:rsidR="00680D27" w:rsidRPr="00680D27">
        <w:rPr>
          <w:rFonts w:ascii="Verdana" w:hAnsi="Verdana"/>
          <w:sz w:val="20"/>
          <w:szCs w:val="20"/>
        </w:rPr>
        <w:t>(“</w:t>
      </w:r>
      <w:r w:rsidR="00680D27" w:rsidRPr="00680D27">
        <w:rPr>
          <w:rFonts w:ascii="Verdana" w:hAnsi="Verdana"/>
          <w:sz w:val="20"/>
          <w:szCs w:val="20"/>
          <w:u w:val="single"/>
        </w:rPr>
        <w:t>Credor Original</w:t>
      </w:r>
      <w:r w:rsidR="00680D27" w:rsidRPr="00680D27">
        <w:rPr>
          <w:rFonts w:ascii="Verdana" w:hAnsi="Verdana"/>
          <w:sz w:val="20"/>
          <w:szCs w:val="20"/>
        </w:rPr>
        <w:t>”), a “</w:t>
      </w:r>
      <w:r w:rsidR="00680D27" w:rsidRPr="00680D27">
        <w:rPr>
          <w:rFonts w:ascii="Verdana" w:hAnsi="Verdana"/>
          <w:i/>
          <w:sz w:val="20"/>
          <w:szCs w:val="20"/>
        </w:rPr>
        <w:t xml:space="preserve">Cédula de Crédito Bancário n.º </w:t>
      </w:r>
      <w:r w:rsidR="00680D27" w:rsidRPr="00680D27">
        <w:rPr>
          <w:rFonts w:ascii="Verdana" w:hAnsi="Verdana" w:cs="Tahoma"/>
          <w:bCs/>
          <w:i/>
          <w:sz w:val="20"/>
          <w:szCs w:val="20"/>
        </w:rPr>
        <w:t>51500044-2</w:t>
      </w:r>
      <w:r w:rsidR="00D15939" w:rsidRPr="00680D27">
        <w:rPr>
          <w:rFonts w:ascii="Verdana" w:hAnsi="Verdana" w:cs="Tahoma"/>
          <w:bCs/>
          <w:i/>
          <w:sz w:val="20"/>
          <w:szCs w:val="20"/>
        </w:rPr>
        <w:t xml:space="preserve"> </w:t>
      </w:r>
      <w:r w:rsidR="00B168D1" w:rsidRPr="00680D27">
        <w:rPr>
          <w:rFonts w:ascii="Verdana" w:hAnsi="Verdana" w:cs="Tahoma"/>
          <w:bCs/>
          <w:i/>
          <w:sz w:val="20"/>
          <w:szCs w:val="20"/>
        </w:rPr>
        <w:t>– Financiamento Imobiliário</w:t>
      </w:r>
      <w:r w:rsidRPr="00680D27">
        <w:rPr>
          <w:rFonts w:ascii="Verdana" w:hAnsi="Verdana"/>
          <w:color w:val="000000"/>
          <w:sz w:val="20"/>
          <w:szCs w:val="20"/>
        </w:rPr>
        <w:t xml:space="preserve">” </w:t>
      </w:r>
      <w:r w:rsidRPr="00680D27">
        <w:rPr>
          <w:rFonts w:ascii="Verdana" w:hAnsi="Verdana"/>
          <w:sz w:val="20"/>
          <w:szCs w:val="20"/>
        </w:rPr>
        <w:t>(“</w:t>
      </w:r>
      <w:r w:rsidRPr="00680D27">
        <w:rPr>
          <w:rFonts w:ascii="Verdana" w:hAnsi="Verdana"/>
          <w:sz w:val="20"/>
          <w:szCs w:val="20"/>
          <w:u w:val="single"/>
        </w:rPr>
        <w:t>CCB</w:t>
      </w:r>
      <w:r w:rsidRPr="00680D27">
        <w:rPr>
          <w:rFonts w:ascii="Verdana" w:hAnsi="Verdana"/>
          <w:sz w:val="20"/>
          <w:szCs w:val="20"/>
        </w:rPr>
        <w:t>”), no valor principal de até R$</w:t>
      </w:r>
      <w:r w:rsidR="00D15939" w:rsidRPr="00680D27">
        <w:rPr>
          <w:rFonts w:ascii="Verdana" w:hAnsi="Verdana"/>
          <w:sz w:val="20"/>
          <w:szCs w:val="20"/>
        </w:rPr>
        <w:t>80.000.000,00 (oitenta milhões de reais)</w:t>
      </w:r>
      <w:r w:rsidRPr="00680D27">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finalidade da CCB </w:t>
      </w:r>
      <w:r w:rsidRPr="00F610E2">
        <w:rPr>
          <w:rFonts w:ascii="Verdana" w:hAnsi="Verdana"/>
          <w:sz w:val="20"/>
          <w:szCs w:val="20"/>
        </w:rPr>
        <w:lastRenderedPageBreak/>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13" w:name="_Hlk58276304"/>
    </w:p>
    <w:bookmarkEnd w:id="1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Fiduciária é uma companhia securitizadora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4" w:name="_Hlk57039586"/>
      <w:bookmarkStart w:id="15" w:name="_Hlk68534749"/>
      <w:bookmarkStart w:id="16" w:name="_Hlk34924696"/>
      <w:r w:rsidR="00D15939" w:rsidRPr="00217E33">
        <w:rPr>
          <w:rFonts w:ascii="Verdana" w:hAnsi="Verdana"/>
          <w:b/>
          <w:bCs/>
          <w:caps/>
          <w:sz w:val="20"/>
          <w:szCs w:val="20"/>
        </w:rPr>
        <w:t>Simplific Pavarini Distribuidora De Títulos E Valores Mobiliários Ltda.</w:t>
      </w:r>
      <w:bookmarkEnd w:id="14"/>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5"/>
      <w:bookmarkEnd w:id="16"/>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Emissão da Isec Securitizadora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28D6C981"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7"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7"/>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(ii)</w:t>
      </w:r>
      <w:r w:rsidRPr="00217E33">
        <w:rPr>
          <w:rFonts w:ascii="Verdana" w:hAnsi="Verdana"/>
          <w:sz w:val="20"/>
          <w:szCs w:val="20"/>
        </w:rPr>
        <w:t xml:space="preserve"> o Contrato de Cessão; </w:t>
      </w:r>
      <w:r w:rsidRPr="00217E33">
        <w:rPr>
          <w:rFonts w:ascii="Verdana" w:hAnsi="Verdana"/>
          <w:b/>
          <w:sz w:val="20"/>
          <w:szCs w:val="20"/>
        </w:rPr>
        <w:t>(iii)</w:t>
      </w:r>
      <w:r w:rsidRPr="00217E33">
        <w:rPr>
          <w:rFonts w:ascii="Verdana" w:hAnsi="Verdana"/>
          <w:sz w:val="20"/>
          <w:szCs w:val="20"/>
        </w:rPr>
        <w:t xml:space="preserve"> a Escritura de Emissão de CCI; </w:t>
      </w:r>
      <w:r w:rsidRPr="00217E33">
        <w:rPr>
          <w:rFonts w:ascii="Verdana" w:hAnsi="Verdana"/>
          <w:b/>
          <w:sz w:val="20"/>
          <w:szCs w:val="20"/>
        </w:rPr>
        <w:t>(iv)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(vii)</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(viii)</w:t>
      </w:r>
      <w:r w:rsidRPr="00217E33">
        <w:rPr>
          <w:rFonts w:ascii="Verdana" w:hAnsi="Verdana"/>
          <w:sz w:val="20"/>
          <w:szCs w:val="20"/>
        </w:rPr>
        <w:t xml:space="preserve"> o Termo de Securitização; </w:t>
      </w:r>
      <w:r w:rsidRPr="00217E33">
        <w:rPr>
          <w:rFonts w:ascii="Verdana" w:hAnsi="Verdana"/>
          <w:b/>
          <w:bCs/>
          <w:sz w:val="20"/>
          <w:szCs w:val="20"/>
        </w:rPr>
        <w:t>(ix)</w:t>
      </w:r>
      <w:r w:rsidRPr="00217E33">
        <w:rPr>
          <w:rFonts w:ascii="Verdana" w:hAnsi="Verdana"/>
          <w:sz w:val="20"/>
          <w:szCs w:val="20"/>
        </w:rPr>
        <w:t xml:space="preserve"> o Contrato de Distribuição (conforme definido no </w:t>
      </w:r>
      <w:r w:rsidRPr="00680D27">
        <w:rPr>
          <w:rFonts w:ascii="Verdana" w:hAnsi="Verdana"/>
          <w:sz w:val="20"/>
          <w:szCs w:val="20"/>
        </w:rPr>
        <w:t xml:space="preserve">Contrato de Cessão); </w:t>
      </w:r>
      <w:r w:rsidR="004145B9" w:rsidRPr="00680D27">
        <w:rPr>
          <w:rFonts w:ascii="Verdana" w:hAnsi="Verdana" w:cs="Calibri"/>
          <w:b/>
          <w:bCs/>
          <w:sz w:val="20"/>
          <w:szCs w:val="20"/>
        </w:rPr>
        <w:t>(x)</w:t>
      </w:r>
      <w:r w:rsidR="004145B9" w:rsidRPr="00680D27">
        <w:rPr>
          <w:rFonts w:ascii="Verdana" w:hAnsi="Verdana" w:cs="Calibri"/>
          <w:i/>
          <w:iCs/>
          <w:sz w:val="20"/>
          <w:szCs w:val="20"/>
        </w:rPr>
        <w:t xml:space="preserve"> </w:t>
      </w:r>
      <w:r w:rsidR="004145B9" w:rsidRPr="00680D27">
        <w:rPr>
          <w:rFonts w:ascii="Verdana" w:hAnsi="Verdana" w:cs="Calibri"/>
          <w:sz w:val="20"/>
          <w:szCs w:val="20"/>
        </w:rPr>
        <w:t>o “</w:t>
      </w:r>
      <w:r w:rsidR="004145B9" w:rsidRPr="00680D27">
        <w:rPr>
          <w:rFonts w:ascii="Verdana" w:hAnsi="Verdana" w:cs="Calibri"/>
          <w:i/>
          <w:iCs/>
          <w:sz w:val="20"/>
          <w:szCs w:val="20"/>
        </w:rPr>
        <w:t xml:space="preserve">Instrumento Particular de Prestação de Serviços – Núm.: </w:t>
      </w:r>
      <w:r w:rsidR="001A5A5C" w:rsidRPr="00680D27">
        <w:rPr>
          <w:rFonts w:ascii="Verdana" w:hAnsi="Verdana" w:cs="Calibri"/>
          <w:i/>
          <w:iCs/>
          <w:sz w:val="20"/>
          <w:szCs w:val="20"/>
        </w:rPr>
        <w:t>[•]</w:t>
      </w:r>
      <w:r w:rsidR="004145B9" w:rsidRPr="00680D27">
        <w:rPr>
          <w:rFonts w:ascii="Verdana" w:hAnsi="Verdana" w:cs="Calibri"/>
          <w:sz w:val="20"/>
          <w:szCs w:val="20"/>
        </w:rPr>
        <w:t xml:space="preserve">”, celebrado entre a </w:t>
      </w:r>
      <w:r w:rsidR="004145B9" w:rsidRPr="00680D27">
        <w:rPr>
          <w:rFonts w:ascii="Verdana" w:hAnsi="Verdana"/>
          <w:b/>
          <w:bCs/>
          <w:sz w:val="20"/>
          <w:szCs w:val="20"/>
          <w:lang w:eastAsia="pt-BR"/>
        </w:rPr>
        <w:t>CAPITAL FINANCE CONSULTORES LTDA</w:t>
      </w:r>
      <w:r w:rsidR="004145B9" w:rsidRPr="00680D27">
        <w:rPr>
          <w:rFonts w:ascii="Verdana" w:hAnsi="Verdana"/>
          <w:sz w:val="20"/>
          <w:szCs w:val="20"/>
          <w:lang w:eastAsia="pt-BR"/>
        </w:rPr>
        <w:t>, inscrit</w:t>
      </w:r>
      <w:r w:rsidR="004145B9" w:rsidRPr="00680D27">
        <w:rPr>
          <w:rFonts w:ascii="Verdana" w:hAnsi="Verdana"/>
          <w:sz w:val="20"/>
          <w:szCs w:val="20"/>
        </w:rPr>
        <w:t>a</w:t>
      </w:r>
      <w:r w:rsidR="004145B9" w:rsidRPr="00680D27">
        <w:rPr>
          <w:rFonts w:ascii="Verdana" w:hAnsi="Verdana"/>
          <w:sz w:val="20"/>
          <w:szCs w:val="20"/>
          <w:lang w:eastAsia="pt-BR"/>
        </w:rPr>
        <w:t xml:space="preserve"> no CNPJ/ME sob o nº 07.022.658/0001-43</w:t>
      </w:r>
      <w:r w:rsidR="004145B9" w:rsidRPr="00680D27">
        <w:rPr>
          <w:rFonts w:ascii="Verdana" w:hAnsi="Verdana" w:cs="Calibri"/>
          <w:sz w:val="20"/>
          <w:szCs w:val="20"/>
        </w:rPr>
        <w:t>, a Securitizadora</w:t>
      </w:r>
      <w:r w:rsidR="004145B9" w:rsidRPr="00217E33">
        <w:rPr>
          <w:rFonts w:ascii="Verdana" w:hAnsi="Verdana" w:cs="Calibri"/>
          <w:sz w:val="20"/>
          <w:szCs w:val="20"/>
        </w:rPr>
        <w:t xml:space="preserve">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18" w:name="_Ref360010674"/>
      <w:bookmarkStart w:id="19"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18"/>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19"/>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0" w:name="_Ref506907952"/>
      <w:bookmarkStart w:id="21" w:name="_Ref491382259"/>
      <w:bookmarkStart w:id="22" w:name="_Ref361299795"/>
      <w:bookmarkStart w:id="23"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(ii)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(iii)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1573045D"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00680D27">
        <w:rPr>
          <w:rFonts w:ascii="Verdana" w:hAnsi="Verdana" w:cs="Times New Roman"/>
          <w:sz w:val="20"/>
          <w:szCs w:val="20"/>
        </w:rPr>
        <w:t>05</w:t>
      </w:r>
      <w:r>
        <w:rPr>
          <w:rFonts w:ascii="Verdana" w:hAnsi="Verdana" w:cs="Times New Roman"/>
          <w:sz w:val="20"/>
          <w:szCs w:val="20"/>
        </w:rPr>
        <w:t xml:space="preserve"> (</w:t>
      </w:r>
      <w:r w:rsidR="00680D27">
        <w:rPr>
          <w:rFonts w:ascii="Verdana" w:hAnsi="Verdana" w:cs="Times New Roman"/>
          <w:sz w:val="20"/>
          <w:szCs w:val="20"/>
        </w:rPr>
        <w:t>cinco</w:t>
      </w:r>
      <w:r>
        <w:rPr>
          <w:rFonts w:ascii="Verdana" w:hAnsi="Verdana" w:cs="Times New Roman"/>
          <w:sz w:val="20"/>
          <w:szCs w:val="20"/>
        </w:rPr>
        <w:t>)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6138464B"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Se a Fiduciária vier a pagar, com recursos do Patrimônio Separado, algum dos tributos e/</w:t>
      </w:r>
      <w:r w:rsidRPr="00680D27">
        <w:rPr>
          <w:rStyle w:val="Refdenotaderodap"/>
          <w:rFonts w:ascii="Verdana" w:eastAsia="Arial" w:hAnsi="Verdana" w:cs="Times New Roman"/>
          <w:sz w:val="20"/>
          <w:szCs w:val="20"/>
          <w:vertAlign w:val="baseline"/>
        </w:rPr>
        <w:t>ou encargos inerentes a</w:t>
      </w:r>
      <w:r w:rsidRPr="00680D27">
        <w:rPr>
          <w:rFonts w:ascii="Verdana" w:eastAsia="Arial" w:hAnsi="Verdana" w:cs="Times New Roman"/>
          <w:sz w:val="20"/>
          <w:szCs w:val="20"/>
        </w:rPr>
        <w:t>o</w:t>
      </w:r>
      <w:r w:rsidRPr="00680D27">
        <w:rPr>
          <w:rStyle w:val="Refdenotaderodap"/>
          <w:rFonts w:ascii="Verdana" w:eastAsia="Arial" w:hAnsi="Verdana" w:cs="Times New Roman"/>
          <w:sz w:val="20"/>
          <w:szCs w:val="20"/>
          <w:vertAlign w:val="baseline"/>
        </w:rPr>
        <w:t xml:space="preserve"> Imóve</w:t>
      </w:r>
      <w:r w:rsidRPr="00680D27">
        <w:rPr>
          <w:rFonts w:ascii="Verdana" w:eastAsia="Arial" w:hAnsi="Verdana" w:cs="Times New Roman"/>
          <w:sz w:val="20"/>
          <w:szCs w:val="20"/>
        </w:rPr>
        <w:t>l</w:t>
      </w:r>
      <w:r w:rsidRPr="00680D27">
        <w:rPr>
          <w:rStyle w:val="Refdenotaderodap"/>
          <w:rFonts w:ascii="Verdana" w:eastAsia="Arial" w:hAnsi="Verdana" w:cs="Times New Roman"/>
          <w:sz w:val="20"/>
          <w:szCs w:val="20"/>
          <w:vertAlign w:val="baseline"/>
        </w:rPr>
        <w:t>, a Fiduciante deverá reembolsá-la dentro de 5 (cinco) Dias Úteis, contados</w:t>
      </w:r>
      <w:r w:rsidRPr="00217E33">
        <w:rPr>
          <w:rStyle w:val="Refdenotaderodap"/>
          <w:rFonts w:ascii="Verdana" w:eastAsia="Arial" w:hAnsi="Verdana" w:cs="Times New Roman"/>
          <w:sz w:val="20"/>
          <w:szCs w:val="20"/>
          <w:vertAlign w:val="baseline"/>
        </w:rPr>
        <w:t xml:space="preserve">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w:t>
      </w:r>
      <w:r w:rsidR="009640B0" w:rsidRPr="00680D27">
        <w:rPr>
          <w:rFonts w:ascii="Verdana" w:hAnsi="Verdana" w:cs="Times New Roman"/>
          <w:sz w:val="20"/>
          <w:szCs w:val="20"/>
          <w:highlight w:val="lightGray"/>
        </w:rPr>
        <w:t>[=] ([=])</w:t>
      </w:r>
      <w:r w:rsidR="009640B0">
        <w:rPr>
          <w:rFonts w:ascii="Verdana" w:hAnsi="Verdana" w:cs="Times New Roman"/>
          <w:sz w:val="20"/>
          <w:szCs w:val="20"/>
        </w:rPr>
        <w:t xml:space="preserve">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0"/>
      <w:bookmarkEnd w:id="21"/>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w:t>
      </w:r>
      <w:r w:rsidR="00ED18BA" w:rsidRPr="00680D27">
        <w:rPr>
          <w:rFonts w:ascii="Verdana" w:hAnsi="Verdana" w:cs="Times New Roman"/>
          <w:sz w:val="20"/>
          <w:szCs w:val="20"/>
          <w:highlight w:val="lightGray"/>
        </w:rPr>
        <w:t>[=] ([=])</w:t>
      </w:r>
      <w:r w:rsidR="00ED18BA">
        <w:rPr>
          <w:rFonts w:ascii="Verdana" w:hAnsi="Verdana" w:cs="Times New Roman"/>
          <w:sz w:val="20"/>
          <w:szCs w:val="20"/>
        </w:rPr>
        <w:t xml:space="preserve">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4"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5" w:name="_Ref463382320"/>
      <w:bookmarkEnd w:id="24"/>
      <w:bookmarkEnd w:id="22"/>
      <w:bookmarkEnd w:id="23"/>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6" w:name="_Ref431819728"/>
      <w:bookmarkEnd w:id="25"/>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6"/>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7"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 xml:space="preserve">(ii)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7"/>
    </w:p>
    <w:p w14:paraId="5ED675B4" w14:textId="77777777" w:rsidR="007772D1" w:rsidRPr="00680D27"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78D9831B" w:rsidR="007772D1" w:rsidRPr="00680D27"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28" w:name="_Hlk51593340"/>
      <w:r w:rsidRPr="00680D27">
        <w:rPr>
          <w:rFonts w:ascii="Verdana" w:hAnsi="Verdana"/>
          <w:b/>
          <w:sz w:val="20"/>
          <w:szCs w:val="20"/>
        </w:rPr>
        <w:t>Valor do principal:</w:t>
      </w:r>
      <w:r w:rsidRPr="00680D27">
        <w:rPr>
          <w:rFonts w:ascii="Verdana" w:hAnsi="Verdana"/>
          <w:sz w:val="20"/>
          <w:szCs w:val="20"/>
        </w:rPr>
        <w:t xml:space="preserve"> </w:t>
      </w:r>
      <w:r w:rsidR="00680D27" w:rsidRPr="00680D27">
        <w:rPr>
          <w:rFonts w:ascii="Verdana" w:hAnsi="Verdana"/>
          <w:sz w:val="20"/>
          <w:szCs w:val="20"/>
        </w:rPr>
        <w:t>R$80.000.000,00 (oitenta milhões de reais)</w:t>
      </w:r>
      <w:r w:rsidRPr="00680D27">
        <w:rPr>
          <w:rFonts w:ascii="Verdana" w:hAnsi="Verdana"/>
          <w:sz w:val="20"/>
          <w:szCs w:val="20"/>
        </w:rPr>
        <w:t>;</w:t>
      </w:r>
    </w:p>
    <w:p w14:paraId="7765CFD1" w14:textId="77777777" w:rsidR="007772D1" w:rsidRPr="00680D27"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E9A103D" w:rsidR="007772D1" w:rsidRPr="00680D27"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680D27">
        <w:rPr>
          <w:rFonts w:ascii="Verdana" w:hAnsi="Verdana"/>
          <w:b/>
          <w:sz w:val="20"/>
          <w:szCs w:val="20"/>
        </w:rPr>
        <w:t>Data de emissão da CCB:</w:t>
      </w:r>
      <w:r w:rsidRPr="00680D27">
        <w:rPr>
          <w:rFonts w:ascii="Verdana" w:hAnsi="Verdana"/>
          <w:sz w:val="20"/>
          <w:szCs w:val="20"/>
        </w:rPr>
        <w:t xml:space="preserve"> </w:t>
      </w:r>
      <w:r w:rsidR="00680D27" w:rsidRPr="00680D27">
        <w:rPr>
          <w:rFonts w:ascii="Verdana" w:hAnsi="Verdana"/>
          <w:sz w:val="20"/>
          <w:szCs w:val="20"/>
        </w:rPr>
        <w:t>07 de junho de 2021</w:t>
      </w:r>
      <w:r w:rsidRPr="00680D27">
        <w:rPr>
          <w:rFonts w:ascii="Verdana" w:hAnsi="Verdana"/>
          <w:sz w:val="20"/>
          <w:szCs w:val="20"/>
        </w:rPr>
        <w:t>;</w:t>
      </w:r>
    </w:p>
    <w:p w14:paraId="6981647E" w14:textId="77777777" w:rsidR="007772D1" w:rsidRPr="00680D27"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680D27"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680D27">
        <w:rPr>
          <w:rFonts w:ascii="Verdana" w:hAnsi="Verdana"/>
          <w:b/>
          <w:sz w:val="20"/>
          <w:szCs w:val="20"/>
        </w:rPr>
        <w:t>Prazo</w:t>
      </w:r>
      <w:r w:rsidRPr="00680D27">
        <w:rPr>
          <w:rFonts w:ascii="Verdana" w:hAnsi="Verdana"/>
          <w:sz w:val="20"/>
          <w:szCs w:val="20"/>
        </w:rPr>
        <w:t xml:space="preserve">: </w:t>
      </w:r>
      <w:r w:rsidR="008479F9" w:rsidRPr="00680D27">
        <w:rPr>
          <w:rFonts w:ascii="Verdana" w:hAnsi="Verdana"/>
          <w:sz w:val="20"/>
          <w:szCs w:val="20"/>
          <w:lang w:eastAsia="x-none"/>
        </w:rPr>
        <w:t>42</w:t>
      </w:r>
      <w:r w:rsidRPr="00680D27" w:rsidDel="008E5ACE">
        <w:rPr>
          <w:rFonts w:ascii="Verdana" w:hAnsi="Verdana"/>
          <w:bCs/>
          <w:sz w:val="20"/>
          <w:szCs w:val="20"/>
        </w:rPr>
        <w:t xml:space="preserve"> </w:t>
      </w:r>
      <w:r w:rsidRPr="00680D27">
        <w:rPr>
          <w:rFonts w:ascii="Verdana" w:hAnsi="Verdana"/>
          <w:bCs/>
          <w:sz w:val="20"/>
          <w:szCs w:val="20"/>
        </w:rPr>
        <w:t>(</w:t>
      </w:r>
      <w:r w:rsidRPr="00680D27">
        <w:rPr>
          <w:rFonts w:ascii="Verdana" w:hAnsi="Verdana"/>
          <w:sz w:val="20"/>
          <w:szCs w:val="20"/>
          <w:lang w:eastAsia="x-none"/>
        </w:rPr>
        <w:t xml:space="preserve">quarenta e </w:t>
      </w:r>
      <w:r w:rsidR="008479F9" w:rsidRPr="00680D27">
        <w:rPr>
          <w:rFonts w:ascii="Verdana" w:hAnsi="Verdana"/>
          <w:bCs/>
          <w:sz w:val="20"/>
          <w:szCs w:val="20"/>
        </w:rPr>
        <w:t>dois</w:t>
      </w:r>
      <w:r w:rsidRPr="00680D27">
        <w:rPr>
          <w:rFonts w:ascii="Verdana" w:hAnsi="Verdana"/>
          <w:bCs/>
          <w:sz w:val="20"/>
          <w:szCs w:val="20"/>
        </w:rPr>
        <w:t xml:space="preserve"> meses</w:t>
      </w:r>
      <w:r w:rsidRPr="00680D27">
        <w:rPr>
          <w:rFonts w:ascii="Verdana" w:hAnsi="Verdana"/>
          <w:sz w:val="20"/>
          <w:szCs w:val="20"/>
        </w:rPr>
        <w:t xml:space="preserve">, contados a partir da data de emissão da CCB; </w:t>
      </w:r>
    </w:p>
    <w:p w14:paraId="2811C698" w14:textId="77777777" w:rsidR="007772D1" w:rsidRPr="00680D27"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610AC744" w:rsidR="007772D1" w:rsidRPr="00680D27"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680D27">
        <w:rPr>
          <w:rFonts w:ascii="Verdana" w:hAnsi="Verdana"/>
          <w:b/>
          <w:sz w:val="20"/>
          <w:szCs w:val="20"/>
        </w:rPr>
        <w:t>Data de Vencimento</w:t>
      </w:r>
      <w:r w:rsidRPr="00680D27">
        <w:rPr>
          <w:rFonts w:ascii="Verdana" w:hAnsi="Verdana"/>
          <w:sz w:val="20"/>
          <w:szCs w:val="20"/>
        </w:rPr>
        <w:t xml:space="preserve">: </w:t>
      </w:r>
      <w:r w:rsidR="00680D27" w:rsidRPr="00680D27">
        <w:rPr>
          <w:rFonts w:ascii="Verdana" w:hAnsi="Verdana"/>
          <w:sz w:val="20"/>
          <w:szCs w:val="20"/>
          <w:lang w:eastAsia="x-none"/>
        </w:rPr>
        <w:t>20 de novembro de 2024</w:t>
      </w:r>
      <w:r w:rsidR="00680D27" w:rsidRPr="00680D27">
        <w:rPr>
          <w:rFonts w:ascii="Verdana" w:hAnsi="Verdana"/>
          <w:sz w:val="20"/>
          <w:szCs w:val="20"/>
        </w:rPr>
        <w:t xml:space="preserve"> </w:t>
      </w:r>
      <w:r w:rsidRPr="00680D27">
        <w:rPr>
          <w:rFonts w:ascii="Verdana" w:hAnsi="Verdana"/>
          <w:sz w:val="20"/>
          <w:szCs w:val="20"/>
        </w:rPr>
        <w:t>(“</w:t>
      </w:r>
      <w:r w:rsidRPr="00680D27">
        <w:rPr>
          <w:rFonts w:ascii="Verdana" w:hAnsi="Verdana"/>
          <w:sz w:val="20"/>
          <w:szCs w:val="20"/>
          <w:u w:val="single"/>
        </w:rPr>
        <w:t>Data de Vencimento</w:t>
      </w:r>
      <w:r w:rsidRPr="00680D27">
        <w:rPr>
          <w:rFonts w:ascii="Verdana" w:hAnsi="Verdana"/>
          <w:sz w:val="20"/>
          <w:szCs w:val="20"/>
        </w:rPr>
        <w:t>”);</w:t>
      </w:r>
    </w:p>
    <w:p w14:paraId="0B321BDD" w14:textId="77777777" w:rsidR="007772D1" w:rsidRPr="00680D27"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680D27">
        <w:rPr>
          <w:rFonts w:ascii="Verdana" w:hAnsi="Verdana"/>
          <w:b/>
          <w:sz w:val="20"/>
          <w:szCs w:val="20"/>
        </w:rPr>
        <w:t>Cronograma de Amortização da CCB</w:t>
      </w:r>
      <w:r w:rsidRPr="00680D27">
        <w:rPr>
          <w:rFonts w:ascii="Verdana" w:hAnsi="Verdana"/>
          <w:sz w:val="20"/>
          <w:szCs w:val="20"/>
        </w:rPr>
        <w:t>:</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pro rata temporis</w:t>
      </w:r>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19B5B754"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w:t>
      </w:r>
      <w:r w:rsidR="008479F9" w:rsidRPr="00680D27">
        <w:rPr>
          <w:rFonts w:ascii="Verdana" w:hAnsi="Verdana"/>
          <w:sz w:val="20"/>
          <w:szCs w:val="20"/>
        </w:rPr>
        <w:t xml:space="preserve">no dia </w:t>
      </w:r>
      <w:r w:rsidR="00680D27" w:rsidRPr="00680D27">
        <w:rPr>
          <w:rFonts w:ascii="Verdana" w:hAnsi="Verdana"/>
          <w:sz w:val="20"/>
          <w:szCs w:val="20"/>
          <w:lang w:eastAsia="x-none"/>
        </w:rPr>
        <w:t>21 de junho de 2021</w:t>
      </w:r>
      <w:r w:rsidR="00680D27" w:rsidRPr="00680D27">
        <w:rPr>
          <w:rFonts w:ascii="Verdana" w:hAnsi="Verdana"/>
          <w:sz w:val="20"/>
          <w:szCs w:val="20"/>
        </w:rPr>
        <w:t xml:space="preserve"> </w:t>
      </w:r>
      <w:r w:rsidR="008479F9" w:rsidRPr="00680D27">
        <w:rPr>
          <w:rFonts w:ascii="Verdana" w:hAnsi="Verdana"/>
          <w:sz w:val="20"/>
          <w:szCs w:val="20"/>
        </w:rPr>
        <w:t>e as demais de acordo</w:t>
      </w:r>
      <w:r w:rsidR="008479F9" w:rsidRPr="005778A2">
        <w:rPr>
          <w:rFonts w:ascii="Verdana" w:hAnsi="Verdana"/>
          <w:sz w:val="20"/>
          <w:szCs w:val="20"/>
        </w:rPr>
        <w:t xml:space="preserve">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29" w:name="_Hlk56535557"/>
      <w:r w:rsidRPr="005778A2">
        <w:rPr>
          <w:rFonts w:ascii="Verdana" w:hAnsi="Verdana"/>
          <w:bCs/>
          <w:sz w:val="20"/>
          <w:szCs w:val="20"/>
        </w:rPr>
        <w:t xml:space="preserve">multa de 2% (dois por cento) e juros moratórios de 1% (um por cento) ao mês, calculados </w:t>
      </w:r>
      <w:r w:rsidRPr="005778A2">
        <w:rPr>
          <w:rFonts w:ascii="Verdana" w:hAnsi="Verdana"/>
          <w:bCs/>
          <w:i/>
          <w:iCs/>
          <w:sz w:val="20"/>
          <w:szCs w:val="20"/>
        </w:rPr>
        <w:t>pro-rata dia</w:t>
      </w:r>
      <w:r w:rsidRPr="005778A2">
        <w:rPr>
          <w:rFonts w:ascii="Verdana" w:hAnsi="Verdana"/>
          <w:bCs/>
          <w:sz w:val="20"/>
          <w:szCs w:val="20"/>
        </w:rPr>
        <w:t>, se necessário, incidentes sobre os débitos em atraso e não pagos pela Devedora</w:t>
      </w:r>
      <w:bookmarkEnd w:id="29"/>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28"/>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0" w:name="_DV_M121"/>
      <w:bookmarkStart w:id="31" w:name="_DV_M122"/>
      <w:bookmarkEnd w:id="30"/>
      <w:bookmarkEnd w:id="31"/>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(ii) a ocorrência de qualquer dos eventos previstos no artigo 1.425 do Código Civil; ou (iii)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w:t>
      </w:r>
      <w:r w:rsidRPr="00E033BE">
        <w:rPr>
          <w:rFonts w:ascii="Verdana" w:hAnsi="Verdana" w:cstheme="minorHAnsi"/>
          <w:sz w:val="20"/>
          <w:szCs w:val="20"/>
          <w:lang w:val="pt-BR"/>
        </w:rPr>
        <w:t>Fiduciante deverá indicar, no prazo de 10 (dez) Dias Úteis contados do recebimento de comunicação escrita enviada pela</w:t>
      </w:r>
      <w:r w:rsidR="009C6668" w:rsidRPr="00E033BE">
        <w:rPr>
          <w:rFonts w:ascii="Verdana" w:hAnsi="Verdana" w:cstheme="minorHAnsi"/>
          <w:sz w:val="20"/>
          <w:szCs w:val="20"/>
          <w:lang w:val="pt-BR"/>
        </w:rPr>
        <w:t xml:space="preserve"> Fiduciante à</w:t>
      </w:r>
      <w:r w:rsidRPr="00E033BE">
        <w:rPr>
          <w:rFonts w:ascii="Verdana" w:hAnsi="Verdana" w:cstheme="minorHAnsi"/>
          <w:sz w:val="20"/>
          <w:szCs w:val="20"/>
          <w:lang w:val="pt-BR"/>
        </w:rPr>
        <w:t xml:space="preserve"> Fiduciária nesse sentido</w:t>
      </w:r>
      <w:r w:rsidR="009C6668" w:rsidRPr="00E033BE">
        <w:rPr>
          <w:rFonts w:ascii="Verdana" w:hAnsi="Verdana" w:cstheme="minorHAnsi"/>
          <w:sz w:val="20"/>
          <w:szCs w:val="20"/>
          <w:lang w:val="pt-BR"/>
        </w:rPr>
        <w:t>, conforme previsto acima</w:t>
      </w:r>
      <w:r w:rsidRPr="00E033BE">
        <w:rPr>
          <w:rFonts w:ascii="Verdana" w:hAnsi="Verdana" w:cstheme="minorHAnsi"/>
          <w:sz w:val="20"/>
          <w:szCs w:val="20"/>
          <w:lang w:val="pt-BR"/>
        </w:rPr>
        <w:t>, o Novo Imóve</w:t>
      </w:r>
      <w:r w:rsidR="003901CD" w:rsidRPr="00E033BE">
        <w:rPr>
          <w:rFonts w:ascii="Verdana" w:hAnsi="Verdana" w:cstheme="minorHAnsi"/>
          <w:sz w:val="20"/>
          <w:szCs w:val="20"/>
          <w:lang w:val="pt-BR"/>
        </w:rPr>
        <w:t>l</w:t>
      </w:r>
      <w:r w:rsidRPr="00E033BE">
        <w:rPr>
          <w:rFonts w:ascii="Verdana" w:hAnsi="Verdana" w:cstheme="minorHAnsi"/>
          <w:sz w:val="20"/>
          <w:szCs w:val="20"/>
          <w:lang w:val="pt-BR"/>
        </w:rPr>
        <w:t xml:space="preserve"> </w:t>
      </w:r>
      <w:r w:rsidR="005E094A" w:rsidRPr="00E033BE">
        <w:rPr>
          <w:rFonts w:ascii="Verdana" w:hAnsi="Verdana" w:cstheme="minorHAnsi"/>
          <w:sz w:val="20"/>
          <w:szCs w:val="20"/>
          <w:lang w:val="pt-BR"/>
        </w:rPr>
        <w:t>que</w:t>
      </w:r>
      <w:r w:rsidR="005E094A">
        <w:rPr>
          <w:rFonts w:ascii="Verdana" w:hAnsi="Verdana" w:cstheme="minorHAnsi"/>
          <w:sz w:val="20"/>
          <w:szCs w:val="20"/>
          <w:lang w:val="pt-BR"/>
        </w:rPr>
        <w:t xml:space="preserv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2" w:name="_Ref506920250"/>
      <w:bookmarkStart w:id="33"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4" w:name="_Hlk522632458"/>
      <w:bookmarkEnd w:id="32"/>
      <w:bookmarkEnd w:id="33"/>
      <w:r w:rsidRPr="00217E33">
        <w:rPr>
          <w:rFonts w:ascii="Verdana" w:hAnsi="Verdana" w:cs="Times New Roman"/>
          <w:sz w:val="20"/>
          <w:szCs w:val="20"/>
        </w:rPr>
        <w:t xml:space="preserve"> </w:t>
      </w:r>
      <w:bookmarkEnd w:id="34"/>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28A75BB6" w14:textId="75183236" w:rsidR="007772D1" w:rsidRDefault="009C6668" w:rsidP="009C666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lastRenderedPageBreak/>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12873E46"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a Fiduciante deverá encaminhar à Securitizadora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Securitizadora, </w:t>
      </w:r>
      <w:r w:rsidRPr="00217E33">
        <w:rPr>
          <w:rFonts w:ascii="Verdana" w:hAnsi="Verdana" w:cs="Times New Roman"/>
          <w:sz w:val="20"/>
          <w:szCs w:val="20"/>
        </w:rPr>
        <w:t>no pr</w:t>
      </w:r>
      <w:r w:rsidRPr="001D1733">
        <w:rPr>
          <w:rFonts w:ascii="Verdana" w:hAnsi="Verdana" w:cs="Times New Roman"/>
          <w:sz w:val="20"/>
          <w:szCs w:val="20"/>
        </w:rPr>
        <w:t>azo de até 5 (cinco) Dias Úteis contados d</w:t>
      </w:r>
      <w:r w:rsidRPr="001D1733">
        <w:rPr>
          <w:rFonts w:ascii="Verdana" w:hAnsi="Verdana"/>
          <w:sz w:val="20"/>
          <w:szCs w:val="20"/>
        </w:rPr>
        <w:t>o recebimento na Conta do Patrimônio Separado de 100% (</w:t>
      </w:r>
      <w:r w:rsidRPr="00217E33">
        <w:rPr>
          <w:rFonts w:ascii="Verdana" w:hAnsi="Verdana"/>
          <w:sz w:val="20"/>
          <w:szCs w:val="20"/>
        </w:rPr>
        <w:t xml:space="preserve">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1D72CFD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1D1733">
        <w:rPr>
          <w:rFonts w:ascii="Verdana" w:hAnsi="Verdana"/>
          <w:sz w:val="20"/>
          <w:szCs w:val="20"/>
        </w:rPr>
        <w:t xml:space="preserve">”), em até </w:t>
      </w:r>
      <w:r w:rsidR="001D1733" w:rsidRPr="001D1733">
        <w:rPr>
          <w:rFonts w:ascii="Verdana" w:hAnsi="Verdana" w:cs="Times New Roman"/>
          <w:sz w:val="20"/>
          <w:szCs w:val="20"/>
        </w:rPr>
        <w:t>5 (cinco) Dias Úteis contados d</w:t>
      </w:r>
      <w:r w:rsidR="001D1733" w:rsidRPr="001D1733">
        <w:rPr>
          <w:rFonts w:ascii="Verdana" w:hAnsi="Verdana"/>
          <w:sz w:val="20"/>
          <w:szCs w:val="20"/>
        </w:rPr>
        <w:t>o recebimento na Conta do Patrimônio Separado.</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35"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6" w:name="_Hlk20236977"/>
      <w:bookmarkEnd w:id="35"/>
      <w:r w:rsidR="00173C21">
        <w:rPr>
          <w:rFonts w:ascii="Verdana" w:hAnsi="Verdana"/>
          <w:sz w:val="20"/>
          <w:szCs w:val="20"/>
        </w:rPr>
        <w:t>, em relação à unidade autônoma ou à fração ideal do Imóvel</w:t>
      </w:r>
      <w:r w:rsidRPr="00217E33">
        <w:rPr>
          <w:rFonts w:ascii="Verdana" w:hAnsi="Verdana"/>
          <w:sz w:val="20"/>
          <w:szCs w:val="20"/>
        </w:rPr>
        <w:t>.</w:t>
      </w:r>
      <w:bookmarkEnd w:id="36"/>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7147A793"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r w:rsidR="005E094A" w:rsidRPr="00607F49">
        <w:rPr>
          <w:rFonts w:ascii="Verdana" w:hAnsi="Verdana"/>
          <w:sz w:val="20"/>
          <w:szCs w:val="20"/>
        </w:rPr>
        <w:t>0</w:t>
      </w:r>
      <w:r w:rsidR="001D1733">
        <w:rPr>
          <w:rFonts w:ascii="Verdana" w:hAnsi="Verdana"/>
          <w:sz w:val="20"/>
          <w:szCs w:val="20"/>
        </w:rPr>
        <w:t>5</w:t>
      </w:r>
      <w:r w:rsidR="005E094A" w:rsidRPr="00607F49">
        <w:rPr>
          <w:rFonts w:ascii="Verdana" w:hAnsi="Verdana"/>
          <w:sz w:val="20"/>
          <w:szCs w:val="20"/>
        </w:rPr>
        <w:t xml:space="preserve"> (</w:t>
      </w:r>
      <w:r w:rsidR="001D1733">
        <w:rPr>
          <w:rFonts w:ascii="Verdana" w:hAnsi="Verdana"/>
          <w:sz w:val="20"/>
          <w:szCs w:val="20"/>
        </w:rPr>
        <w:t>cinco</w:t>
      </w:r>
      <w:r w:rsidR="005E094A" w:rsidRPr="00607F49">
        <w:rPr>
          <w:rFonts w:ascii="Verdana" w:hAnsi="Verdana"/>
          <w:sz w:val="20"/>
          <w:szCs w:val="20"/>
        </w:rPr>
        <w:t xml:space="preserve">) 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pro rata temporis</w:t>
      </w:r>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xml:space="preserve">; e (ii) encaminhar à Securitizadora, no mesmo prazo, relatório informando: (a) nome completo do respectivo adquirente; (b) valor de venda; (c) valor efetivamente direcionado; (d) unidade(s) </w:t>
      </w:r>
      <w:r w:rsidR="005E094A" w:rsidRPr="00B05BE1">
        <w:rPr>
          <w:rFonts w:ascii="Verdana" w:hAnsi="Verdana"/>
          <w:sz w:val="20"/>
          <w:szCs w:val="20"/>
        </w:rPr>
        <w:lastRenderedPageBreak/>
        <w:t>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7"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37"/>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w:t>
      </w:r>
      <w:r w:rsidRPr="005D113A">
        <w:rPr>
          <w:rFonts w:ascii="Verdana" w:hAnsi="Verdana" w:cs="Times New Roman"/>
          <w:sz w:val="20"/>
          <w:szCs w:val="20"/>
        </w:rPr>
        <w:lastRenderedPageBreak/>
        <w:t xml:space="preserve">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 xml:space="preserve">a Fiduciante poderá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(ii)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8"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38"/>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9"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(ii) abaixo, com observância dos procedimentos previstos neste Contrato, bem como na Lei 9.514, como a seguir se explicita:</w:t>
      </w:r>
      <w:bookmarkEnd w:id="39"/>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No período compreendido entre a averbação da consolidação da propriedade fiduciária do Imóvel em nome da Fiduciária até a data da realização do segundo leilão, conforme item (iv)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r w:rsidRPr="00635459">
        <w:rPr>
          <w:rFonts w:ascii="Verdana" w:hAnsi="Verdana" w:cs="Times New Roman"/>
          <w:i/>
          <w:sz w:val="20"/>
          <w:szCs w:val="20"/>
        </w:rPr>
        <w:t>inter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0"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0"/>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1"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1"/>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2" w:name="_Ref463283365"/>
      <w:r w:rsidRPr="00217E33">
        <w:rPr>
          <w:rFonts w:ascii="Verdana" w:hAnsi="Verdana" w:cs="Times New Roman"/>
          <w:sz w:val="20"/>
          <w:szCs w:val="20"/>
        </w:rPr>
        <w:lastRenderedPageBreak/>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2"/>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 xml:space="preserve">com a consolidação da propriedade em nome da Fiduciária são o equivalente à soma dos valores despendidos para a realização do público </w:t>
      </w:r>
      <w:r w:rsidR="007772D1" w:rsidRPr="00217E33">
        <w:rPr>
          <w:rFonts w:ascii="Verdana" w:hAnsi="Verdana" w:cs="Times New Roman"/>
          <w:sz w:val="20"/>
          <w:szCs w:val="20"/>
        </w:rPr>
        <w:lastRenderedPageBreak/>
        <w:t>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3"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(iv) da Cláusula 7.1 deste Contrato:</w:t>
      </w:r>
      <w:bookmarkEnd w:id="43"/>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4" w:name="_Ref463283495"/>
      <w:bookmarkStart w:id="45" w:name="_Ref463283657"/>
      <w:bookmarkStart w:id="46"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44"/>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4A32D1B5"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 xml:space="preserve">(ii.a) </w:t>
      </w:r>
      <w:r w:rsidRPr="00217E33">
        <w:rPr>
          <w:rFonts w:ascii="Verdana" w:hAnsi="Verdana" w:cs="Times New Roman"/>
          <w:sz w:val="20"/>
          <w:szCs w:val="20"/>
        </w:rPr>
        <w:t>o maior lance oferecido não seja igual ou superior ao Valor d</w:t>
      </w:r>
      <w:r w:rsidR="00FD030C">
        <w:rPr>
          <w:rFonts w:ascii="Verdana" w:hAnsi="Verdana" w:cs="Times New Roman"/>
          <w:sz w:val="20"/>
          <w:szCs w:val="20"/>
        </w:rPr>
        <w:t>o Imóvel</w:t>
      </w:r>
      <w:r>
        <w:rPr>
          <w:rFonts w:ascii="Verdana" w:hAnsi="Verdana" w:cs="Times New Roman"/>
          <w:sz w:val="20"/>
          <w:szCs w:val="20"/>
        </w:rPr>
        <w:t xml:space="preserve">; ou (ii.b)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r w:rsidR="007510F1">
        <w:rPr>
          <w:rFonts w:ascii="Verdana" w:hAnsi="Verdana" w:cs="Times New Roman"/>
          <w:sz w:val="20"/>
          <w:szCs w:val="20"/>
        </w:rPr>
        <w:t xml:space="preserve"> </w:t>
      </w:r>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5"/>
    <w:bookmarkEnd w:id="46"/>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esta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w:t>
      </w:r>
      <w:r w:rsidRPr="0023658C">
        <w:rPr>
          <w:rFonts w:ascii="Verdana" w:hAnsi="Verdana" w:cs="Arial"/>
          <w:sz w:val="20"/>
          <w:szCs w:val="20"/>
        </w:rPr>
        <w:lastRenderedPageBreak/>
        <w:t>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rFonts w:ascii="Verdana" w:hAnsi="Verdana" w:cs="Times New Roman"/>
          <w:sz w:val="20"/>
          <w:szCs w:val="20"/>
        </w:rPr>
      </w:pPr>
      <w:bookmarkStart w:id="47" w:name="_Ref463283474"/>
      <w:bookmarkStart w:id="48" w:name="_Ref490755623"/>
    </w:p>
    <w:p w14:paraId="7ACA9674" w14:textId="0AA453B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47"/>
      <w:bookmarkEnd w:id="48"/>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esta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w:t>
      </w:r>
      <w:r w:rsidR="0023658C" w:rsidRPr="0023658C">
        <w:rPr>
          <w:rFonts w:ascii="Verdana" w:hAnsi="Verdana" w:cs="Arial"/>
          <w:sz w:val="20"/>
          <w:szCs w:val="20"/>
        </w:rPr>
        <w:lastRenderedPageBreak/>
        <w:t>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p>
    <w:p w14:paraId="0D355ECD" w14:textId="53828C41" w:rsidR="0023658C" w:rsidRPr="00400F5C" w:rsidRDefault="0023658C" w:rsidP="00217E33">
      <w:pPr>
        <w:pStyle w:val="PargrafodaLista"/>
        <w:widowControl w:val="0"/>
        <w:spacing w:after="0" w:line="320" w:lineRule="exact"/>
        <w:ind w:left="0"/>
        <w:jc w:val="both"/>
        <w:rPr>
          <w:rFonts w:ascii="Verdana" w:hAnsi="Verdana" w:cs="Times New Roman"/>
          <w:sz w:val="20"/>
          <w:szCs w:val="20"/>
        </w:rPr>
      </w:pPr>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2010B08" w:rsidR="0023658C" w:rsidRDefault="007772D1" w:rsidP="0023658C">
      <w:pPr>
        <w:pStyle w:val="PargrafodaLista"/>
        <w:keepNext/>
        <w:widowControl w:val="0"/>
        <w:spacing w:after="0" w:line="320" w:lineRule="exact"/>
        <w:ind w:left="0"/>
        <w:jc w:val="both"/>
        <w:rPr>
          <w:rFonts w:ascii="Verdana" w:hAnsi="Verdana"/>
          <w:sz w:val="20"/>
          <w:szCs w:val="20"/>
        </w:rPr>
      </w:pPr>
      <w:bookmarkStart w:id="49" w:name="_Ref463283182"/>
      <w:r w:rsidRPr="00217E33">
        <w:rPr>
          <w:rFonts w:ascii="Verdana" w:hAnsi="Verdana" w:cs="Times New Roman"/>
          <w:sz w:val="20"/>
          <w:szCs w:val="20"/>
        </w:rPr>
        <w:t>8.1</w:t>
      </w:r>
      <w:r w:rsidRPr="00217E33">
        <w:rPr>
          <w:rFonts w:ascii="Verdana" w:hAnsi="Verdana" w:cs="Times New Roman"/>
          <w:sz w:val="20"/>
          <w:szCs w:val="20"/>
        </w:rPr>
        <w:tab/>
      </w:r>
      <w:bookmarkStart w:id="50"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w:t>
      </w:r>
      <w:r w:rsidR="0023658C" w:rsidRPr="00680D27">
        <w:rPr>
          <w:rFonts w:ascii="Verdana" w:hAnsi="Verdana" w:cs="Times New Roman"/>
          <w:sz w:val="20"/>
          <w:szCs w:val="20"/>
          <w:highlight w:val="lightGray"/>
        </w:rPr>
        <w:t>[•] ([•])</w:t>
      </w:r>
      <w:r w:rsidR="0023658C" w:rsidRPr="00385739">
        <w:rPr>
          <w:rFonts w:ascii="Verdana" w:hAnsi="Verdana" w:cs="Times New Roman"/>
          <w:sz w:val="20"/>
          <w:szCs w:val="20"/>
        </w:rPr>
        <w:t xml:space="preserve"> por m² de sua área privativa</w:t>
      </w:r>
      <w:r w:rsidR="0023658C" w:rsidRPr="00607F49">
        <w:rPr>
          <w:rFonts w:ascii="Verdana" w:hAnsi="Verdana" w:cs="Times New Roman"/>
          <w:sz w:val="20"/>
          <w:szCs w:val="20"/>
        </w:rPr>
        <w:t xml:space="preserve">; ou (ii) valor utilizado pelo órgão público competente como base de cálculo para a apuração do imposto sobre transmissão </w:t>
      </w:r>
      <w:r w:rsidR="0023658C" w:rsidRPr="00607F49">
        <w:rPr>
          <w:rFonts w:ascii="Verdana" w:hAnsi="Verdana" w:cs="Times New Roman"/>
          <w:i/>
          <w:iCs/>
          <w:sz w:val="20"/>
          <w:szCs w:val="20"/>
        </w:rPr>
        <w:t>inter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50"/>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68381D">
        <w:rPr>
          <w:rFonts w:ascii="Verdana" w:hAnsi="Verdana" w:cs="Times New Roman"/>
          <w:b/>
          <w:bCs/>
          <w:sz w:val="20"/>
          <w:szCs w:val="20"/>
          <w:highlight w:val="lightGray"/>
        </w:rPr>
        <w:t xml:space="preserve">Nota </w:t>
      </w:r>
      <w:r w:rsidR="00FD030C">
        <w:rPr>
          <w:rFonts w:ascii="Verdana" w:hAnsi="Verdana" w:cs="Times New Roman"/>
          <w:b/>
          <w:bCs/>
          <w:sz w:val="20"/>
          <w:szCs w:val="20"/>
          <w:highlight w:val="lightGray"/>
        </w:rPr>
        <w:t>Souza Mello</w:t>
      </w:r>
      <w:r w:rsidR="0065561B" w:rsidRPr="0068381D">
        <w:rPr>
          <w:rFonts w:ascii="Verdana" w:hAnsi="Verdana" w:cs="Times New Roman"/>
          <w:b/>
          <w:bCs/>
          <w:sz w:val="20"/>
          <w:szCs w:val="20"/>
          <w:highlight w:val="lightGray"/>
        </w:rPr>
        <w:t>:</w:t>
      </w:r>
      <w:r w:rsidR="0065561B" w:rsidRPr="007510F1">
        <w:rPr>
          <w:rFonts w:ascii="Verdana" w:hAnsi="Verdana" w:cs="Times New Roman"/>
          <w:sz w:val="20"/>
          <w:szCs w:val="20"/>
          <w:highlight w:val="lightGray"/>
        </w:rPr>
        <w:t xml:space="preserve"> Gafisa, favor indicar o 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51"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[RichardEllis, Cushman, CBRE, JLL, e Engebanc]</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xml:space="preserve">) está sendo alcançado, sendo certo que a primeira reavaliação em questão deverá ocorrer em </w:t>
      </w:r>
      <w:r w:rsidRPr="00217E33">
        <w:rPr>
          <w:rFonts w:ascii="Verdana" w:hAnsi="Verdana" w:cs="Times New Roman"/>
          <w:sz w:val="20"/>
          <w:szCs w:val="20"/>
        </w:rPr>
        <w:lastRenderedPageBreak/>
        <w:t>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ao Agente Fiduciário, com cópia a Securitizadora até o dia 30 do referido mês.</w:t>
      </w:r>
    </w:p>
    <w:bookmarkEnd w:id="51"/>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1D8EBB81"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2"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3"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corresponde</w:t>
      </w:r>
      <w:r w:rsidR="001D1733">
        <w:rPr>
          <w:rFonts w:ascii="Verdana" w:hAnsi="Verdana" w:cs="Times New Roman"/>
          <w:sz w:val="20"/>
          <w:szCs w:val="20"/>
        </w:rPr>
        <w:t>nte</w:t>
      </w:r>
      <w:r w:rsidR="0023658C">
        <w:rPr>
          <w:rFonts w:ascii="Verdana" w:hAnsi="Verdana" w:cs="Times New Roman"/>
          <w:sz w:val="20"/>
          <w:szCs w:val="20"/>
        </w:rPr>
        <w:t xml:space="preserve"> ao </w:t>
      </w:r>
      <w:r w:rsidR="0023658C" w:rsidRPr="00217E33">
        <w:rPr>
          <w:rFonts w:ascii="Verdana" w:hAnsi="Verdana" w:cs="Times New Roman"/>
          <w:sz w:val="20"/>
          <w:szCs w:val="20"/>
        </w:rPr>
        <w:t>mencionado na cláusula 8.1 acima</w:t>
      </w:r>
      <w:bookmarkEnd w:id="53"/>
      <w:r w:rsidRPr="00217E33">
        <w:rPr>
          <w:rFonts w:ascii="Verdana" w:hAnsi="Verdana" w:cs="Times New Roman"/>
          <w:sz w:val="20"/>
          <w:szCs w:val="20"/>
        </w:rPr>
        <w:t>.</w:t>
      </w:r>
      <w:bookmarkEnd w:id="52"/>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4"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4"/>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49"/>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55"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55"/>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Imóvel(is)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56"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56"/>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(ii)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(ii)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2E034B28"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 e desembaraçado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w:t>
      </w:r>
      <w:r w:rsidRPr="00217E33">
        <w:rPr>
          <w:rFonts w:ascii="Verdana" w:hAnsi="Verdana" w:cs="Times New Roman"/>
          <w:sz w:val="20"/>
          <w:szCs w:val="20"/>
        </w:rPr>
        <w:lastRenderedPageBreak/>
        <w:t xml:space="preserve">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Imóvel(is),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Imóvel(is),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imóvel(is)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57" w:name="_Toc510869703"/>
      <w:r w:rsidRPr="00217E33">
        <w:rPr>
          <w:rFonts w:ascii="Verdana" w:hAnsi="Verdana" w:cs="Times New Roman"/>
          <w:sz w:val="20"/>
          <w:szCs w:val="20"/>
        </w:rPr>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 xml:space="preserve">cumpre de forma regular e integral a legislação pertinente à Política Nacional do Meio </w:t>
      </w:r>
      <w:r w:rsidRPr="00455003">
        <w:rPr>
          <w:rFonts w:ascii="Verdana" w:hAnsi="Verdana" w:cs="Times New Roman"/>
          <w:sz w:val="20"/>
          <w:szCs w:val="20"/>
        </w:rPr>
        <w:lastRenderedPageBreak/>
        <w:t>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A falsidade, incorreção ou imprecisão de qualquer das declarações prestadas nesta Cláusula permitirá que a Fiduciária considere as Obrigações Garantidas antecipadamente 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4F66FEDE"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5</w:t>
      </w:r>
      <w:r w:rsidRPr="00C67128">
        <w:rPr>
          <w:rFonts w:ascii="Verdana" w:hAnsi="Verdana" w:cs="Times New Roman"/>
          <w:sz w:val="20"/>
          <w:szCs w:val="20"/>
        </w:rPr>
        <w:tab/>
      </w:r>
      <w:r w:rsidR="00827975" w:rsidRPr="00C67128">
        <w:rPr>
          <w:rFonts w:ascii="Verdana" w:hAnsi="Verdana" w:cs="Times New Roman"/>
          <w:bCs/>
          <w:sz w:val="20"/>
          <w:szCs w:val="20"/>
        </w:rPr>
        <w:t xml:space="preserve">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(ii)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3D4C7379"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6</w:t>
      </w:r>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52A255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r w:rsidR="007510F1">
        <w:rPr>
          <w:rFonts w:ascii="Verdana" w:hAnsi="Verdana" w:cs="Times New Roman"/>
          <w:sz w:val="20"/>
          <w:szCs w:val="20"/>
        </w:rPr>
        <w:t xml:space="preserve">prometer, </w:t>
      </w:r>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w:t>
      </w:r>
      <w:r w:rsidR="001D1733">
        <w:rPr>
          <w:rFonts w:ascii="Verdana" w:hAnsi="Verdana" w:cs="Times New Roman"/>
          <w:sz w:val="20"/>
          <w:szCs w:val="20"/>
        </w:rPr>
        <w:t xml:space="preserve">casos </w:t>
      </w:r>
      <w:r w:rsidRPr="00217E33">
        <w:rPr>
          <w:rFonts w:ascii="Verdana" w:hAnsi="Verdana" w:cs="Times New Roman"/>
          <w:sz w:val="20"/>
          <w:szCs w:val="20"/>
        </w:rPr>
        <w:t>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xml:space="preserve">, ou dentro do prazo previsto pela </w:t>
      </w:r>
      <w:r w:rsidRPr="00217E33">
        <w:rPr>
          <w:rFonts w:ascii="Verdana" w:eastAsia="Times New Roman" w:hAnsi="Verdana" w:cs="Times New Roman"/>
          <w:sz w:val="20"/>
          <w:szCs w:val="20"/>
        </w:rPr>
        <w:lastRenderedPageBreak/>
        <w:t>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(ii) garantir o cumprimento das obrigações assumidas neste Contrato; e/ou (iii)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(ii)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defender, de forma tempestiva e eficaz, qualquer ato, ação, procedimento ou processo que possa afetar, no todo ou em parte, o Imóvel e/ou o cumprimento das Obrigações 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dar ciência deste Contrato e de seus respectivos termos e condições aos seus </w:t>
      </w:r>
      <w:r w:rsidRPr="00607F49">
        <w:rPr>
          <w:rFonts w:ascii="Verdana" w:hAnsi="Verdana" w:cs="Times New Roman"/>
          <w:sz w:val="20"/>
          <w:szCs w:val="20"/>
        </w:rPr>
        <w:lastRenderedPageBreak/>
        <w:t>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autorizar a Fiduciária, ou qualquer terceiro por ela indicado, a inspecionar o Imóvel e toda a documentação a ela relacionada, mediante data e hora a serem previamente acordadas </w:t>
      </w:r>
      <w:r w:rsidRPr="00FD030C">
        <w:rPr>
          <w:rFonts w:ascii="Verdana" w:hAnsi="Verdana" w:cs="Times New Roman"/>
          <w:sz w:val="20"/>
          <w:szCs w:val="20"/>
        </w:rPr>
        <w:t>com a Fiduciante;</w:t>
      </w:r>
    </w:p>
    <w:p w14:paraId="77105723"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sidRPr="00FD030C">
        <w:rPr>
          <w:rFonts w:ascii="Verdana" w:hAnsi="Verdana" w:cs="Times New Roman"/>
          <w:sz w:val="20"/>
          <w:szCs w:val="20"/>
        </w:rPr>
        <w:t>; e</w:t>
      </w:r>
    </w:p>
    <w:p w14:paraId="1728AB55"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0E41894A" w14:textId="1BE8E58D"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pagar ou fazer com que sejam pagos qualquer multa, penalidade, juros</w:t>
      </w:r>
      <w:r w:rsidR="007510F1" w:rsidRPr="00FD030C">
        <w:rPr>
          <w:rFonts w:ascii="Verdana" w:hAnsi="Verdana" w:cs="Times New Roman"/>
          <w:sz w:val="20"/>
          <w:szCs w:val="20"/>
        </w:rPr>
        <w:t xml:space="preserve">, </w:t>
      </w:r>
      <w:r w:rsidRPr="00FD030C">
        <w:rPr>
          <w:rFonts w:ascii="Verdana" w:hAnsi="Verdana" w:cs="Times New Roman"/>
          <w:sz w:val="20"/>
          <w:szCs w:val="20"/>
        </w:rPr>
        <w:t>custos</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tributos ou encargos fiscais e parafiscais que recaiam ou incidam, direta ou indiretamente,</w:t>
      </w:r>
      <w:r w:rsidRPr="00FD030C">
        <w:rPr>
          <w:rFonts w:ascii="Verdana" w:hAnsi="Verdana" w:cs="Times New Roman"/>
          <w:sz w:val="20"/>
          <w:szCs w:val="20"/>
        </w:rPr>
        <w:t xml:space="preserve"> recaiam sobre o Imóvel, governamentais ou não governamentais, atualmente ou no futuro sobre o Imóvel</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 xml:space="preserve">ou sobre </w:t>
      </w:r>
      <w:r w:rsidR="007510F1" w:rsidRPr="0068381D">
        <w:rPr>
          <w:rFonts w:ascii="Verdana" w:hAnsi="Verdana" w:cs="Times New Roman"/>
          <w:bCs/>
          <w:sz w:val="20"/>
          <w:szCs w:val="20"/>
        </w:rPr>
        <w:t>a garantia ora constituída, sobre os valores e pagamentos dela decorrentes, sobre movimentações financeiras a ela relativas e sobre as obrigações decorrentes deste Contrato</w:t>
      </w:r>
      <w:r w:rsidR="002D74FD" w:rsidRPr="00FD030C">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57"/>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58" w:name="_Hlk56537081"/>
      <w:bookmarkStart w:id="59"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58"/>
    <w:bookmarkEnd w:id="59"/>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3"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4"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0EF45C6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w:t>
      </w:r>
      <w:r w:rsidR="0003289E" w:rsidRPr="0003289E">
        <w:rPr>
          <w:rFonts w:ascii="Verdana" w:hAnsi="Verdana" w:cs="Times New Roman"/>
          <w:sz w:val="20"/>
          <w:szCs w:val="20"/>
        </w:rPr>
        <w:t>serão feit</w:t>
      </w:r>
      <w:r w:rsidR="0003289E">
        <w:rPr>
          <w:rFonts w:ascii="Verdana" w:hAnsi="Verdana" w:cs="Times New Roman"/>
          <w:sz w:val="20"/>
          <w:szCs w:val="20"/>
        </w:rPr>
        <w:t>a</w:t>
      </w:r>
      <w:r w:rsidR="0003289E" w:rsidRPr="0003289E">
        <w:rPr>
          <w:rFonts w:ascii="Verdana" w:hAnsi="Verdana" w:cs="Times New Roman"/>
          <w:sz w:val="20"/>
          <w:szCs w:val="20"/>
        </w:rPr>
        <w:t xml:space="preserve">s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w:t>
      </w:r>
      <w:r w:rsidR="0003289E" w:rsidRPr="0003289E">
        <w:rPr>
          <w:rFonts w:ascii="Verdana" w:hAnsi="Verdana" w:cs="Times New Roman"/>
          <w:sz w:val="20"/>
          <w:szCs w:val="20"/>
        </w:rPr>
        <w:lastRenderedPageBreak/>
        <w:t>(b) 10 (dez) dias após o seu despacho, no caso de carta registrada; e (c) na data de recebimento assinada no protocolo, em caso de carta protocolada</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0" w:name="_Ref361939554"/>
      <w:bookmarkStart w:id="61"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2"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0"/>
      <w:bookmarkEnd w:id="62"/>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1"/>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3"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bookmarkEnd w:id="63"/>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(ii)</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4"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64"/>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068D342A"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w:t>
      </w:r>
      <w:r w:rsidR="00FD030C">
        <w:rPr>
          <w:rFonts w:ascii="Verdana" w:hAnsi="Verdana" w:cs="Times New Roman"/>
          <w:b/>
          <w:bCs/>
          <w:sz w:val="20"/>
          <w:szCs w:val="20"/>
          <w:highlight w:val="lightGray"/>
        </w:rPr>
        <w:t>ouza Mello</w:t>
      </w:r>
      <w:r w:rsidR="009B730F" w:rsidRPr="00217E33">
        <w:rPr>
          <w:rFonts w:ascii="Verdana" w:hAnsi="Verdana" w:cs="Times New Roman"/>
          <w:b/>
          <w:bCs/>
          <w:sz w:val="20"/>
          <w:szCs w:val="20"/>
          <w:highlight w:val="lightGray"/>
        </w:rPr>
        <w: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 xml:space="preserve">Inferior ao saldo devedor das Obrigações Garantidas, a Fiduciária ficará exonerada da obrigação de restituição de qualquer quantia, a que título for, para a Fiduciante, </w:t>
      </w:r>
      <w:r w:rsidRPr="00217E33">
        <w:rPr>
          <w:rFonts w:ascii="Verdana" w:hAnsi="Verdana" w:cs="Times New Roman"/>
          <w:sz w:val="20"/>
          <w:szCs w:val="20"/>
          <w:highlight w:val="lightGray"/>
        </w:rPr>
        <w:lastRenderedPageBreak/>
        <w:t>continuando, neste caso, a Fiduciante responsável pela integral liquidação das Obrigações 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3793D597"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115A474B"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5" w:name="_DV_M134"/>
      <w:bookmarkStart w:id="66" w:name="_Hlk61963104"/>
      <w:bookmarkEnd w:id="65"/>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66"/>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67"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68" w:name="_DV_M191"/>
      <w:bookmarkEnd w:id="68"/>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69" w:name="_DV_M484"/>
      <w:bookmarkStart w:id="70" w:name="_DV_M495"/>
      <w:bookmarkStart w:id="71" w:name="_DV_M498"/>
      <w:bookmarkStart w:id="72" w:name="_DV_M499"/>
      <w:bookmarkStart w:id="73" w:name="_DV_M501"/>
      <w:bookmarkStart w:id="74" w:name="_DV_M502"/>
      <w:bookmarkEnd w:id="69"/>
      <w:bookmarkEnd w:id="70"/>
      <w:bookmarkEnd w:id="71"/>
      <w:bookmarkEnd w:id="72"/>
      <w:bookmarkEnd w:id="73"/>
      <w:bookmarkEnd w:id="74"/>
      <w:r w:rsidRPr="00217E33">
        <w:rPr>
          <w:rFonts w:ascii="Verdana" w:hAnsi="Verdana" w:cs="Times New Roman"/>
          <w:sz w:val="20"/>
          <w:szCs w:val="20"/>
        </w:rPr>
        <w:lastRenderedPageBreak/>
        <w:t xml:space="preserve">E, por estarem assim, justas e contratadas, as Partes assinam este Contrato em formato digital, 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r w:rsidR="00B813E8" w:rsidRPr="00B813E8">
        <w:rPr>
          <w:rFonts w:ascii="Verdana" w:hAnsi="Verdana" w:cs="Times New Roman"/>
          <w:i/>
          <w:sz w:val="20"/>
          <w:szCs w:val="20"/>
        </w:rPr>
        <w:t>Apogee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75"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75"/>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76"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76"/>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77"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67"/>
      <w:bookmarkEnd w:id="77"/>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5"/>
          <w:footerReference w:type="even" r:id="rId16"/>
          <w:footerReference w:type="default" r:id="rId17"/>
          <w:footerReference w:type="first" r:id="rId18"/>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stado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V.Sa,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78"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“Empreendimento Cyano”</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rFonts w:ascii="Verdana" w:hAnsi="Verdana"/>
                <w:iCs/>
                <w:sz w:val="20"/>
                <w:szCs w:val="20"/>
              </w:rPr>
            </w:pPr>
            <w:r>
              <w:rPr>
                <w:rFonts w:ascii="Verdana" w:hAnsi="Verdana"/>
                <w:iCs/>
                <w:sz w:val="20"/>
                <w:szCs w:val="20"/>
              </w:rPr>
              <w:t>Aquisição</w:t>
            </w:r>
          </w:p>
        </w:tc>
        <w:tc>
          <w:tcPr>
            <w:tcW w:w="6946" w:type="dxa"/>
          </w:tcPr>
          <w:p w14:paraId="3BDB060C" w14:textId="51D9C884" w:rsidR="007510F1" w:rsidRDefault="007510F1" w:rsidP="00217E33">
            <w:pPr>
              <w:widowControl w:val="0"/>
              <w:tabs>
                <w:tab w:val="left" w:pos="426"/>
              </w:tabs>
              <w:spacing w:line="320" w:lineRule="exact"/>
              <w:contextualSpacing/>
              <w:rPr>
                <w:rFonts w:ascii="Verdana" w:eastAsia="Times New Roman" w:hAnsi="Verdana" w:cs="Arial"/>
                <w:sz w:val="20"/>
                <w:szCs w:val="20"/>
              </w:rPr>
            </w:pPr>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78"/>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289E"/>
    <w:rsid w:val="000378E1"/>
    <w:rsid w:val="00037A93"/>
    <w:rsid w:val="00050A77"/>
    <w:rsid w:val="00061891"/>
    <w:rsid w:val="00065CAB"/>
    <w:rsid w:val="0006636F"/>
    <w:rsid w:val="0007678F"/>
    <w:rsid w:val="00086C06"/>
    <w:rsid w:val="00093959"/>
    <w:rsid w:val="0009677D"/>
    <w:rsid w:val="000B4F28"/>
    <w:rsid w:val="000D27B3"/>
    <w:rsid w:val="000D6583"/>
    <w:rsid w:val="000F4412"/>
    <w:rsid w:val="000F5762"/>
    <w:rsid w:val="000F6F5A"/>
    <w:rsid w:val="001004A3"/>
    <w:rsid w:val="00101A65"/>
    <w:rsid w:val="00112483"/>
    <w:rsid w:val="001207ED"/>
    <w:rsid w:val="0012594F"/>
    <w:rsid w:val="00131057"/>
    <w:rsid w:val="00152268"/>
    <w:rsid w:val="00154D8A"/>
    <w:rsid w:val="001628A9"/>
    <w:rsid w:val="00164133"/>
    <w:rsid w:val="00165CE2"/>
    <w:rsid w:val="00170490"/>
    <w:rsid w:val="00173C21"/>
    <w:rsid w:val="00192D76"/>
    <w:rsid w:val="001A5A5C"/>
    <w:rsid w:val="001D1733"/>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80D27"/>
    <w:rsid w:val="0068381D"/>
    <w:rsid w:val="006A0BA1"/>
    <w:rsid w:val="006D54EF"/>
    <w:rsid w:val="006E1426"/>
    <w:rsid w:val="00704D31"/>
    <w:rsid w:val="00731FFC"/>
    <w:rsid w:val="00734B6B"/>
    <w:rsid w:val="007510F1"/>
    <w:rsid w:val="0075700C"/>
    <w:rsid w:val="00770DF4"/>
    <w:rsid w:val="007772D1"/>
    <w:rsid w:val="00787764"/>
    <w:rsid w:val="0079657E"/>
    <w:rsid w:val="007A009F"/>
    <w:rsid w:val="007A10C8"/>
    <w:rsid w:val="007A4880"/>
    <w:rsid w:val="007B4561"/>
    <w:rsid w:val="007C276B"/>
    <w:rsid w:val="007C2DF7"/>
    <w:rsid w:val="007D2FB9"/>
    <w:rsid w:val="007E29B5"/>
    <w:rsid w:val="00806751"/>
    <w:rsid w:val="00821198"/>
    <w:rsid w:val="00827975"/>
    <w:rsid w:val="00831BAA"/>
    <w:rsid w:val="008337D7"/>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E0A7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54338"/>
    <w:rsid w:val="00C60B3D"/>
    <w:rsid w:val="00C66C2A"/>
    <w:rsid w:val="00C67128"/>
    <w:rsid w:val="00C80310"/>
    <w:rsid w:val="00C843CA"/>
    <w:rsid w:val="00CB0328"/>
    <w:rsid w:val="00CB48B2"/>
    <w:rsid w:val="00CC2351"/>
    <w:rsid w:val="00CD1B6B"/>
    <w:rsid w:val="00CE5529"/>
    <w:rsid w:val="00CE68A5"/>
    <w:rsid w:val="00D15939"/>
    <w:rsid w:val="00D25B59"/>
    <w:rsid w:val="00D80278"/>
    <w:rsid w:val="00D84617"/>
    <w:rsid w:val="00DC1EB0"/>
    <w:rsid w:val="00DD654D"/>
    <w:rsid w:val="00E033BE"/>
    <w:rsid w:val="00E263DB"/>
    <w:rsid w:val="00E26EC7"/>
    <w:rsid w:val="00E4646A"/>
    <w:rsid w:val="00E53628"/>
    <w:rsid w:val="00E57FED"/>
    <w:rsid w:val="00E75E0C"/>
    <w:rsid w:val="00E84528"/>
    <w:rsid w:val="00E85ADC"/>
    <w:rsid w:val="00E9677A"/>
    <w:rsid w:val="00EA6B97"/>
    <w:rsid w:val="00EB4661"/>
    <w:rsid w:val="00EC525E"/>
    <w:rsid w:val="00ED18BA"/>
    <w:rsid w:val="00ED30C7"/>
    <w:rsid w:val="00ED36E6"/>
    <w:rsid w:val="00EE0AAF"/>
    <w:rsid w:val="00EF6606"/>
    <w:rsid w:val="00F610E2"/>
    <w:rsid w:val="00F826E6"/>
    <w:rsid w:val="00F87C5D"/>
    <w:rsid w:val="00F907E9"/>
    <w:rsid w:val="00F91522"/>
    <w:rsid w:val="00FA251B"/>
    <w:rsid w:val="00FB4B0C"/>
    <w:rsid w:val="00FC4FC6"/>
    <w:rsid w:val="00FD030C"/>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Z6T7QTDKVZXK-1263345261-8434</_dlc_DocId>
    <_dlc_DocIdUrl xmlns="ebb31b51-72fb-402c-a91c-f2b224538f9b">
      <Url>https://paramis.sharepoint.com/sites/Paramis/_layouts/15/DocIdRedir.aspx?ID=Z6T7QTDKVZXK-1263345261-8434</Url>
      <Description>Z6T7QTDKVZXK-1263345261-8434</Description>
    </_dlc_DocIdUrl>
  </documentManagement>
</p:properties>
</file>

<file path=customXml/itemProps1.xml><?xml version="1.0" encoding="utf-8"?>
<ds:datastoreItem xmlns:ds="http://schemas.openxmlformats.org/officeDocument/2006/customXml" ds:itemID="{37C759B4-6FB3-4D9B-B079-97967DCF817B}">
  <ds:schemaRefs>
    <ds:schemaRef ds:uri="http://www.imanage.com/work/xmlschema"/>
  </ds:schemaRefs>
</ds:datastoreItem>
</file>

<file path=customXml/itemProps2.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3.xml><?xml version="1.0" encoding="utf-8"?>
<ds:datastoreItem xmlns:ds="http://schemas.openxmlformats.org/officeDocument/2006/customXml" ds:itemID="{5884D614-8F0F-47A5-971F-36823AFA9875}">
  <ds:schemaRefs>
    <ds:schemaRef ds:uri="http://schemas.microsoft.com/sharepoint/events"/>
  </ds:schemaRefs>
</ds:datastoreItem>
</file>

<file path=customXml/itemProps4.xml><?xml version="1.0" encoding="utf-8"?>
<ds:datastoreItem xmlns:ds="http://schemas.openxmlformats.org/officeDocument/2006/customXml" ds:itemID="{C1633265-78B8-4A7D-B1E8-B02B1667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DBCBE3-855A-4217-8A5A-0C68AA0A5F8F}">
  <ds:schemaRefs>
    <ds:schemaRef ds:uri="http://schemas.openxmlformats.org/officeDocument/2006/bibliography"/>
  </ds:schemaRefs>
</ds:datastoreItem>
</file>

<file path=customXml/itemProps6.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11633</Words>
  <Characters>66775</Characters>
  <Application>Microsoft Office Word</Application>
  <DocSecurity>0</DocSecurity>
  <Lines>1451</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29</cp:revision>
  <dcterms:created xsi:type="dcterms:W3CDTF">2021-05-03T16:48:00Z</dcterms:created>
  <dcterms:modified xsi:type="dcterms:W3CDTF">2021-06-04T01:23:00Z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71de6d56-bf42-4cbd-86c8-53cc6cc53886</vt:lpwstr>
  </property>
</Properties>
</file>