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3EB58BCB"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8B706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3ED3BDD" w:rsidR="001A5D1C" w:rsidRPr="00F753E0"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2E11D32D" w:rsidR="001A5D1C" w:rsidRPr="00F753E0" w:rsidRDefault="00676BF6"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956B46"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60F7AF08" w:rsidR="00F753E0" w:rsidRPr="00D96314" w:rsidRDefault="00956B46"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956B46"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956B4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956B4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956B46"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956B46"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956B46" w:rsidP="00F753E0">
      <w:pPr>
        <w:pStyle w:val="Sumrio1"/>
        <w:rPr>
          <w:rFonts w:asciiTheme="minorHAnsi" w:hAnsiTheme="minorHAnsi" w:cstheme="minorHAnsi"/>
          <w:bCs w:val="0"/>
          <w:caps/>
          <w:smallCaps/>
          <w:sz w:val="22"/>
          <w:szCs w:val="22"/>
          <w:lang w:val="pt-BR"/>
        </w:rPr>
      </w:pPr>
      <w:r>
        <w:fldChar w:fldCharType="begin"/>
      </w:r>
      <w:r w:rsidRPr="00956B46">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956B46" w:rsidP="00F753E0">
      <w:pPr>
        <w:pStyle w:val="Sumrio1"/>
        <w:rPr>
          <w:rFonts w:asciiTheme="minorHAnsi" w:hAnsiTheme="minorHAnsi" w:cstheme="minorHAnsi"/>
          <w:bCs w:val="0"/>
          <w:caps/>
          <w:smallCaps/>
          <w:sz w:val="22"/>
          <w:szCs w:val="22"/>
          <w:lang w:val="pt-BR"/>
        </w:rPr>
      </w:pPr>
      <w:r>
        <w:fldChar w:fldCharType="begin"/>
      </w:r>
      <w:r w:rsidRPr="00956B46">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956B46" w:rsidP="00F753E0">
      <w:pPr>
        <w:pStyle w:val="Sumrio1"/>
        <w:rPr>
          <w:rFonts w:asciiTheme="minorHAnsi" w:hAnsiTheme="minorHAnsi" w:cstheme="minorHAnsi"/>
          <w:bCs w:val="0"/>
          <w:caps/>
          <w:smallCaps/>
          <w:sz w:val="22"/>
          <w:szCs w:val="22"/>
          <w:lang w:val="pt-BR"/>
        </w:rPr>
      </w:pPr>
      <w:r>
        <w:fldChar w:fldCharType="begin"/>
      </w:r>
      <w:r w:rsidRPr="00956B46">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956B46" w:rsidP="00F753E0">
      <w:pPr>
        <w:pStyle w:val="Sumrio1"/>
        <w:rPr>
          <w:rFonts w:asciiTheme="minorHAnsi" w:hAnsiTheme="minorHAnsi" w:cstheme="minorHAnsi"/>
          <w:bCs w:val="0"/>
          <w:caps/>
          <w:smallCaps/>
          <w:sz w:val="22"/>
          <w:szCs w:val="22"/>
          <w:lang w:val="pt-BR"/>
        </w:rPr>
      </w:pPr>
      <w:r>
        <w:fldChar w:fldCharType="begin"/>
      </w:r>
      <w:r w:rsidRPr="00956B46">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956B46" w:rsidP="00F753E0">
      <w:pPr>
        <w:pStyle w:val="Sumrio1"/>
        <w:rPr>
          <w:rFonts w:asciiTheme="minorHAnsi" w:hAnsiTheme="minorHAnsi" w:cstheme="minorHAnsi"/>
          <w:bCs w:val="0"/>
          <w:caps/>
          <w:smallCaps/>
          <w:sz w:val="22"/>
          <w:szCs w:val="22"/>
          <w:lang w:val="pt-BR"/>
        </w:rPr>
      </w:pPr>
      <w:r>
        <w:fldChar w:fldCharType="begin"/>
      </w:r>
      <w:r w:rsidRPr="00956B46">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22</w:t>
      </w:r>
    </w:p>
    <w:p w14:paraId="496FD5EE" w14:textId="4B820350" w:rsidR="00F753E0" w:rsidRPr="00D96314" w:rsidRDefault="00956B46" w:rsidP="00F753E0">
      <w:pPr>
        <w:pStyle w:val="Sumrio1"/>
        <w:rPr>
          <w:rStyle w:val="Hyperlink"/>
          <w:rFonts w:asciiTheme="minorHAnsi" w:hAnsiTheme="minorHAnsi" w:cstheme="minorHAnsi"/>
          <w:color w:val="auto"/>
          <w:sz w:val="22"/>
          <w:szCs w:val="22"/>
          <w:u w:val="none"/>
          <w:lang w:val="pt-BR"/>
        </w:rPr>
      </w:pPr>
      <w:r>
        <w:fldChar w:fldCharType="begin"/>
      </w:r>
      <w:r w:rsidRPr="00956B46">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24</w:t>
      </w:r>
    </w:p>
    <w:p w14:paraId="626EEF0A" w14:textId="5C638CB4" w:rsidR="00F753E0" w:rsidRPr="00D96314" w:rsidRDefault="00956B46" w:rsidP="00F753E0">
      <w:pPr>
        <w:pStyle w:val="Sumrio1"/>
        <w:rPr>
          <w:rFonts w:asciiTheme="minorHAnsi" w:hAnsiTheme="minorHAnsi" w:cstheme="minorHAnsi"/>
          <w:bCs w:val="0"/>
          <w:caps/>
          <w:smallCaps/>
          <w:sz w:val="22"/>
          <w:szCs w:val="22"/>
          <w:lang w:val="pt-BR"/>
        </w:rPr>
      </w:pPr>
      <w:r>
        <w:fldChar w:fldCharType="begin"/>
      </w:r>
      <w:r w:rsidRPr="00956B46">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26</w:t>
      </w:r>
    </w:p>
    <w:p w14:paraId="54D53BD5" w14:textId="04D3ADB6" w:rsidR="00F753E0" w:rsidRPr="00D96314" w:rsidRDefault="00956B46" w:rsidP="00F753E0">
      <w:pPr>
        <w:pStyle w:val="Sumrio1"/>
        <w:rPr>
          <w:rFonts w:asciiTheme="minorHAnsi" w:hAnsiTheme="minorHAnsi" w:cstheme="minorHAnsi"/>
          <w:bCs w:val="0"/>
          <w:caps/>
          <w:smallCaps/>
          <w:sz w:val="22"/>
          <w:szCs w:val="22"/>
          <w:lang w:val="pt-BR"/>
        </w:rPr>
      </w:pPr>
      <w:r>
        <w:fldChar w:fldCharType="begin"/>
      </w:r>
      <w:r w:rsidRPr="00956B46">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27</w:t>
      </w:r>
    </w:p>
    <w:p w14:paraId="1365351F" w14:textId="46DB0F1B" w:rsidR="00F753E0" w:rsidRDefault="00956B46" w:rsidP="00F753E0">
      <w:pPr>
        <w:pStyle w:val="Sumrio1"/>
        <w:rPr>
          <w:rStyle w:val="Hyperlink"/>
          <w:rFonts w:asciiTheme="minorHAnsi" w:hAnsiTheme="minorHAnsi" w:cstheme="minorHAnsi"/>
          <w:color w:val="auto"/>
          <w:sz w:val="22"/>
          <w:szCs w:val="22"/>
          <w:u w:val="none"/>
          <w:lang w:val="pt-BR"/>
        </w:rPr>
      </w:pPr>
      <w:r>
        <w:fldChar w:fldCharType="begin"/>
      </w:r>
      <w:r w:rsidRPr="00956B46">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31</w:t>
      </w:r>
    </w:p>
    <w:p w14:paraId="455D3FED" w14:textId="1F0B149F" w:rsidR="009C0FCA" w:rsidRDefault="00956B46" w:rsidP="009C0FCA">
      <w:pPr>
        <w:pStyle w:val="Sumrio1"/>
        <w:rPr>
          <w:rStyle w:val="Hyperlink"/>
          <w:rFonts w:asciiTheme="minorHAnsi" w:hAnsiTheme="minorHAnsi" w:cstheme="minorHAnsi"/>
          <w:color w:val="auto"/>
          <w:sz w:val="22"/>
          <w:szCs w:val="22"/>
          <w:u w:val="none"/>
          <w:lang w:val="pt-BR"/>
        </w:rPr>
      </w:pPr>
      <w:r>
        <w:fldChar w:fldCharType="begin"/>
      </w:r>
      <w:r w:rsidRPr="00956B46">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16CF1D47"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8B706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A152D2F" w:rsidR="00F753E0" w:rsidRPr="00F753E0"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u w:val="single"/>
        </w:rPr>
        <w:t>Alienante Fiduciante</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32F9CBB4" w:rsidR="00F753E0" w:rsidRPr="00F753E0" w:rsidRDefault="00676BF6"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17457A52" w:rsidR="00F753E0" w:rsidRPr="00F753E0" w:rsidRDefault="00B465CD"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 Devedora</w:t>
      </w:r>
      <w:r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Pr="005E0028">
        <w:rPr>
          <w:rFonts w:asciiTheme="minorHAnsi" w:hAnsiTheme="minorHAnsi" w:cstheme="minorHAnsi"/>
          <w:sz w:val="22"/>
          <w:szCs w:val="22"/>
        </w:rPr>
        <w:t xml:space="preserve">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Pr="00A32A2B">
        <w:rPr>
          <w:rFonts w:asciiTheme="minorHAnsi" w:hAnsiTheme="minorHAnsi" w:cstheme="minorHAnsi"/>
          <w:sz w:val="22"/>
          <w:szCs w:val="22"/>
          <w:highlight w:val="yellow"/>
        </w:rPr>
        <w:t>[●]</w:t>
      </w:r>
      <w:r w:rsidRPr="00A32A2B">
        <w:rPr>
          <w:rFonts w:asciiTheme="minorHAnsi" w:hAnsiTheme="minorHAnsi" w:cstheme="minorHAnsi"/>
          <w:sz w:val="22"/>
          <w:szCs w:val="22"/>
        </w:rPr>
        <w:t xml:space="preserve"> </w:t>
      </w:r>
      <w:r>
        <w:rPr>
          <w:rFonts w:asciiTheme="minorHAnsi" w:hAnsiTheme="minorHAnsi" w:cstheme="minorHAnsi"/>
          <w:iCs/>
          <w:sz w:val="22"/>
          <w:szCs w:val="22"/>
        </w:rPr>
        <w:t>de junho de 2021</w:t>
      </w:r>
      <w:r w:rsidRPr="00F753E0">
        <w:rPr>
          <w:rFonts w:asciiTheme="minorHAnsi" w:hAnsiTheme="minorHAnsi" w:cstheme="minorHAnsi"/>
          <w:i/>
          <w:sz w:val="22"/>
          <w:szCs w:val="22"/>
        </w:rPr>
        <w:t xml:space="preserve"> </w:t>
      </w:r>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7DB6B5CA"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sidRPr="00AE4DEA">
        <w:rPr>
          <w:rFonts w:asciiTheme="minorHAnsi" w:eastAsia="MS Mincho" w:hAnsiTheme="minorHAnsi" w:cstheme="minorHAnsi"/>
          <w:sz w:val="22"/>
          <w:szCs w:val="22"/>
        </w:rPr>
        <w:t>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w:t>
      </w:r>
      <w:r w:rsidR="008F17C2">
        <w:rPr>
          <w:rFonts w:asciiTheme="minorHAnsi" w:eastAsia="MS Mincho" w:hAnsiTheme="minorHAnsi" w:cstheme="minorHAnsi"/>
          <w:sz w:val="22"/>
          <w:szCs w:val="22"/>
          <w:u w:val="single"/>
        </w:rPr>
        <w:t>7</w:t>
      </w:r>
      <w:r w:rsidR="002003D5">
        <w:rPr>
          <w:rFonts w:asciiTheme="minorHAnsi" w:eastAsia="MS Mincho" w:hAnsiTheme="minorHAnsi" w:cstheme="minorHAnsi"/>
          <w:sz w:val="22"/>
          <w:szCs w:val="22"/>
          <w:u w:val="single"/>
        </w:rPr>
        <w:t>ª Série</w:t>
      </w:r>
      <w:r w:rsidRPr="00AE4DEA">
        <w:rPr>
          <w:rFonts w:asciiTheme="minorHAnsi" w:hAnsiTheme="minorHAnsi" w:cstheme="minorHAnsi"/>
          <w:sz w:val="22"/>
          <w:szCs w:val="22"/>
        </w:rPr>
        <w:t xml:space="preserve">”), que representará </w:t>
      </w:r>
      <w:r w:rsidR="00F521CB" w:rsidRPr="00AE4DEA">
        <w:rPr>
          <w:rFonts w:ascii="Calibri" w:hAnsi="Calibri" w:cs="Calibri"/>
          <w:sz w:val="22"/>
          <w:szCs w:val="22"/>
        </w:rPr>
        <w:t>18,75% (dezoito inteiros e setenta e cinco centésimos por cento)</w:t>
      </w:r>
      <w:r w:rsidRPr="00AE4DEA">
        <w:rPr>
          <w:rFonts w:asciiTheme="minorHAnsi" w:hAnsiTheme="minorHAnsi" w:cstheme="minorHAnsi"/>
          <w:sz w:val="22"/>
          <w:szCs w:val="22"/>
        </w:rPr>
        <w:t xml:space="preserve"> dos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676BF6">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395E29E7"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8B7065">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w:t>
      </w:r>
      <w:r w:rsidR="008B7065">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w:t>
      </w:r>
      <w:r w:rsidR="000E1CB2">
        <w:rPr>
          <w:rFonts w:ascii="Calibri" w:hAnsi="Calibri" w:cs="Calibri"/>
          <w:b/>
          <w:bCs/>
          <w:sz w:val="22"/>
          <w:szCs w:val="22"/>
        </w:rPr>
        <w:t>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4B424823"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E44608">
        <w:rPr>
          <w:rFonts w:asciiTheme="minorHAnsi" w:hAnsiTheme="minorHAnsi" w:cstheme="minorHAnsi"/>
          <w:sz w:val="22"/>
          <w:szCs w:val="22"/>
        </w:rPr>
        <w:t xml:space="preserve">promessas de cessões fiduciárias </w:t>
      </w:r>
      <w:r w:rsidRPr="00F753E0">
        <w:rPr>
          <w:rFonts w:asciiTheme="minorHAnsi" w:hAnsiTheme="minorHAnsi" w:cstheme="minorHAnsi"/>
          <w:sz w:val="22"/>
          <w:szCs w:val="22"/>
        </w:rPr>
        <w:t>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Fiduciária </w:t>
      </w:r>
      <w:r w:rsidR="00810D50">
        <w:rPr>
          <w:rFonts w:asciiTheme="minorHAnsi" w:hAnsiTheme="minorHAnsi" w:cstheme="minorHAnsi"/>
          <w:i/>
          <w:sz w:val="22"/>
          <w:szCs w:val="22"/>
        </w:rPr>
        <w:t xml:space="preserve">e Promessa de Cessão Fiduciária </w:t>
      </w:r>
      <w:r w:rsidRPr="00F753E0">
        <w:rPr>
          <w:rFonts w:asciiTheme="minorHAnsi" w:hAnsiTheme="minorHAnsi" w:cstheme="minorHAnsi"/>
          <w:i/>
          <w:sz w:val="22"/>
          <w:szCs w:val="22"/>
        </w:rPr>
        <w:t>em Garantia</w:t>
      </w:r>
      <w:r w:rsidRPr="00F753E0">
        <w:rPr>
          <w:rFonts w:asciiTheme="minorHAnsi" w:hAnsiTheme="minorHAnsi" w:cstheme="minorHAnsi"/>
          <w:sz w:val="22"/>
          <w:szCs w:val="22"/>
        </w:rPr>
        <w:t>”</w:t>
      </w:r>
      <w:r w:rsidR="00956B46" w:rsidRPr="00956B46">
        <w:rPr>
          <w:rFonts w:ascii="Calibri" w:hAnsi="Calibri" w:cs="Calibri"/>
        </w:rPr>
        <w:t xml:space="preserve"> </w:t>
      </w:r>
      <w:r w:rsidR="00956B46">
        <w:rPr>
          <w:rFonts w:ascii="Calibri" w:hAnsi="Calibri" w:cs="Calibri"/>
        </w:rPr>
        <w:t xml:space="preserve">e </w:t>
      </w:r>
      <w:r w:rsidR="00956B46" w:rsidRPr="00AE5589">
        <w:rPr>
          <w:rFonts w:ascii="Calibri" w:hAnsi="Calibri" w:cs="Calibri"/>
        </w:rPr>
        <w:t>“</w:t>
      </w:r>
      <w:r w:rsidR="00956B46" w:rsidRPr="00AE5589">
        <w:rPr>
          <w:rFonts w:ascii="Calibri" w:hAnsi="Calibri" w:cs="Calibri"/>
          <w:i/>
        </w:rPr>
        <w:t>Instrumento Particular de Constituição de Cessão Fiduciária em Garantia</w:t>
      </w:r>
      <w:r w:rsidR="00956B46" w:rsidRPr="00AE5589">
        <w:rPr>
          <w:rFonts w:ascii="Calibri" w:hAnsi="Calibri" w:cs="Calibri"/>
        </w:rPr>
        <w:t>”</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a Usina Esmeralda, a Usina Magnólia, a Usina Pau Brasil, a Usina Turquesa</w:t>
      </w:r>
      <w:r w:rsidR="00CA6D57">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w:t>
      </w:r>
      <w:r w:rsidRPr="00810D50">
        <w:rPr>
          <w:rFonts w:asciiTheme="minorHAnsi" w:eastAsia="Arial Unicode MS" w:hAnsiTheme="minorHAnsi" w:cstheme="minorHAnsi"/>
          <w:bCs/>
          <w:w w:val="0"/>
          <w:sz w:val="22"/>
          <w:szCs w:val="22"/>
          <w:u w:val="single"/>
        </w:rPr>
        <w:t>Cessão Fiduciária</w:t>
      </w:r>
      <w:r w:rsidR="00810D50" w:rsidRPr="00810D50">
        <w:rPr>
          <w:rFonts w:asciiTheme="minorHAnsi" w:hAnsiTheme="minorHAnsi" w:cstheme="minorHAnsi"/>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49C218F2"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8B7065">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CA6D57">
        <w:rPr>
          <w:rFonts w:ascii="Calibri" w:hAnsi="Calibri" w:cs="Calibri"/>
          <w:sz w:val="22"/>
          <w:szCs w:val="22"/>
        </w:rPr>
        <w:t>,</w:t>
      </w:r>
      <w:r w:rsidR="0057286D">
        <w:rPr>
          <w:rFonts w:ascii="Calibri" w:hAnsi="Calibri" w:cs="Calibri"/>
          <w:sz w:val="22"/>
          <w:szCs w:val="22"/>
        </w:rPr>
        <w:t xml:space="preserv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0A1373EE"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8B706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F0420">
        <w:rPr>
          <w:rFonts w:asciiTheme="minorHAnsi" w:hAnsiTheme="minorHAnsi" w:cstheme="minorHAnsi"/>
          <w:sz w:val="22"/>
          <w:szCs w:val="22"/>
        </w:rPr>
        <w:t xml:space="preserve">, </w:t>
      </w:r>
      <w:r w:rsidR="009F0420" w:rsidRPr="001B349C">
        <w:rPr>
          <w:rFonts w:asciiTheme="minorHAnsi" w:hAnsiTheme="minorHAnsi" w:cstheme="minorHAnsi"/>
          <w:sz w:val="22"/>
          <w:szCs w:val="22"/>
        </w:rPr>
        <w:t xml:space="preserve">bem como </w:t>
      </w:r>
      <w:r w:rsidR="008B7065">
        <w:rPr>
          <w:rFonts w:asciiTheme="minorHAnsi" w:hAnsiTheme="minorHAnsi" w:cstheme="minorHAnsi"/>
          <w:sz w:val="22"/>
          <w:szCs w:val="22"/>
        </w:rPr>
        <w:t xml:space="preserve">as promessas de </w:t>
      </w:r>
      <w:r w:rsidR="009F0420" w:rsidRPr="001B349C">
        <w:rPr>
          <w:rFonts w:asciiTheme="minorHAnsi" w:hAnsiTheme="minorHAnsi" w:cstheme="minorHAnsi"/>
          <w:sz w:val="22"/>
          <w:szCs w:val="22"/>
        </w:rPr>
        <w:t xml:space="preserve">alienações fiduciárias de Bens e Equipamentos, de acordo com os termos e condições de cada </w:t>
      </w:r>
      <w:r w:rsidR="009F0420" w:rsidRPr="00974B55">
        <w:rPr>
          <w:rFonts w:asciiTheme="minorHAnsi" w:hAnsiTheme="minorHAnsi" w:cstheme="minorHAnsi"/>
          <w:i/>
          <w:iCs/>
          <w:sz w:val="22"/>
          <w:szCs w:val="22"/>
        </w:rPr>
        <w:t xml:space="preserve">“Instrumento Particular de </w:t>
      </w:r>
      <w:r w:rsidR="008B7065">
        <w:rPr>
          <w:rFonts w:asciiTheme="minorHAnsi" w:hAnsiTheme="minorHAnsi" w:cstheme="minorHAnsi"/>
          <w:i/>
          <w:iCs/>
          <w:sz w:val="22"/>
          <w:szCs w:val="22"/>
        </w:rPr>
        <w:t xml:space="preserve">Promessa de </w:t>
      </w:r>
      <w:r w:rsidR="009F0420" w:rsidRPr="00974B55">
        <w:rPr>
          <w:rFonts w:asciiTheme="minorHAnsi" w:hAnsiTheme="minorHAnsi" w:cstheme="minorHAnsi"/>
          <w:i/>
          <w:iCs/>
          <w:sz w:val="22"/>
          <w:szCs w:val="22"/>
        </w:rPr>
        <w:t>Constituição de Alienação Fiduciária de Bens e Equipamentos em Garantia”</w:t>
      </w:r>
      <w:r w:rsidR="009F0420" w:rsidRPr="001B349C">
        <w:rPr>
          <w:rFonts w:asciiTheme="minorHAnsi" w:hAnsiTheme="minorHAnsi" w:cstheme="minorHAnsi"/>
          <w:sz w:val="22"/>
          <w:szCs w:val="22"/>
        </w:rPr>
        <w:t xml:space="preserve">, celebrados entre </w:t>
      </w:r>
      <w:r w:rsidR="009F0420">
        <w:rPr>
          <w:rFonts w:asciiTheme="minorHAnsi" w:hAnsiTheme="minorHAnsi" w:cstheme="minorHAnsi"/>
          <w:sz w:val="22"/>
          <w:szCs w:val="22"/>
        </w:rPr>
        <w:t xml:space="preserve">a </w:t>
      </w:r>
      <w:r w:rsidR="009F0420" w:rsidRPr="001B349C">
        <w:rPr>
          <w:rFonts w:asciiTheme="minorHAnsi" w:hAnsiTheme="minorHAnsi" w:cstheme="minorHAnsi"/>
          <w:sz w:val="22"/>
          <w:szCs w:val="22"/>
        </w:rPr>
        <w:t xml:space="preserve">Usina Esmeralda, </w:t>
      </w:r>
      <w:r w:rsidR="009F0420">
        <w:rPr>
          <w:rFonts w:asciiTheme="minorHAnsi" w:hAnsiTheme="minorHAnsi" w:cstheme="minorHAnsi"/>
          <w:sz w:val="22"/>
          <w:szCs w:val="22"/>
        </w:rPr>
        <w:t xml:space="preserve">a Usina Magnólia, a Usina Pau Brasil, </w:t>
      </w:r>
      <w:r w:rsidR="009F0420" w:rsidRPr="001B349C">
        <w:rPr>
          <w:rFonts w:asciiTheme="minorHAnsi" w:hAnsiTheme="minorHAnsi" w:cstheme="minorHAnsi"/>
          <w:sz w:val="22"/>
          <w:szCs w:val="22"/>
        </w:rPr>
        <w:t>a Usina Turquesa</w:t>
      </w:r>
      <w:r w:rsidR="00B413E1">
        <w:rPr>
          <w:rFonts w:asciiTheme="minorHAnsi" w:hAnsiTheme="minorHAnsi" w:cstheme="minorHAnsi"/>
          <w:sz w:val="22"/>
          <w:szCs w:val="22"/>
        </w:rPr>
        <w:t>, a Usina Safira</w:t>
      </w:r>
      <w:r w:rsidR="009F0420" w:rsidRPr="001B349C">
        <w:rPr>
          <w:rFonts w:asciiTheme="minorHAnsi" w:hAnsiTheme="minorHAnsi" w:cstheme="minorHAnsi"/>
          <w:sz w:val="22"/>
          <w:szCs w:val="22"/>
        </w:rPr>
        <w:t xml:space="preserve"> e a Fiduciária, em </w:t>
      </w:r>
      <w:r w:rsidR="009F0420" w:rsidRPr="00974B55">
        <w:rPr>
          <w:rFonts w:asciiTheme="minorHAnsi" w:hAnsiTheme="minorHAnsi" w:cstheme="minorHAnsi"/>
          <w:sz w:val="22"/>
          <w:szCs w:val="22"/>
          <w:highlight w:val="yellow"/>
        </w:rPr>
        <w:t>[•]</w:t>
      </w:r>
      <w:r w:rsidR="009F0420" w:rsidRPr="001B349C">
        <w:rPr>
          <w:rFonts w:asciiTheme="minorHAnsi" w:hAnsiTheme="minorHAnsi" w:cstheme="minorHAnsi"/>
          <w:sz w:val="22"/>
          <w:szCs w:val="22"/>
        </w:rPr>
        <w:t xml:space="preserve"> de junho de 2021 (“</w:t>
      </w:r>
      <w:r w:rsidR="009F0420" w:rsidRPr="009F0420">
        <w:rPr>
          <w:rFonts w:asciiTheme="minorHAnsi" w:hAnsiTheme="minorHAnsi" w:cstheme="minorHAnsi"/>
          <w:sz w:val="22"/>
          <w:szCs w:val="22"/>
          <w:u w:val="single"/>
        </w:rPr>
        <w:t xml:space="preserve">Contratos </w:t>
      </w:r>
      <w:r w:rsidR="008B7065">
        <w:rPr>
          <w:rFonts w:asciiTheme="minorHAnsi" w:hAnsiTheme="minorHAnsi" w:cstheme="minorHAnsi"/>
          <w:sz w:val="22"/>
          <w:szCs w:val="22"/>
          <w:u w:val="single"/>
        </w:rPr>
        <w:t xml:space="preserve">de Promessa </w:t>
      </w:r>
      <w:r w:rsidR="009F0420" w:rsidRPr="009F0420">
        <w:rPr>
          <w:rFonts w:asciiTheme="minorHAnsi" w:hAnsiTheme="minorHAnsi" w:cstheme="minorHAnsi"/>
          <w:sz w:val="22"/>
          <w:szCs w:val="22"/>
          <w:u w:val="single"/>
        </w:rPr>
        <w:t>de Alienação Fiduciária de Bens e Equipamentos</w:t>
      </w:r>
      <w:r w:rsidR="009F0420" w:rsidRPr="001B349C">
        <w:rPr>
          <w:rFonts w:asciiTheme="minorHAnsi" w:hAnsiTheme="minorHAnsi" w:cstheme="minorHAnsi"/>
          <w:sz w:val="22"/>
          <w:szCs w:val="22"/>
        </w:rPr>
        <w:t>” e</w:t>
      </w:r>
      <w:r w:rsidR="009F0420">
        <w:rPr>
          <w:rFonts w:asciiTheme="minorHAnsi" w:hAnsiTheme="minorHAnsi" w:cstheme="minorHAnsi"/>
          <w:sz w:val="22"/>
          <w:szCs w:val="22"/>
        </w:rPr>
        <w:t>, q</w:t>
      </w:r>
      <w:r w:rsidRPr="00F753E0">
        <w:rPr>
          <w:rFonts w:asciiTheme="minorHAnsi" w:hAnsiTheme="minorHAnsi" w:cstheme="minorHAnsi"/>
          <w:sz w:val="22"/>
          <w:szCs w:val="22"/>
        </w:rPr>
        <w:t>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810D50" w:rsidRPr="00810D50">
        <w:rPr>
          <w:rFonts w:asciiTheme="minorHAnsi" w:hAnsiTheme="minorHAnsi" w:cstheme="minorHAnsi"/>
          <w:iCs/>
          <w:sz w:val="22"/>
          <w:szCs w:val="22"/>
        </w:rPr>
        <w:t>e Promessa de Cessão Fiduciária</w:t>
      </w:r>
      <w:r w:rsidR="00810D50">
        <w:rPr>
          <w:rFonts w:asciiTheme="minorHAnsi" w:hAnsiTheme="minorHAnsi" w:cstheme="minorHAnsi"/>
          <w: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9F0420">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9F0420">
        <w:rPr>
          <w:rFonts w:asciiTheme="minorHAnsi" w:hAnsiTheme="minorHAnsi" w:cstheme="minorHAnsi"/>
          <w:sz w:val="22"/>
          <w:szCs w:val="22"/>
        </w:rPr>
        <w:t>)</w:t>
      </w:r>
      <w:r w:rsidRPr="00F753E0">
        <w:rPr>
          <w:rFonts w:asciiTheme="minorHAnsi" w:hAnsiTheme="minorHAnsi" w:cstheme="minorHAnsi"/>
          <w:sz w:val="22"/>
          <w:szCs w:val="22"/>
        </w:rPr>
        <w:t xml:space="preserve">; </w:t>
      </w:r>
      <w:r w:rsidR="009F0420">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DEB4633"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8B7065">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w:t>
      </w:r>
      <w:r w:rsidR="008B7065">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 xml:space="preserve">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w:t>
      </w:r>
      <w:r w:rsidR="008F17C2">
        <w:rPr>
          <w:rFonts w:asciiTheme="minorHAnsi" w:hAnsiTheme="minorHAnsi" w:cstheme="minorHAnsi"/>
          <w:sz w:val="22"/>
          <w:szCs w:val="22"/>
          <w:u w:val="single"/>
        </w:rPr>
        <w:t>7</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426FD99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 para fins de cumprimento dos requisitos legais de validade e eficácia, especialmente do artigo 1.362 e seguintes do Código Civil (conforme definido abaixo) e artigo 66-B da Lei nº 4.728 (conforme definido abaixo</w:t>
      </w:r>
      <w:r w:rsidRPr="008B7065">
        <w:rPr>
          <w:rFonts w:asciiTheme="minorHAnsi" w:hAnsiTheme="minorHAnsi" w:cstheme="minorHAnsi"/>
          <w:sz w:val="22"/>
          <w:szCs w:val="22"/>
        </w:rPr>
        <w:t>) estão descritas no Anexo I deste</w:t>
      </w:r>
      <w:r w:rsidRPr="00F753E0">
        <w:rPr>
          <w:rFonts w:asciiTheme="minorHAnsi" w:hAnsiTheme="minorHAnsi" w:cstheme="minorHAnsi"/>
          <w:sz w:val="22"/>
          <w:szCs w:val="22"/>
        </w:rPr>
        <w:t xml:space="preserv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53890B0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8B7065">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8F17C2">
        <w:rPr>
          <w:rFonts w:asciiTheme="minorHAnsi" w:hAnsiTheme="minorHAnsi" w:cstheme="minorHAnsi"/>
          <w:sz w:val="22"/>
          <w:szCs w:val="22"/>
        </w:rPr>
        <w:t xml:space="preserve"> </w:t>
      </w:r>
      <w:r w:rsidR="00D4499B">
        <w:rPr>
          <w:rFonts w:asciiTheme="minorHAnsi" w:hAnsiTheme="minorHAnsi" w:cstheme="minorHAnsi"/>
          <w:sz w:val="22"/>
          <w:szCs w:val="22"/>
        </w:rPr>
        <w:t>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Pr="00F753E0">
        <w:rPr>
          <w:rFonts w:asciiTheme="minorHAnsi" w:hAnsiTheme="minorHAnsi" w:cstheme="minorHAnsi"/>
          <w:sz w:val="22"/>
          <w:szCs w:val="22"/>
        </w:rPr>
        <w:t xml:space="preserve"> 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22361D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602BB2">
        <w:rPr>
          <w:rFonts w:asciiTheme="minorHAnsi" w:hAnsiTheme="minorHAnsi" w:cstheme="minorHAnsi"/>
          <w:bCs/>
          <w:sz w:val="22"/>
          <w:szCs w:val="22"/>
        </w:rPr>
        <w:t xml:space="preserve">promete </w:t>
      </w:r>
      <w:r w:rsidRPr="00F753E0">
        <w:rPr>
          <w:rFonts w:asciiTheme="minorHAnsi" w:hAnsiTheme="minorHAnsi" w:cstheme="minorHAnsi"/>
          <w:bCs/>
          <w:sz w:val="22"/>
          <w:szCs w:val="22"/>
        </w:rPr>
        <w:t>aliena</w:t>
      </w:r>
      <w:r w:rsidR="00FA043A">
        <w:rPr>
          <w:rFonts w:asciiTheme="minorHAnsi" w:hAnsiTheme="minorHAnsi" w:cstheme="minorHAnsi"/>
          <w:bCs/>
          <w:sz w:val="22"/>
          <w:szCs w:val="22"/>
        </w:rPr>
        <w:t>r</w:t>
      </w:r>
      <w:r w:rsidRPr="00F753E0">
        <w:rPr>
          <w:rFonts w:asciiTheme="minorHAnsi" w:hAnsiTheme="minorHAnsi" w:cstheme="minorHAnsi"/>
          <w:sz w:val="22"/>
          <w:szCs w:val="22"/>
        </w:rPr>
        <w:t xml:space="preserve"> e transfer</w:t>
      </w:r>
      <w:r w:rsidR="00602BB2">
        <w:rPr>
          <w:rFonts w:asciiTheme="minorHAnsi" w:hAnsiTheme="minorHAnsi" w:cstheme="minorHAnsi"/>
          <w:sz w:val="22"/>
          <w:szCs w:val="22"/>
        </w:rPr>
        <w:t>ir</w:t>
      </w:r>
      <w:r w:rsidRPr="00F753E0">
        <w:rPr>
          <w:rFonts w:asciiTheme="minorHAnsi" w:hAnsiTheme="minorHAnsi" w:cstheme="minorHAnsi"/>
          <w:sz w:val="22"/>
          <w:szCs w:val="22"/>
        </w:rPr>
        <w:t>, em caráter irrevogável e irretratável, em favor da Fiduciária, livres e desembaraçados de quaisquer Ônus, a propriedade fiduciária</w:t>
      </w:r>
      <w:r w:rsidR="00602BB2">
        <w:rPr>
          <w:rFonts w:asciiTheme="minorHAnsi" w:hAnsiTheme="minorHAnsi" w:cstheme="minorHAnsi"/>
          <w:sz w:val="22"/>
          <w:szCs w:val="22"/>
        </w:rPr>
        <w:t xml:space="preserve"> de</w:t>
      </w:r>
      <w:r w:rsidRPr="00F753E0">
        <w:rPr>
          <w:rFonts w:asciiTheme="minorHAnsi" w:hAnsiTheme="minorHAnsi" w:cstheme="minorHAnsi"/>
          <w:sz w:val="22"/>
          <w:szCs w:val="22"/>
        </w:rPr>
        <w:t xml:space="preserve"> </w:t>
      </w:r>
      <w:r w:rsidR="0078609B">
        <w:rPr>
          <w:rFonts w:asciiTheme="minorHAnsi" w:hAnsiTheme="minorHAnsi" w:cstheme="minorHAnsi"/>
          <w:sz w:val="22"/>
          <w:szCs w:val="22"/>
        </w:rPr>
        <w:t xml:space="preserve">bens e equipamentos descritos </w:t>
      </w:r>
      <w:r w:rsidR="00B42EF8">
        <w:rPr>
          <w:rFonts w:asciiTheme="minorHAnsi" w:hAnsiTheme="minorHAnsi" w:cstheme="minorHAnsi"/>
          <w:sz w:val="22"/>
          <w:szCs w:val="22"/>
        </w:rPr>
        <w:t>no Anexo II</w:t>
      </w:r>
      <w:r w:rsidR="00602BB2">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8B7065" w:rsidRPr="008B7065">
        <w:rPr>
          <w:rFonts w:asciiTheme="minorHAnsi" w:hAnsiTheme="minorHAnsi" w:cstheme="minorHAnsi"/>
          <w:bCs/>
          <w:sz w:val="22"/>
          <w:szCs w:val="22"/>
          <w:u w:val="single"/>
        </w:rPr>
        <w:t xml:space="preserve">Promessa de </w:t>
      </w:r>
      <w:r w:rsidRPr="008B7065">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66F0E9E3" w:rsidR="00F753E0" w:rsidRPr="00FA043A" w:rsidRDefault="00F753E0" w:rsidP="00FA043A">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bookmarkStart w:id="42" w:name="_Hlk75477715"/>
      <w:r w:rsidR="002F3832">
        <w:rPr>
          <w:rFonts w:asciiTheme="minorHAnsi" w:hAnsiTheme="minorHAnsi" w:cstheme="minorHAnsi"/>
          <w:sz w:val="22"/>
          <w:szCs w:val="22"/>
        </w:rPr>
        <w:t>s</w:t>
      </w:r>
      <w:r w:rsidR="00FA043A">
        <w:rPr>
          <w:rFonts w:asciiTheme="minorHAnsi" w:hAnsiTheme="minorHAnsi" w:cstheme="minorHAnsi"/>
          <w:sz w:val="22"/>
          <w:szCs w:val="22"/>
        </w:rPr>
        <w:t>erão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w:t>
      </w:r>
      <w:r w:rsidR="00FA043A">
        <w:rPr>
          <w:rFonts w:asciiTheme="minorHAnsi" w:hAnsiTheme="minorHAnsi" w:cstheme="minorHAnsi"/>
          <w:sz w:val="22"/>
          <w:szCs w:val="22"/>
        </w:rPr>
        <w:t>ar</w:t>
      </w:r>
      <w:r w:rsidRPr="00FA043A">
        <w:rPr>
          <w:rFonts w:asciiTheme="minorHAnsi" w:hAnsiTheme="minorHAnsi" w:cstheme="minorHAnsi"/>
          <w:sz w:val="22"/>
          <w:szCs w:val="22"/>
        </w:rPr>
        <w:t>-se</w:t>
      </w:r>
      <w:r w:rsidR="00FA043A">
        <w:rPr>
          <w:rFonts w:asciiTheme="minorHAnsi" w:hAnsiTheme="minorHAnsi" w:cstheme="minorHAnsi"/>
          <w:sz w:val="22"/>
          <w:szCs w:val="22"/>
        </w:rPr>
        <w:t>-ão</w:t>
      </w:r>
      <w:bookmarkEnd w:id="42"/>
      <w:r w:rsidRPr="00FA043A">
        <w:rPr>
          <w:rFonts w:asciiTheme="minorHAnsi" w:hAnsiTheme="minorHAnsi" w:cstheme="minorHAnsi"/>
          <w:sz w:val="22"/>
          <w:szCs w:val="22"/>
        </w:rPr>
        <w:t xml:space="preserve"> livre</w:t>
      </w:r>
      <w:r w:rsidR="002F3832" w:rsidRPr="00FA043A">
        <w:rPr>
          <w:rFonts w:asciiTheme="minorHAnsi" w:hAnsiTheme="minorHAnsi" w:cstheme="minorHAnsi"/>
          <w:sz w:val="22"/>
          <w:szCs w:val="22"/>
        </w:rPr>
        <w:t>s</w:t>
      </w:r>
      <w:r w:rsidRPr="00FA043A">
        <w:rPr>
          <w:rFonts w:asciiTheme="minorHAnsi" w:hAnsiTheme="minorHAnsi" w:cstheme="minorHAnsi"/>
          <w:sz w:val="22"/>
          <w:szCs w:val="22"/>
        </w:rPr>
        <w:t xml:space="preserve"> e desembaraçad</w:t>
      </w:r>
      <w:r w:rsidR="002F3832" w:rsidRPr="00FA043A">
        <w:rPr>
          <w:rFonts w:asciiTheme="minorHAnsi" w:hAnsiTheme="minorHAnsi" w:cstheme="minorHAnsi"/>
          <w:sz w:val="22"/>
          <w:szCs w:val="22"/>
        </w:rPr>
        <w:t>os</w:t>
      </w:r>
      <w:r w:rsidRPr="00FA043A">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sidRPr="00FA043A">
        <w:rPr>
          <w:rFonts w:asciiTheme="minorHAnsi" w:hAnsiTheme="minorHAnsi" w:cstheme="minorHAnsi"/>
          <w:sz w:val="22"/>
          <w:szCs w:val="22"/>
        </w:rPr>
        <w:t xml:space="preserve"> </w:t>
      </w:r>
      <w:r w:rsidR="002003D5" w:rsidRPr="00FA043A">
        <w:rPr>
          <w:rFonts w:asciiTheme="minorHAnsi" w:hAnsiTheme="minorHAnsi" w:cstheme="minorHAnsi"/>
          <w:sz w:val="22"/>
          <w:szCs w:val="22"/>
        </w:rPr>
        <w:t>29</w:t>
      </w:r>
      <w:r w:rsidR="008F17C2" w:rsidRPr="00FA043A">
        <w:rPr>
          <w:rFonts w:asciiTheme="minorHAnsi" w:hAnsiTheme="minorHAnsi" w:cstheme="minorHAnsi"/>
          <w:sz w:val="22"/>
          <w:szCs w:val="22"/>
        </w:rPr>
        <w:t>7</w:t>
      </w:r>
      <w:r w:rsidR="002003D5" w:rsidRPr="00FA043A">
        <w:rPr>
          <w:rFonts w:asciiTheme="minorHAnsi" w:hAnsiTheme="minorHAnsi" w:cstheme="minorHAnsi"/>
          <w:sz w:val="22"/>
          <w:szCs w:val="22"/>
        </w:rPr>
        <w:t xml:space="preserve">ª </w:t>
      </w:r>
      <w:r w:rsidR="00182020" w:rsidRPr="00FA043A">
        <w:rPr>
          <w:rFonts w:asciiTheme="minorHAnsi" w:hAnsiTheme="minorHAnsi" w:cstheme="minorHAnsi"/>
          <w:sz w:val="22"/>
          <w:szCs w:val="22"/>
        </w:rPr>
        <w:t>Série</w:t>
      </w:r>
      <w:r w:rsidRPr="00FA043A">
        <w:rPr>
          <w:rFonts w:asciiTheme="minorHAnsi" w:hAnsiTheme="minorHAnsi" w:cstheme="minorHAnsi"/>
          <w:sz w:val="22"/>
          <w:szCs w:val="22"/>
        </w:rPr>
        <w:t>.</w:t>
      </w:r>
    </w:p>
    <w:p w14:paraId="6D5EA506" w14:textId="77777777" w:rsidR="001C57DC" w:rsidRDefault="001C57DC" w:rsidP="001C57DC">
      <w:pPr>
        <w:pStyle w:val="PargrafodaLista"/>
        <w:tabs>
          <w:tab w:val="left" w:pos="709"/>
        </w:tabs>
        <w:spacing w:line="288" w:lineRule="auto"/>
        <w:ind w:left="0" w:right="-2"/>
        <w:jc w:val="both"/>
        <w:rPr>
          <w:rFonts w:asciiTheme="minorHAnsi" w:hAnsiTheme="minorHAnsi" w:cstheme="minorHAnsi"/>
          <w:sz w:val="22"/>
          <w:szCs w:val="22"/>
        </w:rPr>
      </w:pPr>
    </w:p>
    <w:p w14:paraId="3FA95B8F" w14:textId="30B42089" w:rsidR="001C57DC" w:rsidRPr="00F753E0" w:rsidRDefault="001C57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297ª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conforme indicados </w:t>
      </w:r>
      <w:r w:rsidR="00B42EF8">
        <w:rPr>
          <w:rFonts w:asciiTheme="minorHAnsi" w:hAnsiTheme="minorHAnsi" w:cstheme="minorHAnsi"/>
          <w:sz w:val="22"/>
          <w:szCs w:val="22"/>
        </w:rPr>
        <w:t>no Anexo II</w:t>
      </w:r>
      <w:r w:rsidR="00AD10A1">
        <w:rPr>
          <w:rFonts w:asciiTheme="minorHAnsi" w:hAnsiTheme="minorHAnsi" w:cstheme="minorHAnsi"/>
          <w:sz w:val="22"/>
          <w:szCs w:val="22"/>
        </w:rPr>
        <w:t>-B</w:t>
      </w:r>
      <w:r w:rsidR="008B7065">
        <w:rPr>
          <w:rFonts w:asciiTheme="minorHAnsi" w:hAnsiTheme="minorHAnsi" w:cstheme="minorHAnsi"/>
          <w:bCs/>
          <w:sz w:val="22"/>
          <w:szCs w:val="22"/>
        </w:rPr>
        <w:t xml:space="preserve"> </w:t>
      </w:r>
      <w:r>
        <w:rPr>
          <w:rFonts w:asciiTheme="minorHAnsi" w:hAnsiTheme="minorHAnsi" w:cstheme="minorHAnsi"/>
          <w:bCs/>
          <w:sz w:val="22"/>
          <w:szCs w:val="22"/>
        </w:rPr>
        <w:t>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49113734" w:rsidR="00F753E0" w:rsidRPr="00F753E0" w:rsidRDefault="00AD10A1" w:rsidP="00515D9F">
      <w:pPr>
        <w:widowControl w:val="0"/>
        <w:numPr>
          <w:ilvl w:val="0"/>
          <w:numId w:val="17"/>
        </w:numPr>
        <w:spacing w:line="288" w:lineRule="auto"/>
        <w:jc w:val="both"/>
        <w:rPr>
          <w:rFonts w:asciiTheme="minorHAnsi" w:hAnsiTheme="minorHAnsi" w:cstheme="minorHAnsi"/>
          <w:sz w:val="22"/>
          <w:szCs w:val="22"/>
        </w:rPr>
      </w:pPr>
      <w:bookmarkStart w:id="44" w:name="_Hlk75477860"/>
      <w:r>
        <w:rPr>
          <w:rFonts w:asciiTheme="minorHAnsi" w:hAnsiTheme="minorHAnsi" w:cstheme="minorHAnsi"/>
          <w:sz w:val="22"/>
          <w:szCs w:val="22"/>
        </w:rPr>
        <w:t>Observado o disposto na Cláusula 3.2.2 abaixo, c</w:t>
      </w:r>
      <w:r w:rsidR="00F753E0" w:rsidRPr="00F753E0">
        <w:rPr>
          <w:rFonts w:asciiTheme="minorHAnsi" w:hAnsiTheme="minorHAnsi" w:cstheme="minorHAnsi"/>
          <w:sz w:val="22"/>
          <w:szCs w:val="22"/>
        </w:rPr>
        <w:t xml:space="preserve">elebrar </w:t>
      </w:r>
      <w:bookmarkEnd w:id="44"/>
      <w:r w:rsidR="00F753E0" w:rsidRPr="00F753E0">
        <w:rPr>
          <w:rFonts w:asciiTheme="minorHAnsi" w:hAnsiTheme="minorHAnsi" w:cstheme="minorHAnsi"/>
          <w:sz w:val="22"/>
          <w:szCs w:val="22"/>
        </w:rPr>
        <w:t>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7B33989D"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44D6B724" w:rsidR="00F753E0" w:rsidRPr="00F753E0" w:rsidRDefault="00810D5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Pr>
          <w:rFonts w:asciiTheme="minorHAnsi" w:hAnsiTheme="minorHAnsi" w:cstheme="minorHAnsi"/>
          <w:sz w:val="22"/>
          <w:szCs w:val="22"/>
        </w:rPr>
        <w:t xml:space="preserve">A cada 45 (quarenta e cinco dias), a Alienante Fiduciante notificará a Fiduciária informando sobre os bens e equipamentos adquiridos no período, com as respectivas notas fiscais, sendo certo que, caso o montante de bens e equipamentos adquiridos no período ultrapasse R$ 5.000.000,00 (cinco milhões de reais), </w:t>
      </w:r>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AA6D32">
        <w:rPr>
          <w:rFonts w:asciiTheme="minorHAnsi" w:hAnsiTheme="minorHAnsi" w:cstheme="minorHAnsi"/>
          <w:sz w:val="22"/>
          <w:szCs w:val="22"/>
        </w:rPr>
        <w:t>no Anexo III, pa</w:t>
      </w:r>
      <w:r w:rsidRPr="00F753E0">
        <w:rPr>
          <w:rFonts w:asciiTheme="minorHAnsi" w:hAnsiTheme="minorHAnsi" w:cstheme="minorHAnsi"/>
          <w:sz w:val="22"/>
          <w:szCs w:val="22"/>
        </w:rPr>
        <w:t xml:space="preserve">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w:t>
      </w:r>
      <w:r w:rsidR="008E5D8B">
        <w:rPr>
          <w:rFonts w:asciiTheme="minorHAnsi" w:hAnsiTheme="minorHAnsi" w:cstheme="minorHAnsi"/>
          <w:sz w:val="22"/>
          <w:szCs w:val="22"/>
        </w:rPr>
        <w:t xml:space="preserve">alienados fiduciariamente conforme descritos no Anexo II-B, </w:t>
      </w:r>
      <w:r>
        <w:rPr>
          <w:rFonts w:asciiTheme="minorHAnsi" w:hAnsiTheme="minorHAnsi" w:cstheme="minorHAnsi"/>
          <w:sz w:val="22"/>
          <w:szCs w:val="22"/>
        </w:rPr>
        <w:t xml:space="preserve">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309FE42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810D50" w:rsidRPr="00810D50">
        <w:rPr>
          <w:rFonts w:asciiTheme="minorHAnsi" w:hAnsiTheme="minorHAnsi" w:cstheme="minorHAnsi"/>
          <w:iCs/>
          <w:sz w:val="22"/>
          <w:szCs w:val="22"/>
        </w:rPr>
        <w:t xml:space="preserve"> 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810D50" w:rsidRPr="00810D50">
        <w:rPr>
          <w:rFonts w:asciiTheme="minorHAnsi" w:hAnsiTheme="minorHAnsi" w:cstheme="minorHAnsi"/>
          <w:iCs/>
          <w:sz w:val="22"/>
          <w:szCs w:val="22"/>
        </w:rPr>
        <w:t xml:space="preserve"> 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4D1DA4D4"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5"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5"/>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6C5AEB0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6"/>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4A14142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6088645F" w:rsidR="00F753E0" w:rsidRDefault="00F753E0" w:rsidP="00F753E0">
      <w:pPr>
        <w:pStyle w:val="TextosemFormatao"/>
        <w:spacing w:line="288" w:lineRule="auto"/>
        <w:rPr>
          <w:rFonts w:asciiTheme="minorHAnsi" w:hAnsiTheme="minorHAnsi" w:cstheme="minorHAnsi"/>
          <w:color w:val="000000"/>
          <w:sz w:val="22"/>
          <w:szCs w:val="22"/>
        </w:rPr>
      </w:pPr>
    </w:p>
    <w:p w14:paraId="6B7F816D" w14:textId="55E4688B" w:rsidR="007D4DA8" w:rsidRPr="00C86676" w:rsidRDefault="007D4DA8" w:rsidP="00F753E0">
      <w:pPr>
        <w:pStyle w:val="TextosemFormatao"/>
        <w:spacing w:line="288" w:lineRule="auto"/>
        <w:rPr>
          <w:rFonts w:asciiTheme="minorHAnsi" w:hAnsiTheme="minorHAnsi" w:cstheme="minorHAnsi"/>
          <w:sz w:val="22"/>
          <w:szCs w:val="22"/>
          <w:lang w:val="pt-BR"/>
        </w:rPr>
      </w:pPr>
      <w:r w:rsidRPr="001C57DC">
        <w:rPr>
          <w:rFonts w:asciiTheme="minorHAnsi" w:hAnsiTheme="minorHAnsi" w:cstheme="minorHAnsi"/>
          <w:b/>
          <w:bCs/>
          <w:color w:val="000000"/>
          <w:sz w:val="22"/>
          <w:szCs w:val="22"/>
          <w:lang w:val="pt-BR"/>
        </w:rPr>
        <w:t>3.</w:t>
      </w:r>
      <w:r w:rsidR="001C57DC" w:rsidRPr="001C57DC">
        <w:rPr>
          <w:rFonts w:asciiTheme="minorHAnsi" w:hAnsiTheme="minorHAnsi" w:cstheme="minorHAnsi"/>
          <w:b/>
          <w:bCs/>
          <w:color w:val="000000"/>
          <w:sz w:val="22"/>
          <w:szCs w:val="22"/>
          <w:lang w:val="pt-BR"/>
        </w:rPr>
        <w:t>4</w:t>
      </w:r>
      <w:r w:rsidRPr="001C57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7" w:name="_Toc346096469"/>
      <w:bookmarkStart w:id="48" w:name="_Toc346139182"/>
      <w:bookmarkStart w:id="49" w:name="_Toc396935193"/>
      <w:bookmarkStart w:id="50" w:name="_Toc489649243"/>
      <w:bookmarkStart w:id="51" w:name="_Toc522035227"/>
      <w:bookmarkStart w:id="52" w:name="_Toc522040086"/>
      <w:bookmarkStart w:id="53"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7"/>
      <w:bookmarkEnd w:id="48"/>
      <w:bookmarkEnd w:id="49"/>
      <w:bookmarkEnd w:id="50"/>
      <w:bookmarkEnd w:id="51"/>
      <w:bookmarkEnd w:id="52"/>
      <w:bookmarkEnd w:id="53"/>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2432836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4" w:name="_DV_M137"/>
      <w:bookmarkStart w:id="55" w:name="_DV_M143"/>
      <w:bookmarkStart w:id="56" w:name="_DV_M152"/>
      <w:bookmarkStart w:id="57" w:name="_DV_M156"/>
      <w:bookmarkStart w:id="58" w:name="_DV_M158"/>
      <w:bookmarkStart w:id="59" w:name="_DV_M161"/>
      <w:bookmarkStart w:id="60" w:name="_DV_M164"/>
      <w:bookmarkStart w:id="61" w:name="_DV_M166"/>
      <w:bookmarkStart w:id="62" w:name="_DV_M167"/>
      <w:bookmarkStart w:id="63" w:name="_DV_M173"/>
      <w:bookmarkStart w:id="64" w:name="_DV_M174"/>
      <w:bookmarkStart w:id="65" w:name="_DV_M176"/>
      <w:bookmarkStart w:id="66" w:name="_Toc264651168"/>
      <w:bookmarkStart w:id="67" w:name="_Toc353469275"/>
      <w:bookmarkStart w:id="68" w:name="_Ref248574081"/>
      <w:bookmarkStart w:id="69" w:name="_Toc51710466"/>
      <w:bookmarkStart w:id="70" w:name="_Toc396935194"/>
      <w:bookmarkStart w:id="71" w:name="_Toc489649244"/>
      <w:bookmarkStart w:id="72" w:name="_Toc522035228"/>
      <w:bookmarkStart w:id="73" w:name="_Toc522040087"/>
      <w:bookmarkEnd w:id="54"/>
      <w:bookmarkEnd w:id="55"/>
      <w:bookmarkEnd w:id="56"/>
      <w:bookmarkEnd w:id="57"/>
      <w:bookmarkEnd w:id="58"/>
      <w:bookmarkEnd w:id="59"/>
      <w:bookmarkEnd w:id="60"/>
      <w:bookmarkEnd w:id="61"/>
      <w:bookmarkEnd w:id="62"/>
      <w:bookmarkEnd w:id="63"/>
      <w:bookmarkEnd w:id="64"/>
      <w:bookmarkEnd w:id="65"/>
      <w:r w:rsidRPr="00F753E0">
        <w:rPr>
          <w:rFonts w:asciiTheme="minorHAnsi" w:hAnsiTheme="minorHAnsi" w:cstheme="minorHAnsi"/>
          <w:smallCaps/>
          <w:noProof/>
          <w:lang w:val="x-none" w:eastAsia="x-none"/>
        </w:rPr>
        <w:t>EXCUSSÃO</w:t>
      </w:r>
      <w:bookmarkEnd w:id="66"/>
      <w:bookmarkEnd w:id="67"/>
      <w:bookmarkEnd w:id="68"/>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69"/>
      <w:r w:rsidRPr="00F753E0">
        <w:rPr>
          <w:rFonts w:asciiTheme="minorHAnsi" w:hAnsiTheme="minorHAnsi" w:cstheme="minorHAnsi"/>
          <w:smallCaps/>
          <w:noProof/>
          <w:lang w:val="x-none" w:eastAsia="x-none"/>
        </w:rPr>
        <w:t xml:space="preserve"> </w:t>
      </w:r>
      <w:bookmarkEnd w:id="70"/>
      <w:bookmarkEnd w:id="71"/>
      <w:bookmarkEnd w:id="72"/>
      <w:bookmarkEnd w:id="73"/>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060656A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4" w:name="_Hlk71305337"/>
      <w:bookmarkStart w:id="75" w:name="_Hlk49440196"/>
      <w:r w:rsidRPr="00F753E0">
        <w:rPr>
          <w:rFonts w:asciiTheme="minorHAnsi" w:hAnsiTheme="minorHAnsi" w:cstheme="minorHAnsi"/>
          <w:bCs/>
          <w:sz w:val="22"/>
          <w:szCs w:val="22"/>
        </w:rPr>
        <w:t xml:space="preserve">Caso seja declarado o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r w:rsidR="00A17F11">
        <w:rPr>
          <w:rFonts w:asciiTheme="minorHAnsi" w:hAnsiTheme="minorHAnsi" w:cstheme="minorHAnsi"/>
          <w:bCs/>
          <w:sz w:val="22"/>
          <w:szCs w:val="22"/>
        </w:rPr>
        <w:t>p</w:t>
      </w:r>
      <w:r w:rsidR="00A17F11" w:rsidRPr="00E7125E">
        <w:rPr>
          <w:rFonts w:asciiTheme="minorHAnsi" w:hAnsiTheme="minorHAnsi" w:cstheme="minorHAnsi"/>
          <w:bCs/>
          <w:sz w:val="22"/>
          <w:szCs w:val="22"/>
        </w:rPr>
        <w:t>elos preços, termos e condições que venha a entender adequados, independentemente de avaliação e/ou notificação</w:t>
      </w:r>
      <w:r w:rsidRPr="00F753E0">
        <w:rPr>
          <w:rFonts w:asciiTheme="minorHAnsi" w:hAnsiTheme="minorHAnsi" w:cstheme="minorHAnsi"/>
          <w:bCs/>
          <w:sz w:val="22"/>
          <w:szCs w:val="22"/>
        </w:rPr>
        <w:t xml:space="preserve">, mas observando-se ser expressamente vedada a venda, cessão, transferência, alienação ou disposição por </w:t>
      </w:r>
      <w:r w:rsidR="001C57DC" w:rsidRPr="00F753E0">
        <w:rPr>
          <w:rFonts w:asciiTheme="minorHAnsi" w:hAnsiTheme="minorHAnsi" w:cstheme="minorHAnsi"/>
          <w:bCs/>
          <w:sz w:val="22"/>
          <w:szCs w:val="22"/>
        </w:rPr>
        <w:t xml:space="preserve">preço </w:t>
      </w:r>
      <w:r w:rsidR="001C57DC">
        <w:rPr>
          <w:rFonts w:asciiTheme="minorHAnsi" w:hAnsiTheme="minorHAnsi" w:cstheme="minorHAnsi"/>
          <w:bCs/>
          <w:sz w:val="22"/>
          <w:szCs w:val="22"/>
        </w:rPr>
        <w:t xml:space="preserve">inferior ao </w:t>
      </w:r>
      <w:r w:rsidR="00A17F11">
        <w:rPr>
          <w:rFonts w:asciiTheme="minorHAnsi" w:hAnsiTheme="minorHAnsi" w:cstheme="minorHAnsi"/>
          <w:bCs/>
          <w:sz w:val="22"/>
          <w:szCs w:val="22"/>
        </w:rPr>
        <w:t>pr</w:t>
      </w:r>
      <w:r w:rsidR="00A17F11" w:rsidRPr="00E7125E">
        <w:rPr>
          <w:rFonts w:asciiTheme="minorHAnsi" w:hAnsiTheme="minorHAnsi" w:cstheme="minorHAnsi"/>
          <w:bCs/>
          <w:sz w:val="22"/>
          <w:szCs w:val="22"/>
        </w:rPr>
        <w:t>evisto na nota fiscal do respectivo equipamento</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4"/>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3261F9D2"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6" w:name="_Hlk71305348"/>
      <w:bookmarkStart w:id="77"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6"/>
      <w:bookmarkEnd w:id="77"/>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523F402"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78"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78"/>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2BD59F5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79"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79"/>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0BC430B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5"/>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0" w:name="_Toc346096471"/>
      <w:bookmarkStart w:id="81" w:name="_Toc346139184"/>
      <w:bookmarkStart w:id="82" w:name="_Toc396935195"/>
      <w:bookmarkStart w:id="83" w:name="_Toc489649245"/>
      <w:bookmarkStart w:id="84" w:name="_Toc522035229"/>
      <w:bookmarkStart w:id="85" w:name="_Toc522040088"/>
      <w:bookmarkStart w:id="86" w:name="_Toc51710467"/>
      <w:r w:rsidRPr="00F753E0">
        <w:rPr>
          <w:rFonts w:asciiTheme="minorHAnsi" w:hAnsiTheme="minorHAnsi" w:cstheme="minorHAnsi"/>
          <w:bCs/>
          <w:smallCaps/>
          <w:noProof/>
          <w:lang w:val="x-none" w:eastAsia="x-none"/>
        </w:rPr>
        <w:t>OBRIGAÇÕES ADICIONAIS</w:t>
      </w:r>
      <w:bookmarkEnd w:id="80"/>
      <w:bookmarkEnd w:id="81"/>
      <w:bookmarkEnd w:id="82"/>
      <w:bookmarkEnd w:id="83"/>
      <w:bookmarkEnd w:id="84"/>
      <w:bookmarkEnd w:id="85"/>
      <w:bookmarkEnd w:id="86"/>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5564BBF"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7"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7"/>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24D23E10"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8A4C23">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5C577910" w:rsidR="004149E2" w:rsidRPr="00F753E0" w:rsidRDefault="00810D50"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Pr>
          <w:rFonts w:asciiTheme="minorHAnsi" w:hAnsiTheme="minorHAnsi" w:cstheme="minorHAnsi"/>
          <w:sz w:val="22"/>
        </w:rPr>
        <w:t>7</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8"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8"/>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9"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89"/>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1C4202DA"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8A4C23">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3EBE4A51"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5C45F82D"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8A4C23">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62716C0E"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 xml:space="preserve">desta </w:t>
      </w:r>
      <w:r w:rsidR="008A4C23">
        <w:rPr>
          <w:rFonts w:asciiTheme="minorHAnsi" w:hAnsiTheme="minorHAnsi" w:cstheme="minorHAnsi"/>
          <w:color w:val="000000"/>
          <w:sz w:val="22"/>
          <w:szCs w:val="22"/>
        </w:rPr>
        <w:t>Promessa de</w:t>
      </w:r>
      <w:r w:rsidR="008A4C23">
        <w:rPr>
          <w:rFonts w:asciiTheme="minorHAnsi" w:hAnsiTheme="minorHAnsi" w:cstheme="minorHAnsi"/>
          <w:sz w:val="22"/>
          <w:szCs w:val="22"/>
        </w:rPr>
        <w:t xml:space="preserve"> </w:t>
      </w:r>
      <w:r w:rsidR="00775AAE">
        <w:rPr>
          <w:rFonts w:asciiTheme="minorHAnsi" w:hAnsiTheme="minorHAnsi" w:cstheme="minorHAnsi"/>
          <w:sz w:val="22"/>
          <w:szCs w:val="22"/>
        </w:rPr>
        <w:t>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1F9DBB95"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0" w:name="_DV_M267"/>
      <w:bookmarkStart w:id="91" w:name="_DV_M277"/>
      <w:bookmarkStart w:id="92" w:name="_DV_M278"/>
      <w:bookmarkStart w:id="93" w:name="_Toc264651171"/>
      <w:bookmarkStart w:id="94" w:name="_Toc353469276"/>
      <w:bookmarkStart w:id="95" w:name="_Toc396935196"/>
      <w:bookmarkStart w:id="96" w:name="_Toc489649246"/>
      <w:bookmarkStart w:id="97" w:name="_Toc522035230"/>
      <w:bookmarkStart w:id="98" w:name="_Toc522040089"/>
      <w:bookmarkStart w:id="99" w:name="_Toc51710468"/>
      <w:bookmarkEnd w:id="90"/>
      <w:bookmarkEnd w:id="91"/>
      <w:bookmarkEnd w:id="92"/>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3"/>
      <w:bookmarkEnd w:id="94"/>
      <w:bookmarkEnd w:id="95"/>
      <w:bookmarkEnd w:id="96"/>
      <w:bookmarkEnd w:id="97"/>
      <w:bookmarkEnd w:id="98"/>
      <w:r w:rsidRPr="00F753E0">
        <w:rPr>
          <w:rFonts w:asciiTheme="minorHAnsi" w:hAnsiTheme="minorHAnsi" w:cstheme="minorHAnsi"/>
          <w:smallCaps/>
          <w:noProof/>
          <w:lang w:eastAsia="x-none"/>
        </w:rPr>
        <w:t xml:space="preserve"> </w:t>
      </w:r>
      <w:bookmarkEnd w:id="99"/>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0"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0"/>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31A912D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8A4C23">
        <w:rPr>
          <w:rFonts w:asciiTheme="minorHAnsi" w:hAnsiTheme="minorHAnsi" w:cstheme="minorHAnsi"/>
          <w:color w:val="000000"/>
          <w:sz w:val="22"/>
          <w:szCs w:val="22"/>
        </w:rPr>
        <w:t>Promessa de</w:t>
      </w:r>
      <w:r w:rsidR="008A4C23"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2063D2A0"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66557C64"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1"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1"/>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2" w:name="_DV_M406"/>
      <w:bookmarkEnd w:id="102"/>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3"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4" w:name="_DV_X27"/>
      <w:bookmarkStart w:id="105" w:name="_DV_C30"/>
      <w:r w:rsidRPr="00F753E0">
        <w:rPr>
          <w:rFonts w:asciiTheme="minorHAnsi" w:eastAsia="Arial Unicode MS" w:hAnsiTheme="minorHAnsi" w:cstheme="minorHAnsi"/>
          <w:w w:val="0"/>
          <w:sz w:val="22"/>
          <w:szCs w:val="22"/>
        </w:rPr>
        <w:t xml:space="preserve">em prazo não superior a 2 (dois) </w:t>
      </w:r>
      <w:bookmarkEnd w:id="104"/>
      <w:bookmarkEnd w:id="105"/>
      <w:r w:rsidRPr="00F753E0">
        <w:rPr>
          <w:rFonts w:asciiTheme="minorHAnsi" w:eastAsia="Arial Unicode MS" w:hAnsiTheme="minorHAnsi" w:cstheme="minorHAnsi"/>
          <w:w w:val="0"/>
          <w:sz w:val="22"/>
          <w:szCs w:val="22"/>
        </w:rPr>
        <w:t>Dias Úteis</w:t>
      </w:r>
      <w:bookmarkStart w:id="106"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6"/>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3"/>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7" w:name="_Toc264638355"/>
      <w:bookmarkStart w:id="108" w:name="_Toc264651173"/>
      <w:bookmarkStart w:id="109" w:name="_Toc353469278"/>
      <w:bookmarkStart w:id="110" w:name="_Toc396935197"/>
      <w:bookmarkStart w:id="111" w:name="_Toc489649247"/>
      <w:bookmarkStart w:id="112" w:name="_Toc522035231"/>
      <w:bookmarkStart w:id="113" w:name="_Toc522040090"/>
      <w:bookmarkStart w:id="114" w:name="_Toc51710469"/>
      <w:r w:rsidRPr="00F753E0">
        <w:rPr>
          <w:rFonts w:asciiTheme="minorHAnsi" w:hAnsiTheme="minorHAnsi" w:cstheme="minorHAnsi"/>
          <w:smallCaps/>
          <w:noProof/>
          <w:lang w:val="x-none" w:eastAsia="x-none"/>
        </w:rPr>
        <w:t>DESPESAS</w:t>
      </w:r>
      <w:bookmarkEnd w:id="107"/>
      <w:bookmarkEnd w:id="108"/>
      <w:bookmarkEnd w:id="109"/>
      <w:r w:rsidRPr="00F753E0">
        <w:rPr>
          <w:rFonts w:asciiTheme="minorHAnsi" w:hAnsiTheme="minorHAnsi" w:cstheme="minorHAnsi"/>
          <w:smallCaps/>
          <w:noProof/>
          <w:lang w:val="x-none" w:eastAsia="x-none"/>
        </w:rPr>
        <w:t xml:space="preserve"> E TRIBUTOS</w:t>
      </w:r>
      <w:bookmarkEnd w:id="110"/>
      <w:bookmarkEnd w:id="111"/>
      <w:bookmarkEnd w:id="112"/>
      <w:bookmarkEnd w:id="113"/>
      <w:bookmarkEnd w:id="114"/>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24B50DA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5"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11226BD6"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5"/>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6"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7" w:name="_Toc522040091"/>
      <w:bookmarkStart w:id="118" w:name="_Toc522040215"/>
      <w:bookmarkStart w:id="119" w:name="_Toc522040092"/>
      <w:bookmarkStart w:id="120" w:name="_Ref51430402"/>
      <w:bookmarkStart w:id="121" w:name="_Toc51710470"/>
      <w:bookmarkStart w:id="122" w:name="_Toc396935198"/>
      <w:bookmarkStart w:id="123" w:name="_Toc489649248"/>
      <w:bookmarkStart w:id="124" w:name="_Toc522035232"/>
      <w:bookmarkEnd w:id="117"/>
      <w:bookmarkEnd w:id="118"/>
      <w:r w:rsidRPr="00F753E0">
        <w:rPr>
          <w:rFonts w:asciiTheme="minorHAnsi" w:hAnsiTheme="minorHAnsi" w:cstheme="minorHAnsi"/>
          <w:bCs/>
          <w:smallCaps/>
          <w:noProof/>
          <w:lang w:val="x-none" w:eastAsia="x-none"/>
        </w:rPr>
        <w:t>PRAZO DE VIGÊNCIA</w:t>
      </w:r>
      <w:bookmarkEnd w:id="119"/>
      <w:bookmarkEnd w:id="120"/>
      <w:bookmarkEnd w:id="121"/>
      <w:r w:rsidRPr="00F753E0">
        <w:rPr>
          <w:rFonts w:asciiTheme="minorHAnsi" w:hAnsiTheme="minorHAnsi" w:cstheme="minorHAnsi"/>
          <w:bCs/>
          <w:smallCaps/>
          <w:noProof/>
          <w:lang w:val="x-none" w:eastAsia="x-none"/>
        </w:rPr>
        <w:t xml:space="preserve"> </w:t>
      </w:r>
      <w:bookmarkEnd w:id="116"/>
      <w:bookmarkEnd w:id="122"/>
      <w:bookmarkEnd w:id="123"/>
      <w:bookmarkEnd w:id="124"/>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5"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4A1AB56B"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5"/>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6" w:name="_Toc346096475"/>
      <w:bookmarkStart w:id="127" w:name="_Toc346139188"/>
      <w:bookmarkStart w:id="128" w:name="_Toc396935199"/>
      <w:bookmarkStart w:id="129" w:name="_Toc489649249"/>
      <w:bookmarkStart w:id="130" w:name="_Toc522035233"/>
      <w:bookmarkStart w:id="131" w:name="_Toc522040093"/>
      <w:bookmarkStart w:id="132" w:name="_Toc51710471"/>
      <w:r w:rsidRPr="00F753E0">
        <w:rPr>
          <w:rFonts w:asciiTheme="minorHAnsi" w:hAnsiTheme="minorHAnsi" w:cstheme="minorHAnsi"/>
          <w:smallCaps/>
          <w:noProof/>
          <w:lang w:val="x-none" w:eastAsia="x-none"/>
        </w:rPr>
        <w:t>INDENIZAÇÃO</w:t>
      </w:r>
      <w:bookmarkEnd w:id="126"/>
      <w:bookmarkEnd w:id="127"/>
      <w:bookmarkEnd w:id="128"/>
      <w:bookmarkEnd w:id="129"/>
      <w:bookmarkEnd w:id="130"/>
      <w:bookmarkEnd w:id="131"/>
      <w:bookmarkEnd w:id="132"/>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40FB4A5E" w14:textId="36819A7D" w:rsidR="00584A2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584A29">
        <w:rPr>
          <w:rFonts w:asciiTheme="minorHAnsi" w:hAnsiTheme="minorHAnsi" w:cstheme="minorHAnsi"/>
          <w:sz w:val="22"/>
          <w:szCs w:val="22"/>
        </w:rPr>
        <w:t>As Intervenientes Anuentes</w:t>
      </w:r>
      <w:r w:rsidR="00584A29" w:rsidRPr="00612DE3">
        <w:rPr>
          <w:rFonts w:asciiTheme="minorHAnsi" w:eastAsia="Arial Unicode MS" w:hAnsiTheme="minorHAnsi" w:cstheme="minorHAnsi"/>
          <w:w w:val="0"/>
          <w:sz w:val="22"/>
          <w:szCs w:val="22"/>
        </w:rPr>
        <w:t xml:space="preserve"> e a</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Alienante</w:t>
      </w:r>
      <w:r w:rsidR="00584A29">
        <w:rPr>
          <w:rFonts w:asciiTheme="minorHAnsi" w:eastAsia="Arial Unicode MS" w:hAnsiTheme="minorHAnsi" w:cstheme="minorHAnsi"/>
          <w:w w:val="0"/>
          <w:sz w:val="22"/>
          <w:szCs w:val="22"/>
        </w:rPr>
        <w:t xml:space="preserve"> </w:t>
      </w:r>
      <w:r w:rsidR="00584A29" w:rsidRPr="00612DE3">
        <w:rPr>
          <w:rFonts w:asciiTheme="minorHAnsi" w:eastAsia="Arial Unicode MS" w:hAnsiTheme="minorHAnsi" w:cstheme="minorHAnsi"/>
          <w:w w:val="0"/>
          <w:sz w:val="22"/>
          <w:szCs w:val="22"/>
        </w:rPr>
        <w:t>Fiduciante são, em caráter solidário,</w:t>
      </w:r>
      <w:r w:rsidR="00584A2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584A29">
        <w:rPr>
          <w:rFonts w:asciiTheme="minorHAnsi" w:hAnsiTheme="minorHAnsi" w:cstheme="minorHAnsi"/>
          <w:sz w:val="22"/>
          <w:szCs w:val="22"/>
        </w:rPr>
        <w:t>297</w:t>
      </w:r>
      <w:r w:rsidR="00584A29" w:rsidRPr="00612DE3">
        <w:rPr>
          <w:rFonts w:asciiTheme="minorHAnsi" w:hAnsiTheme="minorHAnsi" w:cstheme="minorHAnsi"/>
          <w:sz w:val="22"/>
          <w:szCs w:val="22"/>
        </w:rPr>
        <w:t>ª Série</w:t>
      </w:r>
      <w:r w:rsidR="00584A29">
        <w:rPr>
          <w:rFonts w:asciiTheme="minorHAnsi" w:hAnsiTheme="minorHAnsi" w:cstheme="minorHAnsi"/>
          <w:sz w:val="22"/>
          <w:szCs w:val="22"/>
        </w:rPr>
        <w:t>.</w:t>
      </w:r>
    </w:p>
    <w:p w14:paraId="251070B3" w14:textId="77777777" w:rsidR="00584A29" w:rsidRDefault="00584A29" w:rsidP="00584A29">
      <w:pPr>
        <w:pStyle w:val="PargrafodaLista"/>
        <w:tabs>
          <w:tab w:val="left" w:pos="709"/>
        </w:tabs>
        <w:spacing w:line="288" w:lineRule="auto"/>
        <w:ind w:left="0" w:right="-2"/>
        <w:jc w:val="both"/>
        <w:rPr>
          <w:rFonts w:asciiTheme="minorHAnsi" w:hAnsiTheme="minorHAnsi" w:cstheme="minorHAnsi"/>
          <w:sz w:val="22"/>
          <w:szCs w:val="22"/>
        </w:rPr>
      </w:pPr>
    </w:p>
    <w:p w14:paraId="7B551EEF" w14:textId="6C48D409"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3" w:name="_Toc264638356"/>
      <w:bookmarkStart w:id="134" w:name="_Toc264651174"/>
      <w:bookmarkStart w:id="135" w:name="_Toc353469280"/>
      <w:bookmarkStart w:id="136" w:name="_Toc396935200"/>
      <w:bookmarkStart w:id="137" w:name="_Toc489649250"/>
      <w:bookmarkStart w:id="138" w:name="_Toc522035234"/>
      <w:bookmarkStart w:id="139" w:name="_Toc522040094"/>
      <w:bookmarkStart w:id="140" w:name="_Toc51710472"/>
      <w:r w:rsidRPr="00F753E0">
        <w:rPr>
          <w:rFonts w:asciiTheme="minorHAnsi" w:hAnsiTheme="minorHAnsi" w:cstheme="minorHAnsi"/>
          <w:smallCaps/>
          <w:noProof/>
          <w:lang w:val="x-none" w:eastAsia="x-none"/>
        </w:rPr>
        <w:t>COMUNICAÇÕES</w:t>
      </w:r>
      <w:bookmarkEnd w:id="133"/>
      <w:bookmarkEnd w:id="134"/>
      <w:bookmarkEnd w:id="135"/>
      <w:bookmarkEnd w:id="136"/>
      <w:bookmarkEnd w:id="137"/>
      <w:bookmarkEnd w:id="138"/>
      <w:bookmarkEnd w:id="139"/>
      <w:bookmarkEnd w:id="140"/>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1"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1"/>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 Alienante Fiduciante</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3640DC5D" w:rsidR="002003D5" w:rsidRPr="00AE4DEA" w:rsidRDefault="002003D5" w:rsidP="00AE4DEA">
      <w:pPr>
        <w:shd w:val="clear" w:color="auto" w:fill="FFFFFF"/>
        <w:tabs>
          <w:tab w:val="left" w:pos="0"/>
          <w:tab w:val="left" w:pos="1739"/>
        </w:tabs>
        <w:rPr>
          <w:rFonts w:asciiTheme="minorHAnsi" w:hAnsiTheme="minorHAnsi" w:cstheme="minorHAnsi"/>
          <w:b/>
          <w:smallCaps/>
          <w:sz w:val="22"/>
          <w:szCs w:val="22"/>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2"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2"/>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0B2E2339" w:rsidR="00F753E0" w:rsidRPr="00F753E0" w:rsidRDefault="00676BF6" w:rsidP="00F753E0">
      <w:pPr>
        <w:spacing w:line="320" w:lineRule="exact"/>
        <w:rPr>
          <w:rFonts w:asciiTheme="minorHAnsi" w:hAnsiTheme="minorHAnsi" w:cstheme="minorHAnsi"/>
          <w:b/>
          <w:color w:val="000000"/>
          <w:sz w:val="22"/>
          <w:szCs w:val="22"/>
        </w:rPr>
      </w:pPr>
      <w:bookmarkStart w:id="143" w:name="_Toc166496395"/>
      <w:bookmarkStart w:id="144" w:name="_Toc164740430"/>
      <w:bookmarkStart w:id="145" w:name="_Toc164251720"/>
      <w:bookmarkStart w:id="146"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3"/>
      <w:bookmarkEnd w:id="144"/>
      <w:bookmarkEnd w:id="145"/>
      <w:bookmarkEnd w:id="146"/>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7" w:name="_DV_M264"/>
      <w:bookmarkEnd w:id="147"/>
    </w:p>
    <w:p w14:paraId="1A888EEE" w14:textId="21FD5A95"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676BF6">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676BF6">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8" w:name="_DV_M181"/>
      <w:bookmarkEnd w:id="148"/>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49"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9"/>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0" w:name="_DV_M183"/>
      <w:bookmarkEnd w:id="150"/>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1" w:name="_Toc264638357"/>
      <w:bookmarkStart w:id="152" w:name="_Toc264651175"/>
      <w:bookmarkStart w:id="153" w:name="_Toc353469281"/>
      <w:bookmarkStart w:id="154" w:name="_Toc396935201"/>
      <w:bookmarkStart w:id="155" w:name="_Toc489649251"/>
      <w:bookmarkStart w:id="156" w:name="_Toc522035235"/>
      <w:bookmarkStart w:id="157" w:name="_Toc522040095"/>
      <w:bookmarkStart w:id="158"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1"/>
      <w:bookmarkEnd w:id="152"/>
      <w:bookmarkEnd w:id="153"/>
      <w:bookmarkEnd w:id="154"/>
      <w:bookmarkEnd w:id="155"/>
      <w:bookmarkEnd w:id="156"/>
      <w:bookmarkEnd w:id="157"/>
      <w:bookmarkEnd w:id="158"/>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926D7EE"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F81491" w:rsidRPr="00F81491">
        <w:rPr>
          <w:rFonts w:asciiTheme="minorHAnsi" w:hAnsiTheme="minorHAnsi" w:cstheme="minorHAnsi"/>
          <w:iCs/>
          <w:sz w:val="22"/>
          <w:szCs w:val="22"/>
        </w:rPr>
        <w:t xml:space="preserve"> </w:t>
      </w:r>
      <w:r w:rsidR="00F8149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9"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59"/>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0"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0"/>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1" w:name="_DV_M422"/>
      <w:bookmarkEnd w:id="161"/>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2" w:name="_Toc522035236"/>
      <w:bookmarkStart w:id="163" w:name="_Toc522040096"/>
      <w:bookmarkStart w:id="164" w:name="_Toc51710474"/>
      <w:r w:rsidRPr="00F753E0">
        <w:rPr>
          <w:rFonts w:asciiTheme="minorHAnsi" w:hAnsiTheme="minorHAnsi" w:cstheme="minorHAnsi"/>
          <w:smallCaps/>
          <w:noProof/>
          <w:lang w:val="x-none" w:eastAsia="x-none"/>
        </w:rPr>
        <w:t>FORO</w:t>
      </w:r>
      <w:bookmarkEnd w:id="162"/>
      <w:bookmarkEnd w:id="163"/>
      <w:bookmarkEnd w:id="164"/>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41726C0D"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8B7065">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5"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5"/>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09EA7750" w:rsidR="00F753E0" w:rsidRPr="00F753E0" w:rsidRDefault="00A204A3"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6" w:name="_Toc51710475"/>
      <w:r w:rsidRPr="00F753E0">
        <w:rPr>
          <w:rFonts w:asciiTheme="minorHAnsi" w:hAnsiTheme="minorHAnsi" w:cstheme="minorHAnsi"/>
          <w:smallCaps/>
          <w:sz w:val="22"/>
          <w:szCs w:val="22"/>
        </w:rPr>
        <w:t>Anexo I</w:t>
      </w:r>
      <w:bookmarkEnd w:id="166"/>
    </w:p>
    <w:p w14:paraId="7B521DF9" w14:textId="546A69AF"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29</w:t>
      </w:r>
      <w:r w:rsidR="008F17C2">
        <w:rPr>
          <w:rFonts w:asciiTheme="minorHAnsi" w:hAnsiTheme="minorHAnsi" w:cstheme="minorHAnsi"/>
          <w:b/>
          <w:bCs/>
          <w:sz w:val="22"/>
          <w:szCs w:val="22"/>
        </w:rPr>
        <w:t>7</w:t>
      </w:r>
      <w:r w:rsidR="002003D5">
        <w:rPr>
          <w:rFonts w:asciiTheme="minorHAnsi" w:hAnsiTheme="minorHAnsi" w:cstheme="minorHAnsi"/>
          <w:b/>
          <w:bCs/>
          <w:sz w:val="22"/>
          <w:szCs w:val="22"/>
        </w:rPr>
        <w:t xml:space="preserve">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7DAC748A"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na Cláusula 2.2 deste Contrato, em casos de inadimplemento das Debêntures, encontram-se garantidas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Pr="00AE4DEA">
        <w:rPr>
          <w:rFonts w:asciiTheme="minorHAnsi" w:hAnsiTheme="minorHAnsi" w:cstheme="minorHAnsi"/>
          <w:sz w:val="22"/>
          <w:szCs w:val="22"/>
        </w:rPr>
        <w:t xml:space="preserve"> das obrigações, principais e acessórias, da Alienante Fiduciante assumidas nos Documentos da Operação</w:t>
      </w:r>
      <w:r w:rsidR="00DE45F1">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w:t>
      </w:r>
      <w:r w:rsidR="008F17C2">
        <w:rPr>
          <w:rFonts w:asciiTheme="minorHAnsi" w:hAnsiTheme="minorHAnsi" w:cstheme="minorHAnsi"/>
          <w:color w:val="000000"/>
          <w:sz w:val="22"/>
          <w:szCs w:val="22"/>
        </w:rPr>
        <w:t>7</w:t>
      </w:r>
      <w:r w:rsidR="002003D5">
        <w:rPr>
          <w:rFonts w:asciiTheme="minorHAnsi" w:hAnsiTheme="minorHAnsi" w:cstheme="minorHAnsi"/>
          <w:color w:val="000000"/>
          <w:sz w:val="22"/>
          <w:szCs w:val="22"/>
        </w:rPr>
        <w:t xml:space="preserve">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w:t>
      </w:r>
      <w:r w:rsidR="008F17C2">
        <w:rPr>
          <w:rFonts w:asciiTheme="minorHAnsi" w:eastAsia="MS Mincho" w:hAnsiTheme="minorHAnsi" w:cstheme="minorHAnsi"/>
          <w:sz w:val="22"/>
          <w:szCs w:val="22"/>
        </w:rPr>
        <w:t>7</w:t>
      </w:r>
      <w:r w:rsidR="002003D5">
        <w:rPr>
          <w:rFonts w:asciiTheme="minorHAnsi" w:eastAsia="MS Mincho" w:hAnsiTheme="minorHAnsi" w:cstheme="minorHAnsi"/>
          <w:sz w:val="22"/>
          <w:szCs w:val="22"/>
        </w:rPr>
        <w:t>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7"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68"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8"/>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7"/>
    </w:p>
    <w:p w14:paraId="499E774C" w14:textId="77777777" w:rsidR="008E5D8B" w:rsidRPr="0042408E" w:rsidRDefault="008E5D8B" w:rsidP="008E5D8B">
      <w:pPr>
        <w:pStyle w:val="TextosemFormatao"/>
        <w:spacing w:line="288" w:lineRule="auto"/>
        <w:ind w:left="426"/>
        <w:rPr>
          <w:rFonts w:asciiTheme="minorHAnsi" w:hAnsiTheme="minorHAnsi" w:cstheme="minorHAnsi"/>
          <w:sz w:val="22"/>
          <w:szCs w:val="22"/>
          <w:lang w:val="pt-BR"/>
        </w:rPr>
      </w:pPr>
    </w:p>
    <w:p w14:paraId="5F536CE8" w14:textId="77777777" w:rsidR="008E5D8B" w:rsidRPr="0042408E"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Pr="0042408E">
        <w:rPr>
          <w:rFonts w:ascii="Calibri" w:hAnsi="Calibri" w:cs="Calibri"/>
          <w:sz w:val="22"/>
          <w:szCs w:val="22"/>
        </w:rPr>
        <w:t>1ª</w:t>
      </w:r>
      <w:r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1E85F95E" w14:textId="77777777" w:rsidR="008E5D8B" w:rsidRPr="00F753E0" w:rsidRDefault="008E5D8B" w:rsidP="008E5D8B">
      <w:pPr>
        <w:pStyle w:val="PargrafodaLista"/>
        <w:spacing w:line="288" w:lineRule="auto"/>
        <w:ind w:left="426"/>
        <w:rPr>
          <w:rFonts w:asciiTheme="minorHAnsi" w:hAnsiTheme="minorHAnsi" w:cstheme="minorHAnsi"/>
          <w:sz w:val="22"/>
          <w:szCs w:val="22"/>
        </w:rPr>
      </w:pPr>
    </w:p>
    <w:p w14:paraId="14BC5302" w14:textId="77777777"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Pr="007413E7">
        <w:rPr>
          <w:rFonts w:asciiTheme="minorHAnsi" w:hAnsiTheme="minorHAnsi" w:cstheme="minorHAnsi"/>
          <w:sz w:val="22"/>
          <w:szCs w:val="22"/>
          <w:highlight w:val="yellow"/>
        </w:rPr>
        <w:t>[1º de junho de 2021]</w:t>
      </w:r>
      <w:r w:rsidRPr="00F753E0">
        <w:rPr>
          <w:rFonts w:asciiTheme="minorHAnsi" w:hAnsiTheme="minorHAnsi" w:cstheme="minorHAnsi"/>
          <w:sz w:val="22"/>
          <w:szCs w:val="22"/>
        </w:rPr>
        <w:t>;</w:t>
      </w:r>
    </w:p>
    <w:p w14:paraId="17C92E9F" w14:textId="77777777" w:rsidR="008E5D8B" w:rsidRPr="00F753E0" w:rsidRDefault="008E5D8B" w:rsidP="008E5D8B">
      <w:pPr>
        <w:widowControl w:val="0"/>
        <w:spacing w:line="288" w:lineRule="auto"/>
        <w:ind w:left="426"/>
        <w:rPr>
          <w:rFonts w:asciiTheme="minorHAnsi" w:hAnsiTheme="minorHAnsi" w:cstheme="minorHAnsi"/>
          <w:sz w:val="22"/>
          <w:szCs w:val="22"/>
          <w:lang w:val="x-none"/>
        </w:rPr>
      </w:pPr>
    </w:p>
    <w:p w14:paraId="1C0E5AC3" w14:textId="77777777"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Pr="007413E7">
        <w:rPr>
          <w:rFonts w:asciiTheme="minorHAnsi" w:hAnsiTheme="minorHAnsi" w:cstheme="minorHAnsi"/>
          <w:sz w:val="22"/>
          <w:szCs w:val="22"/>
          <w:highlight w:val="yellow"/>
        </w:rPr>
        <w:t>[25 de julho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6DBCABE0" w14:textId="77777777" w:rsidR="008E5D8B" w:rsidRPr="00F753E0" w:rsidRDefault="008E5D8B" w:rsidP="008E5D8B">
      <w:pPr>
        <w:pStyle w:val="TextosemFormatao"/>
        <w:spacing w:line="288" w:lineRule="auto"/>
        <w:ind w:left="426"/>
        <w:rPr>
          <w:rFonts w:asciiTheme="minorHAnsi" w:hAnsiTheme="minorHAnsi" w:cstheme="minorHAnsi"/>
          <w:sz w:val="22"/>
          <w:szCs w:val="22"/>
        </w:rPr>
      </w:pPr>
    </w:p>
    <w:p w14:paraId="7A1AA3B0" w14:textId="77777777"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6B0685C1" w14:textId="77777777" w:rsidR="008E5D8B" w:rsidRPr="00F753E0" w:rsidRDefault="008E5D8B" w:rsidP="008E5D8B">
      <w:pPr>
        <w:pStyle w:val="PargrafodaLista"/>
        <w:spacing w:line="288" w:lineRule="auto"/>
        <w:ind w:left="426"/>
        <w:rPr>
          <w:rFonts w:asciiTheme="minorHAnsi" w:hAnsiTheme="minorHAnsi" w:cstheme="minorHAnsi"/>
          <w:sz w:val="22"/>
          <w:szCs w:val="22"/>
        </w:rPr>
      </w:pPr>
    </w:p>
    <w:p w14:paraId="74462FD3" w14:textId="77777777"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43A5B574" w14:textId="77777777" w:rsidR="008E5D8B" w:rsidRPr="00F753E0" w:rsidRDefault="008E5D8B" w:rsidP="008E5D8B">
      <w:pPr>
        <w:pStyle w:val="PargrafodaLista"/>
        <w:spacing w:line="288" w:lineRule="auto"/>
        <w:ind w:left="426"/>
        <w:rPr>
          <w:rFonts w:asciiTheme="minorHAnsi" w:hAnsiTheme="minorHAnsi" w:cstheme="minorHAnsi"/>
          <w:sz w:val="22"/>
          <w:szCs w:val="22"/>
        </w:rPr>
      </w:pPr>
    </w:p>
    <w:p w14:paraId="472EEA19" w14:textId="77777777" w:rsidR="008E5D8B" w:rsidRPr="00F753E0" w:rsidRDefault="008E5D8B" w:rsidP="008E5D8B">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Pr="007413E7">
        <w:rPr>
          <w:rFonts w:asciiTheme="minorHAnsi" w:hAnsiTheme="minorHAnsi" w:cstheme="minorHAnsi"/>
          <w:sz w:val="22"/>
          <w:szCs w:val="22"/>
          <w:highlight w:val="yellow"/>
        </w:rPr>
        <w:t>[25 de dezembro de 2022]</w:t>
      </w:r>
      <w:r w:rsidRPr="00F753E0">
        <w:rPr>
          <w:rFonts w:asciiTheme="minorHAnsi" w:hAnsiTheme="minorHAnsi" w:cstheme="minorHAnsi"/>
          <w:sz w:val="22"/>
          <w:szCs w:val="22"/>
        </w:rPr>
        <w:t>;</w:t>
      </w:r>
    </w:p>
    <w:p w14:paraId="6DD79B71" w14:textId="77777777" w:rsidR="008E5D8B" w:rsidRPr="0063682F" w:rsidRDefault="008E5D8B" w:rsidP="008E5D8B">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69" w:name="_Hlk71136458"/>
      <w:r w:rsidR="00A050DD" w:rsidRPr="000B1F87">
        <w:rPr>
          <w:rFonts w:asciiTheme="minorHAnsi" w:hAnsiTheme="minorHAnsi" w:cstheme="minorHAnsi"/>
          <w:sz w:val="22"/>
        </w:rPr>
        <w:t xml:space="preserve">as </w:t>
      </w:r>
      <w:bookmarkStart w:id="170"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0"/>
      <w:bookmarkEnd w:id="169"/>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31B6208"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1" w:name="_Toc51710477"/>
      <w:r w:rsidRPr="00F753E0">
        <w:rPr>
          <w:rFonts w:asciiTheme="minorHAnsi" w:hAnsiTheme="minorHAnsi" w:cstheme="minorHAnsi"/>
          <w:smallCaps/>
          <w:sz w:val="22"/>
          <w:szCs w:val="22"/>
        </w:rPr>
        <w:t>Anexo II</w:t>
      </w:r>
      <w:r w:rsidR="008E5D8B">
        <w:rPr>
          <w:rFonts w:asciiTheme="minorHAnsi" w:hAnsiTheme="minorHAnsi" w:cstheme="minorHAnsi"/>
          <w:smallCaps/>
          <w:sz w:val="22"/>
          <w:szCs w:val="22"/>
        </w:rPr>
        <w:t>-A</w:t>
      </w:r>
    </w:p>
    <w:p w14:paraId="2C24D57B" w14:textId="0AF638F5"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Relação de Bens e Equipamentos </w:t>
      </w:r>
      <w:r w:rsidR="00B42EF8">
        <w:rPr>
          <w:rFonts w:asciiTheme="minorHAnsi" w:hAnsiTheme="minorHAnsi" w:cstheme="minorHAnsi"/>
          <w:b/>
          <w:smallCaps/>
          <w:sz w:val="22"/>
          <w:szCs w:val="22"/>
        </w:rPr>
        <w:t xml:space="preserve">a serem </w:t>
      </w:r>
      <w:r w:rsidRPr="00F753E0">
        <w:rPr>
          <w:rFonts w:asciiTheme="minorHAnsi" w:hAnsiTheme="minorHAnsi" w:cstheme="minorHAnsi"/>
          <w:b/>
          <w:smallCaps/>
          <w:sz w:val="22"/>
          <w:szCs w:val="22"/>
        </w:rPr>
        <w:t>Alienados Fiduciariamente</w:t>
      </w:r>
    </w:p>
    <w:p w14:paraId="1C1EAA80" w14:textId="678FA684" w:rsidR="00D02620" w:rsidRDefault="00D02620" w:rsidP="00D02620">
      <w:pPr>
        <w:pStyle w:val="PargrafodaLista"/>
        <w:ind w:left="0"/>
        <w:jc w:val="center"/>
        <w:rPr>
          <w:rFonts w:asciiTheme="minorHAnsi" w:hAnsiTheme="minorHAnsi" w:cstheme="minorHAnsi"/>
          <w:sz w:val="22"/>
          <w:szCs w:val="22"/>
        </w:rPr>
      </w:pPr>
    </w:p>
    <w:p w14:paraId="5C35E40A" w14:textId="77777777" w:rsidR="008B7065" w:rsidRDefault="008B7065" w:rsidP="00D02620">
      <w:pPr>
        <w:pStyle w:val="PargrafodaLista"/>
        <w:ind w:left="0"/>
        <w:jc w:val="center"/>
        <w:rPr>
          <w:rFonts w:asciiTheme="minorHAnsi" w:hAnsiTheme="minorHAnsi" w:cstheme="minorHAnsi"/>
          <w:sz w:val="22"/>
          <w:szCs w:val="22"/>
        </w:rPr>
      </w:pPr>
      <w:r w:rsidRPr="008B7065">
        <w:rPr>
          <w:rFonts w:asciiTheme="minorHAnsi" w:hAnsiTheme="minorHAnsi" w:cstheme="minorHAnsi"/>
          <w:sz w:val="22"/>
          <w:szCs w:val="22"/>
          <w:highlight w:val="yellow"/>
        </w:rPr>
        <w:t>[●]</w:t>
      </w:r>
    </w:p>
    <w:p w14:paraId="5C6BA9E9" w14:textId="77777777" w:rsidR="008B7065" w:rsidRDefault="008B7065" w:rsidP="00D02620">
      <w:pPr>
        <w:pStyle w:val="PargrafodaLista"/>
        <w:ind w:left="0"/>
        <w:jc w:val="center"/>
        <w:rPr>
          <w:rFonts w:asciiTheme="minorHAnsi" w:hAnsiTheme="minorHAnsi" w:cstheme="minorHAnsi"/>
          <w:sz w:val="22"/>
          <w:szCs w:val="22"/>
        </w:rPr>
      </w:pPr>
    </w:p>
    <w:p w14:paraId="0CF4017B" w14:textId="460BF6EE" w:rsidR="008E5D8B" w:rsidRDefault="008B7065" w:rsidP="00B42EF8">
      <w:pPr>
        <w:pStyle w:val="PargrafodaLista"/>
        <w:ind w:left="0"/>
        <w:rPr>
          <w:rFonts w:asciiTheme="minorHAnsi" w:hAnsiTheme="minorHAnsi" w:cstheme="minorHAnsi"/>
          <w:sz w:val="22"/>
          <w:szCs w:val="22"/>
        </w:rPr>
      </w:pPr>
      <w:r>
        <w:rPr>
          <w:rFonts w:asciiTheme="minorHAnsi" w:hAnsiTheme="minorHAnsi" w:cstheme="minorHAnsi"/>
          <w:sz w:val="22"/>
          <w:szCs w:val="22"/>
        </w:rPr>
        <w:br w:type="page"/>
      </w:r>
      <w:r w:rsidR="008E5D8B">
        <w:rPr>
          <w:rFonts w:asciiTheme="minorHAnsi" w:hAnsiTheme="minorHAnsi" w:cstheme="minorHAnsi"/>
          <w:sz w:val="22"/>
          <w:szCs w:val="22"/>
        </w:rPr>
        <w:br w:type="page"/>
      </w:r>
    </w:p>
    <w:p w14:paraId="0D49D609" w14:textId="785D56A5" w:rsidR="008E5D8B" w:rsidRPr="00F753E0" w:rsidRDefault="008E5D8B" w:rsidP="008E5D8B">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64A4D6A8" w14:textId="658CC27A" w:rsidR="008E5D8B" w:rsidRPr="00F753E0" w:rsidRDefault="008E5D8B" w:rsidP="008E5D8B">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p>
    <w:p w14:paraId="22CBDE7F" w14:textId="77777777" w:rsidR="008E5D8B" w:rsidRPr="00F753E0" w:rsidRDefault="008E5D8B" w:rsidP="008E5D8B">
      <w:pPr>
        <w:pStyle w:val="PargrafodaLista"/>
        <w:ind w:left="0"/>
        <w:jc w:val="center"/>
        <w:rPr>
          <w:rFonts w:asciiTheme="minorHAnsi" w:hAnsiTheme="minorHAnsi" w:cstheme="minorHAnsi"/>
          <w:sz w:val="22"/>
          <w:szCs w:val="22"/>
        </w:rPr>
      </w:pPr>
    </w:p>
    <w:p w14:paraId="376BFC24" w14:textId="4C69B40F" w:rsidR="008E5D8B" w:rsidRDefault="008E5D8B" w:rsidP="008E5D8B">
      <w:pPr>
        <w:pStyle w:val="PargrafodaLista"/>
        <w:ind w:left="0"/>
        <w:jc w:val="center"/>
        <w:rPr>
          <w:rFonts w:asciiTheme="minorHAnsi" w:hAnsiTheme="minorHAnsi" w:cstheme="minorHAnsi"/>
          <w:sz w:val="22"/>
          <w:szCs w:val="22"/>
        </w:rPr>
      </w:pPr>
      <w:r w:rsidRPr="007413E7">
        <w:rPr>
          <w:rFonts w:asciiTheme="minorHAnsi" w:hAnsiTheme="minorHAnsi" w:cstheme="minorHAnsi"/>
          <w:iCs/>
          <w:sz w:val="22"/>
          <w:szCs w:val="22"/>
          <w:highlight w:val="lightGray"/>
        </w:rPr>
        <w:t>[Nota: anexo a ser preenchido a partir do primeiro aditamento, nos termos da Cláusula 3.2.2]</w:t>
      </w:r>
      <w:r>
        <w:rPr>
          <w:rFonts w:asciiTheme="minorHAnsi" w:hAnsiTheme="minorHAnsi" w:cstheme="minorHAnsi"/>
          <w:sz w:val="22"/>
          <w:szCs w:val="22"/>
        </w:rPr>
        <w:br w:type="page"/>
      </w:r>
    </w:p>
    <w:p w14:paraId="30BC0C1E" w14:textId="77777777" w:rsidR="008B7065" w:rsidRDefault="008B7065" w:rsidP="008E5D8B">
      <w:pPr>
        <w:pStyle w:val="PargrafodaLista"/>
        <w:ind w:left="0"/>
        <w:jc w:val="center"/>
        <w:rPr>
          <w:rFonts w:asciiTheme="minorHAnsi" w:hAnsiTheme="minorHAnsi" w:cstheme="minorHAnsi"/>
          <w:sz w:val="22"/>
          <w:szCs w:val="22"/>
        </w:rPr>
      </w:pPr>
    </w:p>
    <w:p w14:paraId="2535C8C2" w14:textId="77777777" w:rsidR="008B7065" w:rsidRPr="00F753E0" w:rsidRDefault="008B7065" w:rsidP="00D02620">
      <w:pPr>
        <w:pStyle w:val="PargrafodaLista"/>
        <w:ind w:left="0"/>
        <w:jc w:val="center"/>
        <w:rPr>
          <w:rFonts w:asciiTheme="minorHAnsi" w:hAnsiTheme="minorHAnsi" w:cstheme="minorHAnsi"/>
          <w:sz w:val="22"/>
          <w:szCs w:val="22"/>
        </w:rPr>
      </w:pP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1"/>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5C385B1"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w:t>
      </w:r>
      <w:r w:rsidR="008B7065">
        <w:rPr>
          <w:rFonts w:asciiTheme="minorHAnsi" w:hAnsiTheme="minorHAnsi" w:cstheme="minorHAnsi"/>
          <w:sz w:val="22"/>
          <w:szCs w:val="22"/>
        </w:rPr>
        <w:t xml:space="preserve">de Promessa </w:t>
      </w:r>
      <w:r w:rsidRPr="00F753E0">
        <w:rPr>
          <w:rFonts w:asciiTheme="minorHAnsi" w:hAnsiTheme="minorHAnsi" w:cstheme="minorHAnsi"/>
          <w:sz w:val="22"/>
          <w:szCs w:val="22"/>
        </w:rPr>
        <w:t xml:space="preserve">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w:t>
      </w:r>
      <w:r w:rsidR="008F17C2">
        <w:rPr>
          <w:rFonts w:asciiTheme="minorHAnsi" w:hAnsiTheme="minorHAnsi" w:cstheme="minorHAnsi"/>
          <w:sz w:val="22"/>
          <w:szCs w:val="22"/>
        </w:rPr>
        <w:t>7</w:t>
      </w:r>
      <w:r w:rsidR="002003D5">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3219FAE3" w:rsidR="009878CC" w:rsidRPr="00F753E0"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AE4DEA">
        <w:rPr>
          <w:rFonts w:asciiTheme="minorHAnsi" w:hAnsiTheme="minorHAnsi" w:cstheme="minorHAnsi"/>
          <w:color w:val="000000"/>
          <w:sz w:val="22"/>
          <w:szCs w:val="22"/>
        </w:rPr>
        <w:t xml:space="preserve"> ou “</w:t>
      </w:r>
      <w:r w:rsidR="00AE4DEA" w:rsidRPr="00AE4DEA">
        <w:rPr>
          <w:rFonts w:asciiTheme="minorHAnsi" w:hAnsiTheme="minorHAnsi" w:cstheme="minorHAnsi"/>
          <w:color w:val="000000"/>
          <w:sz w:val="22"/>
          <w:szCs w:val="22"/>
          <w:u w:val="single"/>
        </w:rPr>
        <w:t>Alienante Fiduciante</w:t>
      </w:r>
      <w:r w:rsidR="00AE4DEA">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499085C8" w:rsidR="009878CC" w:rsidRPr="00F753E0" w:rsidRDefault="00A204A3"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78119E0C"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 xml:space="preserve">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578968E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31183FB8"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382ABCC7" w14:textId="2849C0D1" w:rsidR="009878CC" w:rsidRDefault="009878CC" w:rsidP="009878CC">
      <w:pPr>
        <w:tabs>
          <w:tab w:val="left" w:pos="3744"/>
        </w:tabs>
        <w:spacing w:line="288" w:lineRule="auto"/>
        <w:rPr>
          <w:rFonts w:asciiTheme="minorHAnsi" w:eastAsia="SimSun" w:hAnsiTheme="minorHAnsi" w:cstheme="minorHAnsi"/>
          <w:sz w:val="22"/>
          <w:szCs w:val="22"/>
          <w:lang w:eastAsia="zh-CN"/>
        </w:rPr>
      </w:pPr>
    </w:p>
    <w:p w14:paraId="3076C9E6" w14:textId="582C4A54" w:rsidR="00AE4DEA" w:rsidRDefault="00AE4DEA" w:rsidP="009878CC">
      <w:pPr>
        <w:tabs>
          <w:tab w:val="left" w:pos="3744"/>
        </w:tabs>
        <w:spacing w:line="288" w:lineRule="auto"/>
        <w:rPr>
          <w:rFonts w:asciiTheme="minorHAnsi" w:eastAsia="SimSun" w:hAnsiTheme="minorHAnsi" w:cstheme="minorHAnsi"/>
          <w:sz w:val="22"/>
          <w:szCs w:val="22"/>
          <w:lang w:eastAsia="zh-CN"/>
        </w:rPr>
      </w:pPr>
    </w:p>
    <w:p w14:paraId="362C6730" w14:textId="77777777" w:rsidR="00AE4DEA" w:rsidRPr="00F753E0" w:rsidRDefault="00AE4DEA" w:rsidP="009878CC">
      <w:pPr>
        <w:tabs>
          <w:tab w:val="left" w:pos="3744"/>
        </w:tabs>
        <w:spacing w:line="288" w:lineRule="auto"/>
        <w:rPr>
          <w:rFonts w:asciiTheme="minorHAnsi" w:eastAsia="SimSun" w:hAnsiTheme="minorHAnsi" w:cstheme="minorHAnsi"/>
          <w:sz w:val="22"/>
          <w:szCs w:val="22"/>
          <w:lang w:eastAsia="zh-CN"/>
        </w:rPr>
      </w:pP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3F4207BF"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3300892" w14:textId="77777777" w:rsidR="00AE4DEA" w:rsidRPr="00F753E0"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02463194" w:rsidR="009878CC" w:rsidRPr="00F753E0" w:rsidRDefault="00A204A3"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2" w:name="_Toc51710478"/>
      <w:r w:rsidRPr="00F753E0">
        <w:rPr>
          <w:rFonts w:asciiTheme="minorHAnsi" w:hAnsiTheme="minorHAnsi" w:cstheme="minorHAnsi"/>
          <w:caps w:val="0"/>
          <w:smallCaps/>
          <w:noProof w:val="0"/>
          <w:lang w:eastAsia="pt-BR"/>
        </w:rPr>
        <w:t>Anexo IV</w:t>
      </w:r>
      <w:bookmarkEnd w:id="172"/>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5C2F8FDA"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AE4DEA" w:rsidRPr="00F753E0" w:rsidDel="00AE4DEA">
        <w:rPr>
          <w:rFonts w:asciiTheme="minorHAnsi" w:hAnsiTheme="minorHAnsi" w:cstheme="minorHAnsi"/>
          <w:b/>
          <w:bCs/>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00A204A3">
        <w:rPr>
          <w:rFonts w:asciiTheme="minorHAnsi" w:hAnsiTheme="minorHAnsi" w:cstheme="minorHAnsi"/>
          <w:b/>
          <w:smallCaps/>
          <w:sz w:val="22"/>
          <w:szCs w:val="22"/>
        </w:rPr>
        <w:t>VIRGO COMPANHIA DE SECURITIZAÇÃO</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 xml:space="preserve">Instrumento Particular de </w:t>
      </w:r>
      <w:r w:rsidR="00464C3C">
        <w:rPr>
          <w:rFonts w:asciiTheme="minorHAnsi" w:hAnsiTheme="minorHAnsi" w:cstheme="minorHAnsi"/>
          <w:i/>
          <w:sz w:val="22"/>
          <w:szCs w:val="22"/>
        </w:rPr>
        <w:t xml:space="preserve">Promessa de </w:t>
      </w:r>
      <w:r w:rsidRPr="00F753E0">
        <w:rPr>
          <w:rFonts w:asciiTheme="minorHAnsi" w:hAnsiTheme="minorHAnsi" w:cstheme="minorHAnsi"/>
          <w:i/>
          <w:sz w:val="22"/>
          <w:szCs w:val="22"/>
        </w:rPr>
        <w:t>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 xml:space="preserve">Contrato </w:t>
      </w:r>
      <w:r w:rsidRPr="00464C3C">
        <w:rPr>
          <w:rFonts w:asciiTheme="minorHAnsi" w:hAnsiTheme="minorHAnsi" w:cstheme="minorHAnsi"/>
          <w:sz w:val="22"/>
          <w:szCs w:val="22"/>
          <w:u w:val="single"/>
        </w:rPr>
        <w:t xml:space="preserve">de </w:t>
      </w:r>
      <w:r w:rsidR="00464C3C" w:rsidRPr="00464C3C">
        <w:rPr>
          <w:rFonts w:asciiTheme="minorHAnsi" w:hAnsiTheme="minorHAnsi" w:cstheme="minorHAnsi"/>
          <w:sz w:val="22"/>
          <w:szCs w:val="22"/>
          <w:u w:val="single"/>
        </w:rPr>
        <w:t xml:space="preserve">Promessa de </w:t>
      </w:r>
      <w:r w:rsidRPr="00464C3C">
        <w:rPr>
          <w:rFonts w:asciiTheme="minorHAnsi" w:hAnsiTheme="minorHAnsi" w:cstheme="minorHAnsi"/>
          <w:sz w:val="22"/>
          <w:szCs w:val="22"/>
          <w:u w:val="single"/>
        </w:rPr>
        <w:t>Alienação</w:t>
      </w:r>
      <w:r w:rsidRPr="00F753E0">
        <w:rPr>
          <w:rFonts w:asciiTheme="minorHAnsi" w:hAnsiTheme="minorHAnsi" w:cstheme="minorHAnsi"/>
          <w:sz w:val="22"/>
          <w:szCs w:val="22"/>
          <w:u w:val="single"/>
        </w:rPr>
        <w:t xml:space="preserve">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w:t>
      </w:r>
      <w:r w:rsidR="008F17C2">
        <w:rPr>
          <w:rFonts w:asciiTheme="minorHAnsi" w:hAnsiTheme="minorHAnsi" w:cstheme="minorHAnsi"/>
          <w:sz w:val="22"/>
          <w:szCs w:val="22"/>
          <w:u w:val="single"/>
        </w:rPr>
        <w:t>7</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preservar a eficácia do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 xml:space="preserve">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 xml:space="preserve">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de</w:t>
      </w:r>
      <w:r w:rsidR="00464C3C">
        <w:rPr>
          <w:rFonts w:asciiTheme="minorHAnsi" w:hAnsiTheme="minorHAnsi" w:cstheme="minorHAnsi"/>
          <w:sz w:val="22"/>
          <w:szCs w:val="22"/>
        </w:rPr>
        <w:t xml:space="preserv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definido no Contrato de </w:t>
      </w:r>
      <w:r w:rsidR="00464C3C">
        <w:rPr>
          <w:rFonts w:asciiTheme="minorHAnsi" w:hAnsiTheme="minorHAnsi" w:cstheme="minorHAnsi"/>
          <w:sz w:val="22"/>
          <w:szCs w:val="22"/>
        </w:rPr>
        <w:t xml:space="preserve">Promessa </w:t>
      </w:r>
      <w:r w:rsidR="00464C3C"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w:t>
      </w:r>
      <w:r w:rsidR="008F17C2">
        <w:rPr>
          <w:rFonts w:asciiTheme="minorHAnsi" w:hAnsiTheme="minorHAnsi" w:cstheme="minorHAnsi"/>
          <w:sz w:val="22"/>
          <w:szCs w:val="22"/>
        </w:rPr>
        <w:t>7</w:t>
      </w:r>
      <w:r w:rsidR="00AE4DEA">
        <w:rPr>
          <w:rFonts w:asciiTheme="minorHAnsi" w:hAnsiTheme="minorHAnsi" w:cstheme="minorHAnsi"/>
          <w:sz w:val="22"/>
          <w:szCs w:val="22"/>
        </w:rPr>
        <w:t>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3" w:name="_DV_M0"/>
      <w:bookmarkEnd w:id="173"/>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81ACEEF" w:rsidR="00377241" w:rsidRPr="00515D9F" w:rsidRDefault="00377241" w:rsidP="00584568">
      <w:pPr>
        <w:widowControl w:val="0"/>
        <w:spacing w:line="276" w:lineRule="auto"/>
        <w:jc w:val="both"/>
        <w:rPr>
          <w:rFonts w:asciiTheme="minorHAnsi" w:hAnsiTheme="minorHAnsi" w:cstheme="minorHAnsi"/>
          <w:sz w:val="22"/>
          <w:szCs w:val="22"/>
        </w:rPr>
      </w:pPr>
      <w:bookmarkStart w:id="174" w:name="_DV_M1"/>
      <w:bookmarkEnd w:id="174"/>
      <w:r w:rsidRPr="00515D9F">
        <w:rPr>
          <w:rFonts w:asciiTheme="minorHAnsi" w:hAnsiTheme="minorHAnsi" w:cstheme="minorHAnsi"/>
          <w:sz w:val="22"/>
          <w:szCs w:val="22"/>
        </w:rPr>
        <w:t xml:space="preserve">Pelo presente instrumento, </w:t>
      </w:r>
      <w:bookmarkStart w:id="175" w:name="_DV_C5"/>
      <w:r w:rsidR="00A204A3">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5"/>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Constituição de </w:t>
      </w:r>
      <w:r w:rsidR="00A5034C">
        <w:rPr>
          <w:rFonts w:asciiTheme="minorHAnsi" w:hAnsiTheme="minorHAnsi" w:cstheme="minorHAnsi"/>
          <w:sz w:val="22"/>
          <w:szCs w:val="22"/>
        </w:rPr>
        <w:t xml:space="preserve">Promessa </w:t>
      </w:r>
      <w:r w:rsidR="00A5034C" w:rsidRPr="00F753E0">
        <w:rPr>
          <w:rFonts w:asciiTheme="minorHAnsi" w:hAnsiTheme="minorHAnsi" w:cstheme="minorHAnsi"/>
          <w:sz w:val="22"/>
          <w:szCs w:val="22"/>
        </w:rPr>
        <w:t>de</w:t>
      </w:r>
      <w:r w:rsidR="00A5034C" w:rsidRPr="00A92439">
        <w:rPr>
          <w:rFonts w:asciiTheme="minorHAnsi" w:hAnsiTheme="minorHAnsi" w:cstheme="minorHAnsi"/>
          <w:sz w:val="22"/>
          <w:szCs w:val="22"/>
        </w:rPr>
        <w:t xml:space="preserve"> </w:t>
      </w:r>
      <w:r w:rsidR="0083661A" w:rsidRPr="00A92439">
        <w:rPr>
          <w:rFonts w:asciiTheme="minorHAnsi" w:hAnsiTheme="minorHAnsi" w:cstheme="minorHAnsi"/>
          <w:sz w:val="22"/>
          <w:szCs w:val="22"/>
        </w:rPr>
        <w:t>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A204A3">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F4E9628"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 xml:space="preserve">autorizar a </w:t>
      </w:r>
      <w:r w:rsidR="00A204A3">
        <w:rPr>
          <w:rFonts w:asciiTheme="minorHAnsi" w:hAnsiTheme="minorHAnsi" w:cstheme="minorHAnsi"/>
          <w:b/>
          <w:smallCaps/>
          <w:sz w:val="22"/>
          <w:szCs w:val="22"/>
        </w:rPr>
        <w:t>VIRGO COMPANHIA DE SECURITIZAÇÃO</w:t>
      </w:r>
      <w:r w:rsidR="0068722A" w:rsidRPr="00AE4DEA">
        <w:rPr>
          <w:rFonts w:asciiTheme="minorHAnsi" w:hAnsiTheme="minorHAnsi" w:cstheme="minorHAnsi"/>
          <w:sz w:val="22"/>
          <w:szCs w:val="22"/>
        </w:rPr>
        <w:t>, conforme acima qualificada,</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76" w:name="_DV_M13"/>
      <w:bookmarkEnd w:id="176"/>
      <w:r w:rsidRPr="00AE4DEA">
        <w:rPr>
          <w:rFonts w:asciiTheme="minorHAnsi" w:hAnsiTheme="minorHAnsi" w:cstheme="minorHAnsi"/>
          <w:sz w:val="22"/>
          <w:szCs w:val="22"/>
        </w:rPr>
        <w:t xml:space="preserve">São Paulo, </w:t>
      </w:r>
      <w:bookmarkStart w:id="177" w:name="_DV_M14"/>
      <w:bookmarkEnd w:id="177"/>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78" w:name="_DV_M16"/>
      <w:bookmarkEnd w:id="178"/>
      <w:r w:rsidRPr="00AE4DEA">
        <w:rPr>
          <w:rFonts w:asciiTheme="minorHAnsi" w:hAnsiTheme="minorHAnsi" w:cstheme="minorHAnsi"/>
          <w:sz w:val="22"/>
          <w:szCs w:val="22"/>
        </w:rPr>
        <w:t>________________________________</w:t>
      </w:r>
      <w:bookmarkStart w:id="179" w:name="_DV_C26"/>
      <w:r w:rsidRPr="00AE4DEA">
        <w:rPr>
          <w:rStyle w:val="DeltaViewInsertion"/>
          <w:rFonts w:asciiTheme="minorHAnsi" w:hAnsiTheme="minorHAnsi" w:cstheme="minorHAnsi"/>
          <w:sz w:val="22"/>
          <w:szCs w:val="22"/>
        </w:rPr>
        <w:t>_____</w:t>
      </w:r>
      <w:bookmarkStart w:id="180" w:name="_DV_M17"/>
      <w:bookmarkEnd w:id="179"/>
      <w:bookmarkEnd w:id="180"/>
      <w:r w:rsidRPr="00AE4DEA">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1" w:name="_DV_M18"/>
      <w:bookmarkEnd w:id="181"/>
      <w:r w:rsidRPr="00AE4DEA">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B465CD" w:rsidRDefault="00B465CD">
      <w:r>
        <w:separator/>
      </w:r>
    </w:p>
  </w:endnote>
  <w:endnote w:type="continuationSeparator" w:id="0">
    <w:p w14:paraId="25D537F8" w14:textId="77777777" w:rsidR="00B465CD" w:rsidRDefault="00B465CD">
      <w:r>
        <w:continuationSeparator/>
      </w:r>
    </w:p>
  </w:endnote>
  <w:endnote w:type="continuationNotice" w:id="1">
    <w:p w14:paraId="0F976B16" w14:textId="77777777" w:rsidR="00B465CD" w:rsidRDefault="00B4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B465CD" w:rsidRDefault="00B465CD"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B465CD" w:rsidRDefault="00B465CD"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B465CD" w:rsidRPr="009C2589" w:rsidRDefault="00B465CD"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B465CD" w:rsidRPr="009C2589" w:rsidRDefault="00B465CD"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B465CD" w:rsidRPr="009C2589" w:rsidRDefault="00B465CD"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B465CD" w:rsidRDefault="00B465C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B465CD" w:rsidRPr="009C2589" w:rsidRDefault="00B465CD"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B465CD" w:rsidRDefault="00B465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B465CD" w:rsidRDefault="00B465CD">
      <w:r>
        <w:separator/>
      </w:r>
    </w:p>
  </w:footnote>
  <w:footnote w:type="continuationSeparator" w:id="0">
    <w:p w14:paraId="1A775498" w14:textId="77777777" w:rsidR="00B465CD" w:rsidRDefault="00B465CD">
      <w:r>
        <w:continuationSeparator/>
      </w:r>
    </w:p>
  </w:footnote>
  <w:footnote w:type="continuationNotice" w:id="1">
    <w:p w14:paraId="471E0CDF" w14:textId="77777777" w:rsidR="00B465CD" w:rsidRDefault="00B46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B465CD" w:rsidRPr="001A5D1C" w:rsidRDefault="00B465CD"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6DE1A5E0" w:rsidR="00B465CD" w:rsidRPr="001A5D1C" w:rsidRDefault="00B465CD"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25.06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B465CD" w:rsidRPr="00FA63D5" w:rsidRDefault="00B465CD"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B465CD" w:rsidRPr="00FA63D5" w:rsidRDefault="00B465CD"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B465CD" w:rsidRPr="00CC3B8C" w:rsidRDefault="00B465CD"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1CB2"/>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57A5"/>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57DC"/>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3C"/>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84A29"/>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2BB2"/>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BF6"/>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0D5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4C23"/>
    <w:rsid w:val="008A5294"/>
    <w:rsid w:val="008A5A67"/>
    <w:rsid w:val="008B01AB"/>
    <w:rsid w:val="008B1204"/>
    <w:rsid w:val="008B3502"/>
    <w:rsid w:val="008B5440"/>
    <w:rsid w:val="008B5C63"/>
    <w:rsid w:val="008B6222"/>
    <w:rsid w:val="008B6968"/>
    <w:rsid w:val="008B7065"/>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5D8B"/>
    <w:rsid w:val="008E61D2"/>
    <w:rsid w:val="008E686D"/>
    <w:rsid w:val="008E72B1"/>
    <w:rsid w:val="008F0344"/>
    <w:rsid w:val="008F0D96"/>
    <w:rsid w:val="008F17C2"/>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46"/>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0420"/>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17F11"/>
    <w:rsid w:val="00A204A3"/>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034C"/>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059"/>
    <w:rsid w:val="00AC343D"/>
    <w:rsid w:val="00AC6CEE"/>
    <w:rsid w:val="00AC75E4"/>
    <w:rsid w:val="00AC776F"/>
    <w:rsid w:val="00AC7949"/>
    <w:rsid w:val="00AC7EF5"/>
    <w:rsid w:val="00AD10A1"/>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3E1"/>
    <w:rsid w:val="00B41894"/>
    <w:rsid w:val="00B42EF8"/>
    <w:rsid w:val="00B4573E"/>
    <w:rsid w:val="00B45F02"/>
    <w:rsid w:val="00B465CD"/>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977A5"/>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350"/>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018"/>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6D5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4608"/>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0B4F"/>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EF7BF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491"/>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043A"/>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11567</Words>
  <Characters>62463</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73883</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5</cp:revision>
  <cp:lastPrinted>2014-12-05T18:31:00Z</cp:lastPrinted>
  <dcterms:created xsi:type="dcterms:W3CDTF">2021-06-24T15:52:00Z</dcterms:created>
  <dcterms:modified xsi:type="dcterms:W3CDTF">2021-06-25T06:35:00Z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-381638908</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